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B5AFE">
      <w:pPr>
        <w:pStyle w:val="BodyText"/>
        <w:kinsoku w:val="0"/>
        <w:overflowPunct w:val="0"/>
        <w:spacing w:before="84"/>
        <w:ind w:left="105"/>
        <w:rPr>
          <w:b/>
          <w:bCs/>
          <w:sz w:val="24"/>
          <w:szCs w:val="24"/>
        </w:rPr>
      </w:pPr>
      <w:bookmarkStart w:id="0" w:name="_GoBack"/>
      <w:bookmarkEnd w:id="0"/>
      <w:r>
        <w:rPr>
          <w:b/>
          <w:bCs/>
          <w:sz w:val="24"/>
          <w:szCs w:val="24"/>
        </w:rPr>
        <w:t>PEST Analysis Template</w:t>
      </w:r>
    </w:p>
    <w:p w:rsidR="00000000" w:rsidRDefault="008B5AFE">
      <w:pPr>
        <w:pStyle w:val="BodyText"/>
        <w:tabs>
          <w:tab w:val="left" w:pos="10078"/>
        </w:tabs>
        <w:kinsoku w:val="0"/>
        <w:overflowPunct w:val="0"/>
        <w:spacing w:before="72"/>
        <w:ind w:left="105"/>
        <w:rPr>
          <w:rFonts w:ascii="Times New Roman" w:hAnsi="Times New Roman" w:cs="Times New Roman"/>
        </w:rPr>
      </w:pPr>
      <w:r>
        <w:t>Situation being</w:t>
      </w:r>
      <w:r>
        <w:rPr>
          <w:spacing w:val="-11"/>
        </w:rPr>
        <w:t xml:space="preserve"> </w:t>
      </w:r>
      <w:r>
        <w:t xml:space="preserve">analysed: </w:t>
      </w:r>
      <w:r>
        <w:rPr>
          <w:rFonts w:ascii="Times New Roman" w:hAnsi="Times New Roman" w:cs="Times New Roman"/>
          <w:u w:val="single"/>
        </w:rPr>
        <w:t xml:space="preserve"> </w:t>
      </w:r>
      <w:r>
        <w:rPr>
          <w:rFonts w:ascii="Times New Roman" w:hAnsi="Times New Roman" w:cs="Times New Roman"/>
          <w:u w:val="single"/>
        </w:rPr>
        <w:tab/>
      </w:r>
    </w:p>
    <w:p w:rsidR="00000000" w:rsidRDefault="008B5AFE">
      <w:pPr>
        <w:pStyle w:val="BodyText"/>
        <w:kinsoku w:val="0"/>
        <w:overflowPunct w:val="0"/>
        <w:spacing w:before="73"/>
        <w:ind w:left="105" w:right="443"/>
      </w:pPr>
      <w:r>
        <w:t>PEST analysis (political, economical, social, technological) assesses a market, including competitors, from the standpoint of a particular proposition or a business.</w:t>
      </w:r>
    </w:p>
    <w:p w:rsidR="00000000" w:rsidRDefault="008B5AFE">
      <w:pPr>
        <w:pStyle w:val="BodyText"/>
        <w:kinsoku w:val="0"/>
        <w:overflowPunct w:val="0"/>
      </w:pPr>
    </w:p>
    <w:tbl>
      <w:tblPr>
        <w:tblW w:w="0" w:type="auto"/>
        <w:tblInd w:w="109" w:type="dxa"/>
        <w:tblLayout w:type="fixed"/>
        <w:tblCellMar>
          <w:left w:w="0" w:type="dxa"/>
          <w:right w:w="0" w:type="dxa"/>
        </w:tblCellMar>
        <w:tblLook w:val="0000" w:firstRow="0" w:lastRow="0" w:firstColumn="0" w:lastColumn="0" w:noHBand="0" w:noVBand="0"/>
      </w:tblPr>
      <w:tblGrid>
        <w:gridCol w:w="2026"/>
        <w:gridCol w:w="2962"/>
        <w:gridCol w:w="2964"/>
        <w:gridCol w:w="2026"/>
      </w:tblGrid>
      <w:tr w:rsidR="00000000">
        <w:tblPrEx>
          <w:tblCellMar>
            <w:top w:w="0" w:type="dxa"/>
            <w:left w:w="0" w:type="dxa"/>
            <w:bottom w:w="0" w:type="dxa"/>
            <w:right w:w="0" w:type="dxa"/>
          </w:tblCellMar>
        </w:tblPrEx>
        <w:trPr>
          <w:trHeight w:val="338"/>
        </w:trPr>
        <w:tc>
          <w:tcPr>
            <w:tcW w:w="2026"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rPr>
                <w:b/>
                <w:bCs/>
                <w:sz w:val="16"/>
                <w:szCs w:val="16"/>
              </w:rPr>
            </w:pPr>
            <w:r>
              <w:rPr>
                <w:b/>
                <w:bCs/>
                <w:sz w:val="16"/>
                <w:szCs w:val="16"/>
              </w:rPr>
              <w:t>criteria examples</w:t>
            </w:r>
          </w:p>
        </w:tc>
        <w:tc>
          <w:tcPr>
            <w:tcW w:w="2962"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rPr>
                <w:b/>
                <w:bCs/>
                <w:color w:val="FF0000"/>
                <w:sz w:val="16"/>
                <w:szCs w:val="16"/>
              </w:rPr>
            </w:pPr>
            <w:r>
              <w:rPr>
                <w:b/>
                <w:bCs/>
                <w:color w:val="FF0000"/>
                <w:sz w:val="16"/>
                <w:szCs w:val="16"/>
              </w:rPr>
              <w:t>political</w:t>
            </w:r>
          </w:p>
        </w:tc>
        <w:tc>
          <w:tcPr>
            <w:tcW w:w="2964"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ind w:left="54"/>
              <w:rPr>
                <w:b/>
                <w:bCs/>
                <w:color w:val="FF0000"/>
                <w:sz w:val="16"/>
                <w:szCs w:val="16"/>
              </w:rPr>
            </w:pPr>
            <w:r>
              <w:rPr>
                <w:b/>
                <w:bCs/>
                <w:color w:val="FF0000"/>
                <w:sz w:val="16"/>
                <w:szCs w:val="16"/>
              </w:rPr>
              <w:t>economical</w:t>
            </w:r>
          </w:p>
        </w:tc>
        <w:tc>
          <w:tcPr>
            <w:tcW w:w="2026"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ind w:left="54"/>
              <w:rPr>
                <w:b/>
                <w:bCs/>
                <w:sz w:val="16"/>
                <w:szCs w:val="16"/>
              </w:rPr>
            </w:pPr>
            <w:r>
              <w:rPr>
                <w:b/>
                <w:bCs/>
                <w:sz w:val="16"/>
                <w:szCs w:val="16"/>
              </w:rPr>
              <w:t>criteria example</w:t>
            </w:r>
            <w:r>
              <w:rPr>
                <w:b/>
                <w:bCs/>
                <w:sz w:val="16"/>
                <w:szCs w:val="16"/>
              </w:rPr>
              <w:t>s</w:t>
            </w:r>
          </w:p>
        </w:tc>
      </w:tr>
      <w:tr w:rsidR="00000000">
        <w:tblPrEx>
          <w:tblCellMar>
            <w:top w:w="0" w:type="dxa"/>
            <w:left w:w="0" w:type="dxa"/>
            <w:bottom w:w="0" w:type="dxa"/>
            <w:right w:w="0" w:type="dxa"/>
          </w:tblCellMar>
        </w:tblPrEx>
        <w:trPr>
          <w:trHeight w:val="4584"/>
        </w:trPr>
        <w:tc>
          <w:tcPr>
            <w:tcW w:w="2026"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spacing w:before="100"/>
              <w:ind w:right="190"/>
              <w:rPr>
                <w:sz w:val="16"/>
                <w:szCs w:val="16"/>
              </w:rPr>
            </w:pPr>
            <w:r>
              <w:rPr>
                <w:sz w:val="16"/>
                <w:szCs w:val="16"/>
              </w:rPr>
              <w:t>ecological/environmental current legislation</w:t>
            </w:r>
          </w:p>
          <w:p w:rsidR="00000000" w:rsidRDefault="008B5AFE">
            <w:pPr>
              <w:pStyle w:val="TableParagraph"/>
              <w:kinsoku w:val="0"/>
              <w:overflowPunct w:val="0"/>
              <w:ind w:right="310"/>
              <w:rPr>
                <w:sz w:val="16"/>
                <w:szCs w:val="16"/>
              </w:rPr>
            </w:pPr>
            <w:r>
              <w:rPr>
                <w:sz w:val="16"/>
                <w:szCs w:val="16"/>
              </w:rPr>
              <w:t>future legislation international legislation regulatory bodies and processes</w:t>
            </w:r>
          </w:p>
          <w:p w:rsidR="00000000" w:rsidRDefault="008B5AFE">
            <w:pPr>
              <w:pStyle w:val="TableParagraph"/>
              <w:kinsoku w:val="0"/>
              <w:overflowPunct w:val="0"/>
              <w:ind w:right="406"/>
              <w:rPr>
                <w:sz w:val="16"/>
                <w:szCs w:val="16"/>
              </w:rPr>
            </w:pPr>
            <w:r>
              <w:rPr>
                <w:sz w:val="16"/>
                <w:szCs w:val="16"/>
              </w:rPr>
              <w:t>government policies government term and change</w:t>
            </w:r>
          </w:p>
          <w:p w:rsidR="00000000" w:rsidRDefault="008B5AFE">
            <w:pPr>
              <w:pStyle w:val="TableParagraph"/>
              <w:kinsoku w:val="0"/>
              <w:overflowPunct w:val="0"/>
              <w:ind w:right="558"/>
              <w:rPr>
                <w:sz w:val="16"/>
                <w:szCs w:val="16"/>
              </w:rPr>
            </w:pPr>
            <w:r>
              <w:rPr>
                <w:sz w:val="16"/>
                <w:szCs w:val="16"/>
              </w:rPr>
              <w:t>trading policies funding, grants and initiatives</w:t>
            </w:r>
          </w:p>
          <w:p w:rsidR="00000000" w:rsidRDefault="008B5AFE">
            <w:pPr>
              <w:pStyle w:val="TableParagraph"/>
              <w:kinsoku w:val="0"/>
              <w:overflowPunct w:val="0"/>
              <w:ind w:right="294"/>
              <w:rPr>
                <w:sz w:val="16"/>
                <w:szCs w:val="16"/>
              </w:rPr>
            </w:pPr>
            <w:r>
              <w:rPr>
                <w:sz w:val="16"/>
                <w:szCs w:val="16"/>
              </w:rPr>
              <w:t>home market pressure- groups</w:t>
            </w:r>
          </w:p>
          <w:p w:rsidR="00000000" w:rsidRDefault="008B5AFE">
            <w:pPr>
              <w:pStyle w:val="TableParagraph"/>
              <w:kinsoku w:val="0"/>
              <w:overflowPunct w:val="0"/>
              <w:ind w:right="351"/>
              <w:rPr>
                <w:sz w:val="16"/>
                <w:szCs w:val="16"/>
              </w:rPr>
            </w:pPr>
            <w:r>
              <w:rPr>
                <w:sz w:val="16"/>
                <w:szCs w:val="16"/>
              </w:rPr>
              <w:t>international pressure- groups</w:t>
            </w:r>
          </w:p>
          <w:p w:rsidR="00000000" w:rsidRDefault="008B5AFE">
            <w:pPr>
              <w:pStyle w:val="TableParagraph"/>
              <w:kinsoku w:val="0"/>
              <w:overflowPunct w:val="0"/>
              <w:spacing w:line="193" w:lineRule="exact"/>
              <w:rPr>
                <w:sz w:val="16"/>
                <w:szCs w:val="16"/>
              </w:rPr>
            </w:pPr>
            <w:r>
              <w:rPr>
                <w:sz w:val="16"/>
                <w:szCs w:val="16"/>
              </w:rPr>
              <w:t>wars and conflicts</w:t>
            </w:r>
          </w:p>
        </w:tc>
        <w:tc>
          <w:tcPr>
            <w:tcW w:w="2962"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ind w:left="0"/>
              <w:rPr>
                <w:rFonts w:ascii="Times New Roman" w:hAnsi="Times New Roman" w:cs="Times New Roman"/>
                <w:sz w:val="16"/>
                <w:szCs w:val="16"/>
              </w:rPr>
            </w:pPr>
          </w:p>
        </w:tc>
        <w:tc>
          <w:tcPr>
            <w:tcW w:w="2964"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ind w:left="0"/>
              <w:rPr>
                <w:rFonts w:ascii="Times New Roman" w:hAnsi="Times New Roman" w:cs="Times New Roman"/>
                <w:sz w:val="16"/>
                <w:szCs w:val="16"/>
              </w:rPr>
            </w:pPr>
          </w:p>
        </w:tc>
        <w:tc>
          <w:tcPr>
            <w:tcW w:w="2026"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spacing w:before="92"/>
              <w:ind w:left="54" w:right="287"/>
              <w:rPr>
                <w:sz w:val="16"/>
                <w:szCs w:val="16"/>
              </w:rPr>
            </w:pPr>
            <w:r>
              <w:rPr>
                <w:sz w:val="16"/>
                <w:szCs w:val="16"/>
              </w:rPr>
              <w:t>home economy economy trends overseas economies general taxation taxation specific to product/services seasonality issues market/trade cycles specific industry factors market routes trends distribution tre</w:t>
            </w:r>
            <w:r>
              <w:rPr>
                <w:sz w:val="16"/>
                <w:szCs w:val="16"/>
              </w:rPr>
              <w:t>nds</w:t>
            </w:r>
          </w:p>
          <w:p w:rsidR="00000000" w:rsidRDefault="008B5AFE">
            <w:pPr>
              <w:pStyle w:val="TableParagraph"/>
              <w:kinsoku w:val="0"/>
              <w:overflowPunct w:val="0"/>
              <w:ind w:left="54" w:right="86"/>
              <w:rPr>
                <w:sz w:val="16"/>
                <w:szCs w:val="16"/>
              </w:rPr>
            </w:pPr>
            <w:r>
              <w:rPr>
                <w:sz w:val="16"/>
                <w:szCs w:val="16"/>
              </w:rPr>
              <w:t>customer/end-user drivers interest/ exchange rates international trade and monetary issues</w:t>
            </w:r>
          </w:p>
        </w:tc>
      </w:tr>
      <w:tr w:rsidR="00000000">
        <w:tblPrEx>
          <w:tblCellMar>
            <w:top w:w="0" w:type="dxa"/>
            <w:left w:w="0" w:type="dxa"/>
            <w:bottom w:w="0" w:type="dxa"/>
            <w:right w:w="0" w:type="dxa"/>
          </w:tblCellMar>
        </w:tblPrEx>
        <w:trPr>
          <w:trHeight w:val="337"/>
        </w:trPr>
        <w:tc>
          <w:tcPr>
            <w:tcW w:w="2026"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rPr>
                <w:b/>
                <w:bCs/>
                <w:sz w:val="16"/>
                <w:szCs w:val="16"/>
              </w:rPr>
            </w:pPr>
            <w:r>
              <w:rPr>
                <w:b/>
                <w:bCs/>
                <w:sz w:val="16"/>
                <w:szCs w:val="16"/>
              </w:rPr>
              <w:t>criteria examples</w:t>
            </w:r>
          </w:p>
        </w:tc>
        <w:tc>
          <w:tcPr>
            <w:tcW w:w="2962"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rPr>
                <w:b/>
                <w:bCs/>
                <w:color w:val="FF0000"/>
                <w:sz w:val="16"/>
                <w:szCs w:val="16"/>
              </w:rPr>
            </w:pPr>
            <w:r>
              <w:rPr>
                <w:b/>
                <w:bCs/>
                <w:color w:val="FF0000"/>
                <w:sz w:val="16"/>
                <w:szCs w:val="16"/>
              </w:rPr>
              <w:t>social</w:t>
            </w:r>
          </w:p>
        </w:tc>
        <w:tc>
          <w:tcPr>
            <w:tcW w:w="2964"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ind w:left="54"/>
              <w:rPr>
                <w:b/>
                <w:bCs/>
                <w:color w:val="FF0000"/>
                <w:sz w:val="16"/>
                <w:szCs w:val="16"/>
              </w:rPr>
            </w:pPr>
            <w:r>
              <w:rPr>
                <w:b/>
                <w:bCs/>
                <w:color w:val="FF0000"/>
                <w:sz w:val="16"/>
                <w:szCs w:val="16"/>
              </w:rPr>
              <w:t>technological</w:t>
            </w:r>
          </w:p>
        </w:tc>
        <w:tc>
          <w:tcPr>
            <w:tcW w:w="2026" w:type="dxa"/>
            <w:tcBorders>
              <w:top w:val="single" w:sz="2" w:space="0" w:color="000000"/>
              <w:left w:val="single" w:sz="2" w:space="0" w:color="000000"/>
              <w:bottom w:val="none" w:sz="6" w:space="0" w:color="auto"/>
              <w:right w:val="single" w:sz="2" w:space="0" w:color="000000"/>
            </w:tcBorders>
          </w:tcPr>
          <w:p w:rsidR="00000000" w:rsidRDefault="008B5AFE">
            <w:pPr>
              <w:pStyle w:val="TableParagraph"/>
              <w:kinsoku w:val="0"/>
              <w:overflowPunct w:val="0"/>
              <w:spacing w:before="53"/>
              <w:ind w:left="54"/>
              <w:rPr>
                <w:b/>
                <w:bCs/>
                <w:sz w:val="16"/>
                <w:szCs w:val="16"/>
              </w:rPr>
            </w:pPr>
            <w:bookmarkStart w:id="1" w:name="criteria examples"/>
            <w:bookmarkEnd w:id="1"/>
            <w:r>
              <w:rPr>
                <w:b/>
                <w:bCs/>
                <w:sz w:val="16"/>
                <w:szCs w:val="16"/>
              </w:rPr>
              <w:t>criteria examples</w:t>
            </w:r>
          </w:p>
        </w:tc>
      </w:tr>
      <w:tr w:rsidR="00000000">
        <w:tblPrEx>
          <w:tblCellMar>
            <w:top w:w="0" w:type="dxa"/>
            <w:left w:w="0" w:type="dxa"/>
            <w:bottom w:w="0" w:type="dxa"/>
            <w:right w:w="0" w:type="dxa"/>
          </w:tblCellMar>
        </w:tblPrEx>
        <w:trPr>
          <w:trHeight w:val="4777"/>
        </w:trPr>
        <w:tc>
          <w:tcPr>
            <w:tcW w:w="2026"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spacing w:before="91"/>
              <w:ind w:right="294"/>
              <w:rPr>
                <w:sz w:val="16"/>
                <w:szCs w:val="16"/>
              </w:rPr>
            </w:pPr>
            <w:r>
              <w:rPr>
                <w:sz w:val="16"/>
                <w:szCs w:val="16"/>
              </w:rPr>
              <w:t>lifestyle trends demographics consumer attitudes and opinions</w:t>
            </w:r>
          </w:p>
          <w:p w:rsidR="00000000" w:rsidRDefault="008B5AFE">
            <w:pPr>
              <w:pStyle w:val="TableParagraph"/>
              <w:kinsoku w:val="0"/>
              <w:overflowPunct w:val="0"/>
              <w:spacing w:line="193" w:lineRule="exact"/>
              <w:rPr>
                <w:sz w:val="16"/>
                <w:szCs w:val="16"/>
              </w:rPr>
            </w:pPr>
            <w:r>
              <w:rPr>
                <w:sz w:val="16"/>
                <w:szCs w:val="16"/>
              </w:rPr>
              <w:t>media views</w:t>
            </w:r>
          </w:p>
          <w:p w:rsidR="00000000" w:rsidRDefault="008B5AFE">
            <w:pPr>
              <w:pStyle w:val="TableParagraph"/>
              <w:kinsoku w:val="0"/>
              <w:overflowPunct w:val="0"/>
              <w:spacing w:before="1"/>
              <w:ind w:right="413"/>
              <w:rPr>
                <w:sz w:val="16"/>
                <w:szCs w:val="16"/>
              </w:rPr>
            </w:pPr>
            <w:r>
              <w:rPr>
                <w:sz w:val="16"/>
                <w:szCs w:val="16"/>
              </w:rPr>
              <w:t>law changes affecting social factors</w:t>
            </w:r>
          </w:p>
          <w:p w:rsidR="00000000" w:rsidRDefault="008B5AFE">
            <w:pPr>
              <w:pStyle w:val="TableParagraph"/>
              <w:kinsoku w:val="0"/>
              <w:overflowPunct w:val="0"/>
              <w:ind w:right="104"/>
              <w:rPr>
                <w:sz w:val="16"/>
                <w:szCs w:val="16"/>
              </w:rPr>
            </w:pPr>
            <w:r>
              <w:rPr>
                <w:sz w:val="16"/>
                <w:szCs w:val="16"/>
              </w:rPr>
              <w:t>brand, company, technology image consumer buying patterns fashion and role models major events and influences</w:t>
            </w:r>
          </w:p>
          <w:p w:rsidR="00000000" w:rsidRDefault="008B5AFE">
            <w:pPr>
              <w:pStyle w:val="TableParagraph"/>
              <w:kinsoku w:val="0"/>
              <w:overflowPunct w:val="0"/>
              <w:ind w:right="158"/>
              <w:rPr>
                <w:sz w:val="16"/>
                <w:szCs w:val="16"/>
              </w:rPr>
            </w:pPr>
            <w:r>
              <w:rPr>
                <w:sz w:val="16"/>
                <w:szCs w:val="16"/>
              </w:rPr>
              <w:t>buying access and trends ethnic/rel</w:t>
            </w:r>
            <w:r>
              <w:rPr>
                <w:sz w:val="16"/>
                <w:szCs w:val="16"/>
              </w:rPr>
              <w:t>igious factors advertising and publicity ethical issues</w:t>
            </w:r>
          </w:p>
        </w:tc>
        <w:tc>
          <w:tcPr>
            <w:tcW w:w="2962"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ind w:left="0"/>
              <w:rPr>
                <w:rFonts w:ascii="Times New Roman" w:hAnsi="Times New Roman" w:cs="Times New Roman"/>
                <w:sz w:val="16"/>
                <w:szCs w:val="16"/>
              </w:rPr>
            </w:pPr>
          </w:p>
        </w:tc>
        <w:tc>
          <w:tcPr>
            <w:tcW w:w="2964"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ind w:left="0"/>
              <w:rPr>
                <w:rFonts w:ascii="Times New Roman" w:hAnsi="Times New Roman" w:cs="Times New Roman"/>
                <w:sz w:val="16"/>
                <w:szCs w:val="16"/>
              </w:rPr>
            </w:pPr>
          </w:p>
        </w:tc>
        <w:tc>
          <w:tcPr>
            <w:tcW w:w="2026" w:type="dxa"/>
            <w:tcBorders>
              <w:top w:val="none" w:sz="6" w:space="0" w:color="auto"/>
              <w:left w:val="single" w:sz="2" w:space="0" w:color="000000"/>
              <w:bottom w:val="single" w:sz="2" w:space="0" w:color="000000"/>
              <w:right w:val="single" w:sz="2" w:space="0" w:color="000000"/>
            </w:tcBorders>
          </w:tcPr>
          <w:p w:rsidR="00000000" w:rsidRDefault="008B5AFE">
            <w:pPr>
              <w:pStyle w:val="TableParagraph"/>
              <w:kinsoku w:val="0"/>
              <w:overflowPunct w:val="0"/>
              <w:spacing w:before="91"/>
              <w:ind w:left="54" w:right="413"/>
              <w:rPr>
                <w:sz w:val="16"/>
                <w:szCs w:val="16"/>
              </w:rPr>
            </w:pPr>
            <w:r>
              <w:rPr>
                <w:sz w:val="16"/>
                <w:szCs w:val="16"/>
              </w:rPr>
              <w:t>competing</w:t>
            </w:r>
            <w:r>
              <w:rPr>
                <w:spacing w:val="-11"/>
                <w:sz w:val="16"/>
                <w:szCs w:val="16"/>
              </w:rPr>
              <w:t xml:space="preserve"> </w:t>
            </w:r>
            <w:r>
              <w:rPr>
                <w:sz w:val="16"/>
                <w:szCs w:val="16"/>
              </w:rPr>
              <w:t>technology development research funding associated/dependent technologies replacement technology/solutions</w:t>
            </w:r>
          </w:p>
          <w:p w:rsidR="00000000" w:rsidRDefault="008B5AFE">
            <w:pPr>
              <w:pStyle w:val="TableParagraph"/>
              <w:kinsoku w:val="0"/>
              <w:overflowPunct w:val="0"/>
              <w:ind w:left="54" w:right="269"/>
              <w:rPr>
                <w:sz w:val="16"/>
                <w:szCs w:val="16"/>
              </w:rPr>
            </w:pPr>
            <w:r>
              <w:rPr>
                <w:sz w:val="16"/>
                <w:szCs w:val="16"/>
              </w:rPr>
              <w:t xml:space="preserve">maturity of technology manufacturing maturity and capacity information and communications consumer buying </w:t>
            </w:r>
            <w:r>
              <w:rPr>
                <w:spacing w:val="-1"/>
                <w:sz w:val="16"/>
                <w:szCs w:val="16"/>
              </w:rPr>
              <w:t xml:space="preserve">mechanisms/technology </w:t>
            </w:r>
            <w:r>
              <w:rPr>
                <w:sz w:val="16"/>
                <w:szCs w:val="16"/>
              </w:rPr>
              <w:t>technology legislation innovation potential technology access, licencing,</w:t>
            </w:r>
            <w:r>
              <w:rPr>
                <w:spacing w:val="-2"/>
                <w:sz w:val="16"/>
                <w:szCs w:val="16"/>
              </w:rPr>
              <w:t xml:space="preserve"> </w:t>
            </w:r>
            <w:r>
              <w:rPr>
                <w:sz w:val="16"/>
                <w:szCs w:val="16"/>
              </w:rPr>
              <w:t>patents</w:t>
            </w:r>
          </w:p>
          <w:p w:rsidR="00000000" w:rsidRDefault="008B5AFE">
            <w:pPr>
              <w:pStyle w:val="TableParagraph"/>
              <w:kinsoku w:val="0"/>
              <w:overflowPunct w:val="0"/>
              <w:ind w:left="54" w:right="68"/>
              <w:rPr>
                <w:sz w:val="16"/>
                <w:szCs w:val="16"/>
              </w:rPr>
            </w:pPr>
            <w:r>
              <w:rPr>
                <w:sz w:val="16"/>
                <w:szCs w:val="16"/>
              </w:rPr>
              <w:t>intellectual property issues global communicat</w:t>
            </w:r>
            <w:r>
              <w:rPr>
                <w:sz w:val="16"/>
                <w:szCs w:val="16"/>
              </w:rPr>
              <w:t>ions</w:t>
            </w:r>
          </w:p>
        </w:tc>
      </w:tr>
    </w:tbl>
    <w:p w:rsidR="00000000" w:rsidRDefault="008B5AFE">
      <w:pPr>
        <w:pStyle w:val="BodyText"/>
        <w:kinsoku w:val="0"/>
        <w:overflowPunct w:val="0"/>
        <w:spacing w:before="9"/>
        <w:rPr>
          <w:sz w:val="22"/>
          <w:szCs w:val="22"/>
        </w:rPr>
      </w:pPr>
    </w:p>
    <w:p w:rsidR="00000000" w:rsidRDefault="008B5AFE">
      <w:pPr>
        <w:pStyle w:val="BodyText"/>
        <w:kinsoku w:val="0"/>
        <w:overflowPunct w:val="0"/>
        <w:ind w:left="105" w:right="474"/>
        <w:rPr>
          <w:color w:val="0000FF"/>
        </w:rPr>
      </w:pPr>
      <w:r>
        <w:t>Note: PEST analysis can be useful before SWOT analysis because PEST helps to identify SWOT factors. PEST and SWOT are two different perspectives but can contain common factors. SWOT stands for strengths, weaknesses, opportunities, threats. SWOT anal</w:t>
      </w:r>
      <w:r>
        <w:t xml:space="preserve">ysis explanation and templates are at </w:t>
      </w:r>
      <w:hyperlink r:id="rId4" w:history="1">
        <w:r>
          <w:rPr>
            <w:color w:val="0000FF"/>
            <w:u w:val="single"/>
          </w:rPr>
          <w:t>www.businessballs.com/swotanalysisfreetemplate.htm</w:t>
        </w:r>
      </w:hyperlink>
    </w:p>
    <w:p w:rsidR="00000000" w:rsidRDefault="008B5AFE">
      <w:pPr>
        <w:pStyle w:val="BodyText"/>
        <w:kinsoku w:val="0"/>
        <w:overflowPunct w:val="0"/>
        <w:spacing w:before="9"/>
        <w:rPr>
          <w:sz w:val="14"/>
          <w:szCs w:val="14"/>
        </w:rPr>
      </w:pPr>
    </w:p>
    <w:p w:rsidR="008B5AFE" w:rsidRDefault="008B5AFE">
      <w:pPr>
        <w:pStyle w:val="BodyText"/>
        <w:kinsoku w:val="0"/>
        <w:overflowPunct w:val="0"/>
        <w:spacing w:before="100"/>
        <w:ind w:left="105"/>
        <w:rPr>
          <w:color w:val="000000"/>
          <w:sz w:val="16"/>
          <w:szCs w:val="16"/>
        </w:rPr>
      </w:pPr>
      <w:r>
        <w:rPr>
          <w:sz w:val="16"/>
          <w:szCs w:val="16"/>
        </w:rPr>
        <w:t>© Businessballs 2009. A free PDF version of this tool and information about PEST analysis me</w:t>
      </w:r>
      <w:r>
        <w:rPr>
          <w:sz w:val="16"/>
          <w:szCs w:val="16"/>
        </w:rPr>
        <w:t xml:space="preserve">thods are available at </w:t>
      </w:r>
      <w:hyperlink r:id="rId5" w:history="1">
        <w:r>
          <w:rPr>
            <w:color w:val="0000FF"/>
            <w:sz w:val="16"/>
            <w:szCs w:val="16"/>
            <w:u w:val="single"/>
          </w:rPr>
          <w:t>www.businessballs.com/pestanalysisfreetemplate.htm</w:t>
        </w:r>
      </w:hyperlink>
      <w:r>
        <w:rPr>
          <w:color w:val="0000FF"/>
          <w:sz w:val="16"/>
          <w:szCs w:val="16"/>
        </w:rPr>
        <w:t xml:space="preserve"> </w:t>
      </w:r>
      <w:r>
        <w:rPr>
          <w:color w:val="000000"/>
          <w:sz w:val="16"/>
          <w:szCs w:val="16"/>
        </w:rPr>
        <w:t xml:space="preserve">A free resource from </w:t>
      </w:r>
      <w:hyperlink r:id="rId6" w:history="1">
        <w:r>
          <w:rPr>
            <w:color w:val="0000FF"/>
            <w:sz w:val="16"/>
            <w:szCs w:val="16"/>
            <w:u w:val="single"/>
          </w:rPr>
          <w:t>www.businessballs.com</w:t>
        </w:r>
      </w:hyperlink>
      <w:r>
        <w:rPr>
          <w:color w:val="0000FF"/>
          <w:sz w:val="16"/>
          <w:szCs w:val="16"/>
        </w:rPr>
        <w:t xml:space="preserve"> </w:t>
      </w:r>
      <w:r>
        <w:rPr>
          <w:color w:val="000000"/>
          <w:sz w:val="16"/>
          <w:szCs w:val="16"/>
        </w:rPr>
        <w:t>Not to be sold or published.</w:t>
      </w:r>
    </w:p>
    <w:sectPr w:rsidR="008B5AFE">
      <w:type w:val="continuous"/>
      <w:pgSz w:w="11900" w:h="16840"/>
      <w:pgMar w:top="880" w:right="840" w:bottom="280" w:left="8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8B"/>
    <w:rsid w:val="008B5AFE"/>
    <w:rsid w:val="0099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746134-641B-44EE-96E2-D3537A1A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Tahoma" w:hAnsi="Tahoma" w:cs="Tahoma"/>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ind w:left="5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businessballs.com/swotanalysisfreetemplate.htm" TargetMode="External" Type="http://schemas.openxmlformats.org/officeDocument/2006/relationships/hyperlink"/>
<Relationship Id="rId5" Target="http://www.businessballs.com/pestanalysisfreetemplate.htm" TargetMode="External" Type="http://schemas.openxmlformats.org/officeDocument/2006/relationships/hyperlink"/>
<Relationship Id="rId6" Target="http://www.businessballs.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358</Words>
  <Characters>2044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SWOT Analysis Template  </vt:lpstr>
    </vt:vector>
  </TitlesOfParts>
  <Company/>
  <LinksUpToDate>false</LinksUpToDate>
  <CharactersWithSpaces>2398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