
<file path=[Content_Types].xml><?xml version="1.0" encoding="utf-8"?>
<Types xmlns="http://schemas.openxmlformats.org/package/2006/content-types">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F84CF">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861060</wp:posOffset>
                </wp:positionH>
                <wp:positionV relativeFrom="paragraph">
                  <wp:posOffset>2962910</wp:posOffset>
                </wp:positionV>
                <wp:extent cx="8969375" cy="3796030"/>
                <wp:effectExtent l="0" t="0" r="0" b="0"/>
                <wp:wrapNone/>
                <wp:docPr id="2" name="Group 1"/>
                <wp:cNvGraphicFramePr/>
                <a:graphic xmlns:a="http://schemas.openxmlformats.org/drawingml/2006/main">
                  <a:graphicData uri="http://schemas.microsoft.com/office/word/2010/wordprocessingGroup">
                    <wpg:wgp>
                      <wpg:cNvGrpSpPr/>
                      <wpg:grpSpPr>
                        <a:xfrm>
                          <a:off x="0" y="0"/>
                          <a:ext cx="8969363" cy="3796048"/>
                          <a:chOff x="0" y="2092444"/>
                          <a:chExt cx="8969363" cy="3795958"/>
                        </a:xfrm>
                      </wpg:grpSpPr>
                      <wpg:grpSp>
                        <wpg:cNvPr id="753310132" name="Group 753310132"/>
                        <wpg:cNvGrpSpPr/>
                        <wpg:grpSpPr>
                          <a:xfrm>
                            <a:off x="0" y="2092444"/>
                            <a:ext cx="3815715" cy="3795958"/>
                            <a:chOff x="0" y="2092444"/>
                            <a:chExt cx="5510913" cy="5061279"/>
                          </a:xfrm>
                        </wpg:grpSpPr>
                        <wps:wsp>
                          <wps:cNvPr id="1733549217" name="TextBox 18"/>
                          <wps:cNvSpPr txBox="1"/>
                          <wps:spPr>
                            <a:xfrm>
                              <a:off x="33396" y="2092444"/>
                              <a:ext cx="4868936" cy="789094"/>
                            </a:xfrm>
                            <a:prstGeom prst="rect">
                              <a:avLst/>
                            </a:prstGeom>
                          </wps:spPr>
                          <wps:txbx>
                            <w:txbxContent>
                              <w:p w14:paraId="4298EB96">
                                <w:pPr>
                                  <w:spacing w:line="932" w:lineRule="exact"/>
                                  <w:rPr>
                                    <w:rFonts w:ascii="League Spartan" w:hAnsi="League Spartan" w:eastAsia="Cormorant Garamond"/>
                                    <w:b/>
                                    <w:bCs/>
                                    <w:color w:val="F65D57"/>
                                    <w:kern w:val="24"/>
                                    <w:sz w:val="108"/>
                                    <w:szCs w:val="108"/>
                                    <w14:ligatures w14:val="none"/>
                                  </w:rPr>
                                </w:pPr>
                                <w:r>
                                  <w:rPr>
                                    <w:rFonts w:ascii="League Spartan" w:hAnsi="League Spartan" w:eastAsia="Cormorant Garamond"/>
                                    <w:b/>
                                    <w:bCs/>
                                    <w:color w:val="F65D57"/>
                                    <w:kern w:val="24"/>
                                    <w:sz w:val="108"/>
                                    <w:szCs w:val="108"/>
                                  </w:rPr>
                                  <w:t xml:space="preserve">6 pie chart </w:t>
                                </w:r>
                              </w:p>
                            </w:txbxContent>
                          </wps:txbx>
                          <wps:bodyPr wrap="square" lIns="0" tIns="0" rIns="0" bIns="0" rtlCol="0" anchor="t">
                            <a:spAutoFit/>
                          </wps:bodyPr>
                        </wps:wsp>
                        <wps:wsp>
                          <wps:cNvPr id="28713624" name="TextBox 19"/>
                          <wps:cNvSpPr txBox="1"/>
                          <wps:spPr>
                            <a:xfrm>
                              <a:off x="0" y="3147295"/>
                              <a:ext cx="5510913" cy="4006428"/>
                            </a:xfrm>
                            <a:prstGeom prst="rect">
                              <a:avLst/>
                            </a:prstGeom>
                          </wps:spPr>
                          <wps:txbx>
                            <w:txbxContent>
                              <w:p w14:paraId="3B32C753">
                                <w:pPr>
                                  <w:spacing w:line="364" w:lineRule="exact"/>
                                  <w:rPr>
                                    <w:rFonts w:ascii="Roboto" w:hAnsi="Roboto" w:eastAsia="Roboto"/>
                                    <w:color w:val="000000"/>
                                    <w:kern w:val="24"/>
                                    <w:sz w:val="24"/>
                                    <w:szCs w:val="24"/>
                                    <w14:ligatures w14:val="none"/>
                                  </w:rPr>
                                </w:pPr>
                                <w:r>
                                  <w:rPr>
                                    <w:rFonts w:ascii="Roboto" w:hAnsi="Roboto" w:eastAsia="Roboto"/>
                                    <w:color w:val="000000"/>
                                    <w:kern w:val="24"/>
                                  </w:rPr>
                                  <w:t>Delving into the Core of Our Business Success: A Comprehensive Analysis of Our Product Sales. This pie chart gives a clear breakdown of our sales by product category, offering an insightful look into our customers' preferences and the performance of each category. The Electronics section, representing the largest slice, indicates our strength in technology sales, a testament to our cutting-edge offerings and market understanding. Apparel, our second-largest category, underscores our prowess in fashion retail. Home &amp; Kitchen, Sports &amp; Outdoors, and Books &amp; Media highlight our diverse product range catering to varied consumer needs. The 'Other' category encapsulates a mix of niche products that add to our unique catalog. By understanding these</w:t>
                                </w:r>
                              </w:p>
                            </w:txbxContent>
                          </wps:txbx>
                          <wps:bodyPr wrap="square" lIns="0" tIns="0" rIns="0" bIns="0" rtlCol="0" anchor="t">
                            <a:spAutoFit/>
                          </wps:bodyPr>
                        </wps:wsp>
                      </wpg:grpSp>
                      <wps:wsp>
                        <wps:cNvPr id="501672336" name="TextBox 20"/>
                        <wps:cNvSpPr txBox="1"/>
                        <wps:spPr>
                          <a:xfrm>
                            <a:off x="4692638" y="4669165"/>
                            <a:ext cx="4276725" cy="1155673"/>
                          </a:xfrm>
                          <a:prstGeom prst="rect">
                            <a:avLst/>
                          </a:prstGeom>
                        </wps:spPr>
                        <wps:txbx>
                          <w:txbxContent>
                            <w:p w14:paraId="25FE9A91">
                              <w:pPr>
                                <w:spacing w:line="364" w:lineRule="exact"/>
                                <w:rPr>
                                  <w:rFonts w:ascii="Roboto" w:hAnsi="Roboto" w:eastAsia="Roboto"/>
                                  <w:color w:val="000000"/>
                                  <w:kern w:val="24"/>
                                  <w:sz w:val="24"/>
                                  <w:szCs w:val="24"/>
                                  <w14:ligatures w14:val="none"/>
                                </w:rPr>
                              </w:pPr>
                              <w:r>
                                <w:rPr>
                                  <w:rFonts w:ascii="Roboto" w:hAnsi="Roboto" w:eastAsia="Roboto"/>
                                  <w:color w:val="000000"/>
                                  <w:kern w:val="24"/>
                                </w:rPr>
                                <w:t>dynamics, we can focus on enhancing our strong suits while also developing strategies for the categories with room for improvement. This analysis is instrumental in shaping our inventory decisions, marketing strategies, and overall business growth plans, ensuring we stay competitive and customer-centric in our approach.</w:t>
                              </w:r>
                            </w:p>
                          </w:txbxContent>
                        </wps:txbx>
                        <wps:bodyPr wrap="square" lIns="0" tIns="0" rIns="0" bIns="0" rtlCol="0" anchor="t">
                          <a:spAutoFit/>
                        </wps:bodyPr>
                      </wps:wsp>
                    </wpg:wgp>
                  </a:graphicData>
                </a:graphic>
              </wp:anchor>
            </w:drawing>
          </mc:Choice>
          <mc:Fallback>
            <w:pict>
              <v:group id="Group 1" o:spid="_x0000_s1026" o:spt="203" style="position:absolute;left:0pt;margin-left:67.8pt;margin-top:233.3pt;height:298.9pt;width:706.25pt;mso-position-horizontal-relative:margin;z-index:251659264;mso-width-relative:page;mso-height-relative:page;" coordorigin="0,2092444" coordsize="8969363,3795958" o:gfxdata="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sgzHNsAAAANAQAADwAAAAAAAAABACAAAAAiAAAAZHJzL2Rvd25yZXYueG1sUEsBAhQAFAAAAAgA&#10;h07iQE+r7F/NAgAAgAkAAA4AAAAAAAAAAQAgAAAAKgEAAGRycy9lMm9Eb2MueG1sUEsFBgAAAAAG&#10;AAYAWQEAAGkGAAAAAA==&#10;">
                <o:lock v:ext="edit" aspectratio="f"/>
                <v:group id="Group 753310132" o:spid="_x0000_s1026" o:spt="203" style="position:absolute;left:0;top:2092444;height:3795958;width:3815715;" coordorigin="0,2092444" coordsize="5510913,5061279" o:gfxdata="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IZ3jEAAAA4gAAAA8AAAAAAAAAAQAgAAAAIgAAAGRycy9kb3du&#10;cmV2LnhtbFBLAQIUABQAAAAIAIdO4kAzLwWeOwAAADkAAAAVAAAAAAAAAAEAIAAAABMBAABkcnMv&#10;Z3JvdXBzaGFwZXhtbC54bWxQSwUGAAAAAAYABgBgAQAA0AMAAAAA&#10;">
                  <o:lock v:ext="edit" aspectratio="f"/>
                  <v:shape id="TextBox 18" o:spid="_x0000_s1026" o:spt="202" type="#_x0000_t202" style="position:absolute;left:33396;top:2092444;height:789094;width:4868936;" filled="f" stroked="f" coordsize="21600,21600" o:gfxdata="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4d7&#10;n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4298EB96">
                          <w:pPr>
                            <w:spacing w:line="932" w:lineRule="exact"/>
                            <w:rPr>
                              <w:rFonts w:ascii="League Spartan" w:hAnsi="League Spartan" w:eastAsia="Cormorant Garamond"/>
                              <w:b/>
                              <w:bCs/>
                              <w:color w:val="F65D57"/>
                              <w:kern w:val="24"/>
                              <w:sz w:val="108"/>
                              <w:szCs w:val="108"/>
                              <w14:ligatures w14:val="none"/>
                            </w:rPr>
                          </w:pPr>
                          <w:r>
                            <w:rPr>
                              <w:rFonts w:ascii="League Spartan" w:hAnsi="League Spartan" w:eastAsia="Cormorant Garamond"/>
                              <w:b/>
                              <w:bCs/>
                              <w:color w:val="F65D57"/>
                              <w:kern w:val="24"/>
                              <w:sz w:val="108"/>
                              <w:szCs w:val="108"/>
                            </w:rPr>
                            <w:t xml:space="preserve">6 pie chart </w:t>
                          </w:r>
                        </w:p>
                      </w:txbxContent>
                    </v:textbox>
                  </v:shape>
                  <v:shape id="TextBox 19" o:spid="_x0000_s1026" o:spt="202" type="#_x0000_t202" style="position:absolute;left:0;top:3147295;height:4006428;width:5510913;" filled="f" stroked="f" coordsize="21600,21600" o:gfxdata="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Vu&#10;6ZPCAAAA4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3B32C753">
                          <w:pPr>
                            <w:spacing w:line="364" w:lineRule="exact"/>
                            <w:rPr>
                              <w:rFonts w:ascii="Roboto" w:hAnsi="Roboto" w:eastAsia="Roboto"/>
                              <w:color w:val="000000"/>
                              <w:kern w:val="24"/>
                              <w:sz w:val="24"/>
                              <w:szCs w:val="24"/>
                              <w14:ligatures w14:val="none"/>
                            </w:rPr>
                          </w:pPr>
                          <w:r>
                            <w:rPr>
                              <w:rFonts w:ascii="Roboto" w:hAnsi="Roboto" w:eastAsia="Roboto"/>
                              <w:color w:val="000000"/>
                              <w:kern w:val="24"/>
                            </w:rPr>
                            <w:t>Delving into the Core of Our Business Success: A Comprehensive Analysis of Our Product Sales. This pie chart gives a clear breakdown of our sales by product category, offering an insightful look into our customers' preferences and the performance of each category. The Electronics section, representing the largest slice, indicates our strength in technology sales, a testament to our cutting-edge offerings and market understanding. Apparel, our second-largest category, underscores our prowess in fashion retail. Home &amp; Kitchen, Sports &amp; Outdoors, and Books &amp; Media highlight our diverse product range catering to varied consumer needs. The 'Other' category encapsulates a mix of niche products that add to our unique catalog. By understanding these</w:t>
                          </w:r>
                        </w:p>
                      </w:txbxContent>
                    </v:textbox>
                  </v:shape>
                </v:group>
                <v:shape id="TextBox 20" o:spid="_x0000_s1026" o:spt="202" type="#_x0000_t202" style="position:absolute;left:4692638;top:4669165;height:1155673;width:4276725;" filled="f" stroked="f" coordsize="21600,21600" o:gfxdata="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pRxD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5FE9A91">
                        <w:pPr>
                          <w:spacing w:line="364" w:lineRule="exact"/>
                          <w:rPr>
                            <w:rFonts w:ascii="Roboto" w:hAnsi="Roboto" w:eastAsia="Roboto"/>
                            <w:color w:val="000000"/>
                            <w:kern w:val="24"/>
                            <w:sz w:val="24"/>
                            <w:szCs w:val="24"/>
                            <w14:ligatures w14:val="none"/>
                          </w:rPr>
                        </w:pPr>
                        <w:r>
                          <w:rPr>
                            <w:rFonts w:ascii="Roboto" w:hAnsi="Roboto" w:eastAsia="Roboto"/>
                            <w:color w:val="000000"/>
                            <w:kern w:val="24"/>
                          </w:rPr>
                          <w:t>dynamics, we can focus on enhancing our strong suits while also developing strategies for the categories with room for improvement. This analysis is instrumental in shaping our inventory decisions, marketing strategies, and overall business growth plans, ensuring we stay competitive and customer-centric in our approach.</w:t>
                        </w:r>
                      </w:p>
                    </w:txbxContent>
                  </v:textbox>
                </v:shape>
              </v:group>
            </w:pict>
          </mc:Fallback>
        </mc:AlternateContent>
      </w:r>
      <w:r>
        <w:drawing>
          <wp:anchor distT="0" distB="0" distL="114300" distR="114300" simplePos="0" relativeHeight="251660288" behindDoc="0" locked="0" layoutInCell="1" allowOverlap="1">
            <wp:simplePos x="0" y="0"/>
            <wp:positionH relativeFrom="column">
              <wp:posOffset>4549775</wp:posOffset>
            </wp:positionH>
            <wp:positionV relativeFrom="paragraph">
              <wp:posOffset>554990</wp:posOffset>
            </wp:positionV>
            <wp:extent cx="5956300" cy="4864735"/>
            <wp:effectExtent l="0" t="0" r="0" b="0"/>
            <wp:wrapNone/>
            <wp:docPr id="14779794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p>
    <w:sectPr>
      <w:pgSz w:w="16838" w:h="11906" w:orient="landscape"/>
      <w:pgMar w:top="0" w:right="0" w:bottom="0" w:left="0" w:header="720" w:footer="720" w:gutter="0"/>
      <w:paperSrc w:first="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6631BC2-967A-1CF4-09AE-B26765E265F1}"/>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7843F269-7B73-F346-09AE-B267DD3ED9AF}"/>
  </w:font>
  <w:font w:name="League Spartan">
    <w:panose1 w:val="00000000000000000000"/>
    <w:charset w:val="00"/>
    <w:family w:val="swiss"/>
    <w:pitch w:val="default"/>
    <w:sig w:usb0="A000007F" w:usb1="4000004B" w:usb2="00000000" w:usb3="00000000" w:csb0="00000193" w:csb1="00000000"/>
    <w:embedRegular r:id="rId3" w:fontKey="{2ACE629C-FB90-8258-09AE-B2679A997D9C}"/>
  </w:font>
  <w:font w:name="Cormorant Garamond">
    <w:panose1 w:val="00000000000000000000"/>
    <w:charset w:val="00"/>
    <w:family w:val="auto"/>
    <w:pitch w:val="default"/>
    <w:sig w:usb0="A00002FF" w:usb1="0001E07B" w:usb2="00000020" w:usb3="00000000" w:csb0="20000197" w:csb1="00000000"/>
    <w:embedRegular r:id="rId4" w:fontKey="{AE85EB5B-B1E3-17ED-09AE-B267384465D7}"/>
  </w:font>
  <w:font w:name="Roboto">
    <w:panose1 w:val="02000000000000000000"/>
    <w:charset w:val="00"/>
    <w:family w:val="auto"/>
    <w:pitch w:val="default"/>
    <w:sig w:usb0="E00002FF" w:usb1="5000205B" w:usb2="00000020" w:usb3="00000000" w:csb0="2000019F" w:csb1="00000000"/>
    <w:embedRegular r:id="rId5" w:fontKey="{E07EC124-2048-DD9D-09AE-B267B44982DB}"/>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0DD"/>
    <w:rsid w:val="001B0C72"/>
    <w:rsid w:val="00312102"/>
    <w:rsid w:val="003A5556"/>
    <w:rsid w:val="006610CB"/>
    <w:rsid w:val="006F57C2"/>
    <w:rsid w:val="008227C4"/>
    <w:rsid w:val="00A87C2D"/>
    <w:rsid w:val="00C22A38"/>
    <w:rsid w:val="00C41C63"/>
    <w:rsid w:val="00C666D7"/>
    <w:rsid w:val="00CC50DD"/>
    <w:rsid w:val="00DA3114"/>
    <w:rsid w:val="00DA6FF1"/>
    <w:rsid w:val="00E97B43"/>
    <w:rsid w:val="00FB6BBE"/>
    <w:rsid w:val="39DFF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2"/>
      <w:szCs w:val="22"/>
      <w:lang w:val="en-US" w:eastAsia="en-US" w:bidi="ar-SA"/>
      <w14:ligatures w14:val="standardContextual"/>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charts/chart1.xml" Type="http://schemas.openxmlformats.org/officeDocument/2006/relationships/chart"/>
<Relationship Id="rId5" Target="../customXml/item1.xml" Type="http://schemas.openxmlformats.org/officeDocument/2006/relationships/customXml"/>
<Relationship Id="rId6"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s>

</file>

<file path=word/charts/_rels/chart1.xml.rels><?xml version="1.0" encoding="UTF-8" standalone="no"?>
<Relationships xmlns="http://schemas.openxmlformats.org/package/2006/relationships">
<Relationship Id="rId1" Target="../embeddings/Workbook1.xlsx" Type="http://schemas.openxmlformats.org/officeDocument/2006/relationships/package"/>
<Relationship Id="rId2" Target="style1.xml" Type="http://schemas.microsoft.com/office/2011/relationships/chartStyle"/>
<Relationship Id="rId3" Target="colors1.xml" Type="http://schemas.microsoft.com/office/2011/relationships/chartColorStyl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spPr>
            <a:solidFill>
              <a:srgbClr val="00431F"/>
            </a:solidFill>
            <a:ln w="19050">
              <a:noFill/>
            </a:ln>
          </c:spPr>
          <c:explosion val="0"/>
          <c:dPt>
            <c:idx val="0"/>
            <c:bubble3D val="0"/>
            <c:spPr>
              <a:solidFill>
                <a:srgbClr val="F65D57"/>
              </a:solidFill>
              <a:ln w="19050">
                <a:noFill/>
              </a:ln>
              <a:effectLst/>
            </c:spPr>
          </c:dPt>
          <c:dPt>
            <c:idx val="1"/>
            <c:bubble3D val="0"/>
            <c:spPr>
              <a:solidFill>
                <a:srgbClr val="FFB657"/>
              </a:solidFill>
              <a:ln w="19050">
                <a:noFill/>
              </a:ln>
              <a:effectLst/>
            </c:spPr>
          </c:dPt>
          <c:dPt>
            <c:idx val="2"/>
            <c:bubble3D val="0"/>
            <c:spPr>
              <a:solidFill>
                <a:srgbClr val="FBD49D"/>
              </a:solidFill>
              <a:ln w="19050">
                <a:noFill/>
              </a:ln>
              <a:effectLst/>
            </c:spPr>
          </c:dPt>
          <c:dPt>
            <c:idx val="3"/>
            <c:bubble3D val="0"/>
            <c:spPr>
              <a:solidFill>
                <a:srgbClr val="90D1F1"/>
              </a:solidFill>
              <a:ln w="19050">
                <a:noFill/>
              </a:ln>
              <a:effectLst/>
            </c:spPr>
          </c:dPt>
          <c:dPt>
            <c:idx val="4"/>
            <c:bubble3D val="0"/>
            <c:spPr>
              <a:solidFill>
                <a:srgbClr val="486199"/>
              </a:solidFill>
              <a:ln w="19050">
                <a:noFill/>
              </a:ln>
              <a:effectLst/>
            </c:spPr>
          </c:dPt>
          <c:dPt>
            <c:idx val="5"/>
            <c:bubble3D val="0"/>
            <c:spPr>
              <a:solidFill>
                <a:srgbClr val="18355F"/>
              </a:solidFill>
              <a:ln w="19050">
                <a:noFill/>
              </a:ln>
              <a:effectLst/>
            </c:spPr>
          </c:dPt>
          <c:dLbls>
            <c:dLbl>
              <c:idx val="0"/>
              <c:layout>
                <c:manualLayout>
                  <c:x val="0.0469667318982387"/>
                  <c:y val="-0.129394493017169"/>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720156555773"/>
                  <c:y val="-0.0742820237691156"/>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09574400214899"/>
                  <c:y val="0.152444398121966"/>
                </c:manualLayout>
              </c:layout>
              <c:numFmt formatCode="General" sourceLinked="1"/>
              <c:spPr>
                <a:noFill/>
                <a:ln w="6350">
                  <a:noFill/>
                </a:ln>
                <a:effectLst/>
              </c:spPr>
              <c:txPr>
                <a:bodyPr rot="0" spcFirstLastPara="1" vertOverflow="clip" horzOverflow="clip" vert="horz" wrap="square" lIns="38100" tIns="19050" rIns="38100" bIns="19050" anchor="ctr" anchorCtr="1">
                  <a:noAutofit/>
                </a:bodyPr>
                <a:lstStyle/>
                <a:p>
                  <a:pPr>
                    <a:defRPr lang="zh-CN" sz="1195" b="0" i="0" u="none" strike="noStrike" kern="1200" baseline="0">
                      <a:solidFill>
                        <a:srgbClr val="18355F"/>
                      </a:solidFill>
                      <a:latin typeface="League Spartan" pitchFamily="2" charset="0"/>
                      <a:ea typeface="+mn-ea"/>
                      <a:cs typeface="+mn-cs"/>
                    </a:defRPr>
                  </a:pPr>
                </a:p>
              </c:txPr>
              <c:showLegendKey val="0"/>
              <c:showVal val="0"/>
              <c:showCatName val="1"/>
              <c:showSerName val="0"/>
              <c:showPercent val="1"/>
              <c:showBubbleSize val="0"/>
              <c:separator>
</c:separator>
              <c:extLst>
                <c:ext xmlns:c15="http://schemas.microsoft.com/office/drawing/2012/chart" uri="{CE6537A1-D6FC-4f65-9D91-7224C49458BB}">
                  <c15:layout>
                    <c:manualLayout>
                      <c:w val="0.114593959337172"/>
                      <c:h val="0.0947044567637568"/>
                    </c:manualLayout>
                  </c15:layout>
                </c:ext>
              </c:extLst>
            </c:dLbl>
            <c:dLbl>
              <c:idx val="3"/>
              <c:layout>
                <c:manualLayout>
                  <c:x val="-0.182609505901315"/>
                  <c:y val="0.0845462661855433"/>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58483511989952"/>
                  <c:y val="-0.0335824861235844"/>
                </c:manualLayout>
              </c:layout>
              <c:numFmt formatCode="General" sourceLinked="1"/>
              <c:spPr>
                <a:noFill/>
                <a:ln w="6350">
                  <a:noFill/>
                </a:ln>
                <a:effectLst/>
              </c:spPr>
              <c:txPr>
                <a:bodyPr rot="0" spcFirstLastPara="1" vertOverflow="clip" horzOverflow="clip" vert="horz" wrap="square" lIns="38100" tIns="19050" rIns="38100" bIns="19050" anchor="ctr" anchorCtr="1">
                  <a:noAutofit/>
                </a:bodyPr>
                <a:lstStyle/>
                <a:p>
                  <a:pPr>
                    <a:defRPr lang="zh-CN" sz="1195" b="0" i="0" u="none" strike="noStrike" kern="1200" baseline="0">
                      <a:solidFill>
                        <a:srgbClr val="18355F"/>
                      </a:solidFill>
                      <a:latin typeface="League Spartan" pitchFamily="2" charset="0"/>
                      <a:ea typeface="+mn-ea"/>
                      <a:cs typeface="+mn-cs"/>
                    </a:defRPr>
                  </a:pPr>
                </a:p>
              </c:txPr>
              <c:showLegendKey val="0"/>
              <c:showVal val="0"/>
              <c:showCatName val="1"/>
              <c:showSerName val="0"/>
              <c:showPercent val="1"/>
              <c:showBubbleSize val="0"/>
              <c:separator>
</c:separator>
              <c:extLst>
                <c:ext xmlns:c15="http://schemas.microsoft.com/office/drawing/2012/chart" uri="{CE6537A1-D6FC-4f65-9D91-7224C49458BB}">
                  <c15:layout>
                    <c:manualLayout>
                      <c:w val="0.12158689119084"/>
                      <c:h val="0.123423022833624"/>
                    </c:manualLayout>
                  </c15:layout>
                </c:ext>
              </c:extLst>
            </c:dLbl>
            <c:dLbl>
              <c:idx val="5"/>
              <c:layout>
                <c:manualLayout>
                  <c:x val="-0.0978473581213307"/>
                  <c:y val="-0.11980971575663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w="6350">
                <a:noFill/>
              </a:ln>
              <a:effectLst/>
            </c:spPr>
            <c:txPr>
              <a:bodyPr rot="0" spcFirstLastPara="1" vertOverflow="clip" horzOverflow="clip" vert="horz" wrap="square" lIns="38100" tIns="19050" rIns="38100" bIns="19050" anchor="ctr" anchorCtr="1">
                <a:spAutoFit/>
              </a:bodyPr>
              <a:lstStyle/>
              <a:p>
                <a:pPr>
                  <a:defRPr lang="zh-CN" sz="1195" b="0" i="0" u="none" strike="noStrike" kern="1200" baseline="0">
                    <a:solidFill>
                      <a:srgbClr val="18355F"/>
                    </a:solidFill>
                    <a:latin typeface="League Spartan" pitchFamily="2" charset="0"/>
                    <a:ea typeface="+mn-ea"/>
                    <a:cs typeface="+mn-cs"/>
                  </a:defRPr>
                </a:pP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Electronics</c:v>
                </c:pt>
                <c:pt idx="1">
                  <c:v>Apparel </c:v>
                </c:pt>
                <c:pt idx="2">
                  <c:v>Home &amp; Kitchen</c:v>
                </c:pt>
                <c:pt idx="3">
                  <c:v>Sports &amp; Outdoors</c:v>
                </c:pt>
                <c:pt idx="4">
                  <c:v>Books &amp; Media</c:v>
                </c:pt>
                <c:pt idx="5">
                  <c:v>Others</c:v>
                </c:pt>
              </c:strCache>
            </c:strRef>
          </c:cat>
          <c:val>
            <c:numRef>
              <c:f>Sheet1!$B$2:$B$7</c:f>
              <c:numCache>
                <c:formatCode>General</c:formatCode>
                <c:ptCount val="6"/>
                <c:pt idx="0">
                  <c:v>5</c:v>
                </c:pt>
                <c:pt idx="1">
                  <c:v>10</c:v>
                </c:pt>
                <c:pt idx="2">
                  <c:v>15</c:v>
                </c:pt>
                <c:pt idx="3">
                  <c:v>20</c:v>
                </c:pt>
                <c:pt idx="4">
                  <c:v>5</c:v>
                </c:pt>
                <c:pt idx="5">
                  <c:v>10</c:v>
                </c:pt>
              </c:numCache>
            </c:numRef>
          </c:val>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uri="{0b15fc19-7d7d-44ad-8c2d-2c3a37ce22c3}">
        <chartProps xmlns="https://web.wps.cn/et/2018/main" chartId="{dec3bae7-69bb-43f2-910c-065c57d71078}"/>
      </c:ext>
    </c:extLst>
  </c:chart>
  <c:spPr>
    <a:no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2</Characters>
  <DocSecurity>0</DocSecurity>
  <Lines>1</Lines>
  <Paragraphs>1</Paragraphs>
  <ScaleCrop>false</ScaleCrop>
  <LinksUpToDate>false</LinksUpToDate>
  <CharactersWithSpaces>2</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