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27.116997pt;margin-top:124.117004pt;width:591.25pt;height:288.75pt;mso-position-horizontal-relative:page;mso-position-vertical-relative:page;z-index:-4096" coordorigin="2542,2482" coordsize="11825,5775">
            <v:shape style="position:absolute;left:2549;top:2489;width:9780;height:720" coordorigin="2550,2490" coordsize="9780,720" path="m12330,3210l2550,3210,2550,2490,12045,2490,12330,3210xe" filled="true" fillcolor="#8ec8c8" stroked="false">
              <v:path arrowok="t"/>
              <v:fill type="solid"/>
            </v:shape>
            <v:shape style="position:absolute;left:2549;top:3209;width:10080;height:720" coordorigin="2550,3210" coordsize="10080,720" path="m12630,3930l2550,3930,2550,3210,12330,3210,12630,3930xe" filled="true" fillcolor="#edf4f4" stroked="false">
              <v:path arrowok="t"/>
              <v:fill type="solid"/>
            </v:shape>
            <v:shape style="position:absolute;left:2549;top:3209;width:10080;height:720" coordorigin="2550,3210" coordsize="10080,720" path="m2550,3210l12330,3210,12630,3930,2550,3930,2550,3210xe" filled="false" stroked="true" strokeweight=".75pt" strokecolor="#ffffff">
              <v:path arrowok="t"/>
              <v:stroke dashstyle="solid"/>
            </v:shape>
            <v:shape style="position:absolute;left:2549;top:3929;width:10365;height:720" coordorigin="2550,3930" coordsize="10365,720" path="m12915,4650l2550,4650,2550,3930,12630,3930,12915,4650xe" filled="true" fillcolor="#8ec8c8" stroked="false">
              <v:path arrowok="t"/>
              <v:fill type="solid"/>
            </v:shape>
            <v:shape style="position:absolute;left:2549;top:3929;width:10365;height:720" coordorigin="2550,3930" coordsize="10365,720" path="m2550,3930l12630,3930,12915,4650,2550,4650,2550,3930xe" filled="false" stroked="true" strokeweight=".75pt" strokecolor="#ffffff">
              <v:path arrowok="t"/>
              <v:stroke dashstyle="solid"/>
            </v:shape>
            <v:shape style="position:absolute;left:2549;top:4649;width:10650;height:720" coordorigin="2550,4650" coordsize="10650,720" path="m13200,5370l2550,5370,2550,4650,12915,4650,13200,5370xe" filled="true" fillcolor="#edf4f4" stroked="false">
              <v:path arrowok="t"/>
              <v:fill type="solid"/>
            </v:shape>
            <v:shape style="position:absolute;left:2549;top:4649;width:10650;height:720" coordorigin="2550,4650" coordsize="10650,720" path="m2550,4650l12915,4650,13200,5370,2550,5370,2550,4650xe" filled="false" stroked="true" strokeweight=".75pt" strokecolor="#ffffff">
              <v:path arrowok="t"/>
              <v:stroke dashstyle="solid"/>
            </v:shape>
            <v:rect style="position:absolute;left:2549;top:5366;width:2085;height:2880" filled="true" fillcolor="#f4c63a" stroked="false">
              <v:fill type="solid"/>
            </v:rect>
            <v:rect style="position:absolute;left:2549;top:5366;width:2085;height:2880" filled="false" stroked="true" strokeweight=".75pt" strokecolor="#ffffff">
              <v:stroke dashstyle="solid"/>
            </v:rect>
            <v:rect style="position:absolute;left:4634;top:5366;width:2085;height:2880" filled="true" fillcolor="#f4c63a" stroked="false">
              <v:fill type="solid"/>
            </v:rect>
            <v:rect style="position:absolute;left:4634;top:5366;width:2085;height:2880" filled="false" stroked="true" strokeweight=".75pt" strokecolor="#ffffff">
              <v:stroke dashstyle="solid"/>
            </v:rect>
            <v:rect style="position:absolute;left:6719;top:5366;width:2085;height:2880" filled="true" fillcolor="#e46e5d" stroked="false">
              <v:fill type="solid"/>
            </v:rect>
            <v:rect style="position:absolute;left:6719;top:5366;width:2085;height:2880" filled="false" stroked="true" strokeweight=".75pt" strokecolor="#ffffff">
              <v:stroke dashstyle="solid"/>
            </v:rect>
            <v:rect style="position:absolute;left:8804;top:5366;width:2085;height:2880" filled="true" fillcolor="#f4c63a" stroked="false">
              <v:fill type="solid"/>
            </v:rect>
            <v:rect style="position:absolute;left:8804;top:5366;width:2085;height:2880" filled="false" stroked="true" strokeweight=".75pt" strokecolor="#ffffff">
              <v:stroke dashstyle="solid"/>
            </v:rect>
            <v:shape style="position:absolute;left:10889;top:5366;width:2385;height:2880" coordorigin="10890,5367" coordsize="2385,2880" path="m12120,8247l10890,8247,10890,5367,13275,5367,12120,8247xe" filled="true" fillcolor="#f4c63a" stroked="false">
              <v:path arrowok="t"/>
              <v:fill type="solid"/>
            </v:shape>
            <v:shape style="position:absolute;left:10889;top:5366;width:2385;height:2880" coordorigin="10890,5367" coordsize="2385,2880" path="m10890,5367l13275,5367,12120,8247,10890,8247,10890,5367xe" filled="false" stroked="true" strokeweight=".75pt" strokecolor="#ffffff">
              <v:path arrowok="t"/>
              <v:stroke dashstyle="solid"/>
            </v:shape>
            <v:shape style="position:absolute;left:12048;top:2489;width:2310;height:5760" coordorigin="12049,2490" coordsize="2310,5760" path="m13204,8250l12049,8250,13204,5370,12049,2490,13204,2490,14359,5370,13204,8250xe" filled="true" fillcolor="#707c8c" stroked="false">
              <v:path arrowok="t"/>
              <v:fill type="solid"/>
            </v:shape>
            <v:shape style="position:absolute;left:12048;top:2489;width:2310;height:5760" coordorigin="12049,2490" coordsize="2310,5760" path="m12049,2490l13204,2490,14359,5370,13204,8250,12049,8250,13204,5370,12049,2490xe" filled="false" stroked="true" strokeweight=".75pt" strokecolor="#fffff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28.292999pt;margin-top:432.757996pt;width:545.85pt;height:54.75pt;mso-position-horizontal-relative:page;mso-position-vertical-relative:page;z-index:-4072" coordorigin="2566,8655" coordsize="10917,1095">
            <v:shape style="position:absolute;left:2565;top:8662;width:4595;height:1080" coordorigin="2566,8663" coordsize="4595,1080" path="m5056,9203l4651,8663,2566,8663,2986,9203,2566,9743,4651,9743,5056,9203m7161,9203l6756,8663,4671,8663,5091,9203,4671,9743,6756,9743,7161,9203e" filled="true" fillcolor="#79acdd" stroked="false">
              <v:path arrowok="t"/>
              <v:fill type="solid"/>
            </v:shape>
            <v:shape style="position:absolute;left:4670;top:8662;width:2490;height:1080" coordorigin="4671,8663" coordsize="2490,1080" path="m4671,8663l6756,8663,7161,9203,6756,9743,4671,9743,5091,9203,4671,8663xe" filled="false" stroked="true" strokeweight=".75pt" strokecolor="#ffffff">
              <v:path arrowok="t"/>
              <v:stroke dashstyle="solid"/>
            </v:shape>
            <v:shape style="position:absolute;left:6775;top:8662;width:2490;height:1080" coordorigin="6775,8663" coordsize="2490,1080" path="m8860,9743l6775,9743,7195,9203,6775,8663,8860,8663,9265,9203,8860,9743xe" filled="true" fillcolor="#79acdd" stroked="false">
              <v:path arrowok="t"/>
              <v:fill type="solid"/>
            </v:shape>
            <v:shape style="position:absolute;left:6775;top:8662;width:2490;height:1080" coordorigin="6775,8663" coordsize="2490,1080" path="m6775,8663l8860,8663,9265,9203,8860,9743,6775,9743,7195,9203,6775,8663xe" filled="false" stroked="true" strokeweight=".75pt" strokecolor="#ffffff">
              <v:path arrowok="t"/>
              <v:stroke dashstyle="solid"/>
            </v:shape>
            <v:shape style="position:absolute;left:8880;top:8662;width:2490;height:1080" coordorigin="8880,8663" coordsize="2490,1080" path="m10965,9743l8880,9743,9300,9203,8880,8663,10965,8663,11370,9203,10965,9743xe" filled="true" fillcolor="#79acdd" stroked="false">
              <v:path arrowok="t"/>
              <v:fill type="solid"/>
            </v:shape>
            <v:shape style="position:absolute;left:8880;top:8662;width:2490;height:1080" coordorigin="8880,8663" coordsize="2490,1080" path="m8880,8663l10965,8663,11370,9203,10965,9743,8880,9743,9300,9203,8880,8663xe" filled="false" stroked="true" strokeweight=".75pt" strokecolor="#ffffff">
              <v:path arrowok="t"/>
              <v:stroke dashstyle="solid"/>
            </v:shape>
            <v:shape style="position:absolute;left:10984;top:8662;width:2490;height:1080" coordorigin="10985,8663" coordsize="2490,1080" path="m13070,9743l10985,9743,11405,9203,10985,8663,13070,8663,13475,9203,13070,9743xe" filled="true" fillcolor="#79acdd" stroked="false">
              <v:path arrowok="t"/>
              <v:fill type="solid"/>
            </v:shape>
            <v:shape style="position:absolute;left:10984;top:8662;width:2490;height:1080" coordorigin="10985,8663" coordsize="2490,1080" path="m10985,8663l13070,8663,13475,9203,13070,9743,10985,9743,11405,9203,10985,8663xe" filled="false" stroked="true" strokeweight=".75pt" strokecolor="#ffffff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8.75pt;margin-top:79.851082pt;width:313.3pt;height:20.85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sz w:val="34"/>
                    </w:rPr>
                  </w:pPr>
                  <w:r>
                    <w:rPr>
                      <w:sz w:val="34"/>
                    </w:rPr>
                    <w:t>Financing Acquisitions Value Chain Analysis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503906pt;margin-top:134.173828pt;width:92.85pt;height:15.3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Time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582031pt;margin-top:170.173828pt;width:107.55pt;height:15.3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Synergy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5625pt;margin-top:206.173828pt;width:89.5pt;height:15.3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Risk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355469pt;margin-top:242.173828pt;width:116.7pt;height:15.3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Transition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328125pt;margin-top:336.006348pt;width:74.95pt;height:14.2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color w:val="FFFFFF"/>
                    </w:rPr>
                    <w:t>Market Analysis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375pt;margin-top:443.701172pt;width:53.15pt;height:30.3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line="261" w:lineRule="auto" w:before="10"/>
                    <w:ind w:left="65" w:right="-4" w:hanging="45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Financing Porducts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44531pt;margin-top:443.701172pt;width:69.850pt;height:30.3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line="261" w:lineRule="auto" w:before="10"/>
                    <w:ind w:left="20" w:right="-4" w:firstLine="21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External Environment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410156pt;margin-top:449.513184pt;width:56.8pt;height:16.4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z w:val="26"/>
                    </w:rPr>
                    <w:t>Strategies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90625pt;margin-top:451.11084pt;width:67.6pt;height:16.4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z w:val="26"/>
                    </w:rPr>
                    <w:t>Framework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273438pt;margin-top:451.509277pt;width:43.75pt;height:16.4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z w:val="26"/>
                    </w:rPr>
                    <w:t>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710571pt;margin-top:188.636353pt;width:110pt;height:14pt;mso-position-horizontal-relative:page;mso-position-vertical-relative:page;z-index:-3784;rotation:68" type="#_x0000_t136" fillcolor="#ffffff" stroked="f">
            <o:extrusion v:ext="view" autorotationcenter="t"/>
            <v:textpath style="font-family:&amp;quot;Times New Roman&amp;quot;;font-size:14pt;v-text-kern:t;mso-text-shadow:auto" string="Assets Preservation"/>
            <w10:wrap type="none"/>
          </v:shape>
        </w:pict>
      </w:r>
      <w:r>
        <w:rPr/>
        <w:pict>
          <v:shape style="position:absolute;margin-left:608.455994pt;margin-top:331.768738pt;width:102.5pt;height:14pt;mso-position-horizontal-relative:page;mso-position-vertical-relative:page;z-index:-3760;rotation:111" type="#_x0000_t136" fillcolor="#ffffff" stroked="f">
            <o:extrusion v:ext="view" autorotationcenter="t"/>
            <v:textpath style="font-family:&amp;quot;Times New Roman&amp;quot;;font-size:14pt;v-text-kern:t;mso-text-shadow:auto" string="Assets Generation"/>
            <w10:wrap type="none"/>
          </v:shape>
        </w:pict>
      </w:r>
      <w:r>
        <w:rPr/>
        <w:pict>
          <v:shape style="position:absolute;margin-left:127.491997pt;margin-top:268.343994pt;width:208.5pt;height:144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2201" w:val="left" w:leader="none"/>
                    </w:tabs>
                    <w:spacing w:line="511" w:lineRule="auto"/>
                    <w:ind w:left="116" w:right="366"/>
                  </w:pPr>
                  <w:r>
                    <w:rPr>
                      <w:color w:val="FFFFFF"/>
                    </w:rPr>
                    <w:t>Corporate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Strategy</w:t>
                    <w:tab/>
                    <w:t>Organization Merger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Metrics</w:t>
                    <w:tab/>
                    <w:t>Process Integration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Analysis</w:t>
                    <w:tab/>
                    <w:t>Information</w:t>
                  </w:r>
                  <w:r>
                    <w:rPr>
                      <w:color w:val="FFFFFF"/>
                      <w:spacing w:val="2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Tech.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92004pt;margin-top:268.343994pt;width:104.25pt;height:144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511" w:lineRule="auto"/>
                    <w:ind w:left="116" w:right="580"/>
                  </w:pPr>
                  <w:r>
                    <w:rPr/>
                    <w:t>Transformation Conversion</w:t>
                  </w:r>
                </w:p>
                <w:p>
                  <w:pPr>
                    <w:pStyle w:val="BodyText"/>
                    <w:spacing w:before="2"/>
                    <w:ind w:left="116"/>
                  </w:pPr>
                  <w:r>
                    <w:rPr/>
                    <w:t>Other Assessment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242004pt;margin-top:268.343994pt;width:104.25pt;height:144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511" w:lineRule="auto"/>
                    <w:ind w:left="116" w:right="512"/>
                  </w:pPr>
                  <w:r>
                    <w:rPr>
                      <w:color w:val="FFFFFF"/>
                    </w:rPr>
                    <w:t>Audit Cooperate Tax Shares &amp;</w:t>
                  </w:r>
                  <w:r>
                    <w:rPr>
                      <w:color w:val="FFFFFF"/>
                      <w:spacing w:val="-12"/>
                    </w:rPr>
                    <w:t> </w:t>
                  </w:r>
                  <w:r>
                    <w:rPr>
                      <w:color w:val="FFFFFF"/>
                    </w:rPr>
                    <w:t>Stocks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280" w:left="0" w:right="2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