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Pr>
          <w:sz w:val="10"/>
        </w:rPr>
      </w:pPr>
    </w:p>
    <w:p>
      <w:pPr>
        <w:pStyle w:val="BodyText"/>
        <w:ind w:left="6200"/>
        <w:rPr>
          <w:sz w:val="20"/>
        </w:rPr>
      </w:pPr>
      <w:r>
        <w:rPr>
          <w:sz w:val="20"/>
        </w:rPr>
        <w:drawing>
          <wp:inline distT="0" distB="0" distL="0" distR="0">
            <wp:extent cx="1840670" cy="51863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40670" cy="518636"/>
                    </a:xfrm>
                    <a:prstGeom prst="rect">
                      <a:avLst/>
                    </a:prstGeom>
                  </pic:spPr>
                </pic:pic>
              </a:graphicData>
            </a:graphic>
          </wp:inline>
        </w:drawing>
      </w:r>
      <w:r>
        <w:rPr>
          <w:sz w:val="20"/>
        </w:rPr>
      </w:r>
    </w:p>
    <w:p>
      <w:pPr>
        <w:pStyle w:val="BodyText"/>
        <w:spacing w:before="5"/>
        <w:ind w:left="0"/>
        <w:rPr>
          <w:sz w:val="16"/>
        </w:rPr>
      </w:pPr>
    </w:p>
    <w:p>
      <w:pPr>
        <w:pStyle w:val="Heading1"/>
        <w:spacing w:line="240" w:lineRule="auto"/>
        <w:ind w:left="0" w:right="127"/>
        <w:jc w:val="right"/>
      </w:pPr>
      <w:r>
        <w:rPr/>
        <w:t>Advokátska kancelária/Law</w:t>
      </w:r>
      <w:r>
        <w:rPr>
          <w:spacing w:val="-21"/>
        </w:rPr>
        <w:t> </w:t>
      </w:r>
      <w:r>
        <w:rPr/>
        <w:t>office</w:t>
      </w:r>
    </w:p>
    <w:p>
      <w:pPr>
        <w:pStyle w:val="Heading2"/>
        <w:spacing w:line="249" w:lineRule="exact" w:before="1"/>
        <w:ind w:left="0" w:right="127"/>
        <w:jc w:val="right"/>
        <w:rPr>
          <w:i/>
        </w:rPr>
      </w:pPr>
      <w:r>
        <w:rPr>
          <w:i/>
        </w:rPr>
        <w:t>Dr. Peter</w:t>
      </w:r>
      <w:r>
        <w:rPr>
          <w:i/>
          <w:spacing w:val="-13"/>
        </w:rPr>
        <w:t> </w:t>
      </w:r>
      <w:r>
        <w:rPr>
          <w:b w:val="0"/>
          <w:i w:val="0"/>
        </w:rPr>
        <w:t>C</w:t>
      </w:r>
      <w:r>
        <w:rPr>
          <w:i/>
        </w:rPr>
        <w:t>avojský</w:t>
      </w:r>
    </w:p>
    <w:p>
      <w:pPr>
        <w:pStyle w:val="BodyText"/>
        <w:spacing w:line="248" w:lineRule="exact"/>
        <w:ind w:left="0" w:right="128"/>
        <w:jc w:val="right"/>
      </w:pPr>
      <w:r>
        <w:rPr/>
        <w:t>Štefanovicova</w:t>
      </w:r>
      <w:r>
        <w:rPr>
          <w:spacing w:val="-10"/>
        </w:rPr>
        <w:t> </w:t>
      </w:r>
      <w:r>
        <w:rPr/>
        <w:t>12</w:t>
      </w:r>
    </w:p>
    <w:p>
      <w:pPr>
        <w:pStyle w:val="BodyText"/>
        <w:ind w:left="7288" w:right="127" w:firstLine="237"/>
        <w:jc w:val="right"/>
      </w:pPr>
      <w:r>
        <w:rPr/>
        <w:t>811</w:t>
      </w:r>
      <w:r>
        <w:rPr>
          <w:spacing w:val="8"/>
        </w:rPr>
        <w:t> </w:t>
      </w:r>
      <w:r>
        <w:rPr/>
        <w:t>04</w:t>
      </w:r>
      <w:r>
        <w:rPr>
          <w:spacing w:val="6"/>
        </w:rPr>
        <w:t> </w:t>
      </w:r>
      <w:r>
        <w:rPr>
          <w:spacing w:val="-4"/>
        </w:rPr>
        <w:t>Bratislava</w:t>
      </w:r>
      <w:r>
        <w:rPr>
          <w:w w:val="100"/>
        </w:rPr>
        <w:t> </w:t>
      </w:r>
      <w:r>
        <w:rPr/>
        <w:t>Slovenská</w:t>
      </w:r>
      <w:r>
        <w:rPr>
          <w:spacing w:val="-16"/>
        </w:rPr>
        <w:t> </w:t>
      </w:r>
      <w:r>
        <w:rPr/>
        <w:t>republika</w:t>
      </w:r>
    </w:p>
    <w:p>
      <w:pPr>
        <w:pStyle w:val="BodyText"/>
        <w:spacing w:before="11"/>
        <w:ind w:left="0"/>
        <w:rPr>
          <w:sz w:val="21"/>
        </w:rPr>
      </w:pPr>
    </w:p>
    <w:p>
      <w:pPr>
        <w:pStyle w:val="BodyText"/>
        <w:spacing w:line="251" w:lineRule="exact"/>
        <w:ind w:left="0" w:right="128"/>
        <w:jc w:val="right"/>
      </w:pPr>
      <w:r>
        <w:rPr/>
        <w:t>Tel.: + 421 2 3266</w:t>
      </w:r>
      <w:r>
        <w:rPr>
          <w:spacing w:val="-12"/>
        </w:rPr>
        <w:t> </w:t>
      </w:r>
      <w:r>
        <w:rPr/>
        <w:t>2046</w:t>
      </w:r>
    </w:p>
    <w:p>
      <w:pPr>
        <w:pStyle w:val="BodyText"/>
        <w:spacing w:line="251" w:lineRule="exact"/>
        <w:ind w:left="0" w:right="127"/>
        <w:jc w:val="right"/>
      </w:pPr>
      <w:r>
        <w:rPr/>
        <w:t>Fax: + 421 2 5244</w:t>
      </w:r>
      <w:r>
        <w:rPr>
          <w:spacing w:val="-15"/>
        </w:rPr>
        <w:t> </w:t>
      </w:r>
      <w:r>
        <w:rPr/>
        <w:t>4209</w:t>
      </w:r>
    </w:p>
    <w:p>
      <w:pPr>
        <w:pStyle w:val="BodyText"/>
        <w:spacing w:line="252" w:lineRule="exact"/>
        <w:ind w:left="0" w:right="127"/>
        <w:jc w:val="right"/>
      </w:pPr>
      <w:r>
        <w:rPr/>
        <w:t>Mobil: + 421 902 917</w:t>
      </w:r>
      <w:r>
        <w:rPr>
          <w:spacing w:val="-15"/>
        </w:rPr>
        <w:t> </w:t>
      </w:r>
      <w:r>
        <w:rPr/>
        <w:t>206</w:t>
      </w:r>
    </w:p>
    <w:p>
      <w:pPr>
        <w:pStyle w:val="BodyText"/>
        <w:spacing w:line="252" w:lineRule="exact"/>
        <w:ind w:left="0" w:right="123"/>
        <w:jc w:val="right"/>
      </w:pPr>
      <w:r>
        <w:rPr/>
        <w:t>e-mail:</w:t>
      </w:r>
      <w:r>
        <w:rPr>
          <w:spacing w:val="-23"/>
        </w:rPr>
        <w:t> </w:t>
      </w:r>
      <w:hyperlink r:id="rId6">
        <w:r>
          <w:rPr/>
          <w:t>cavojsky@cavojsky.com</w:t>
        </w:r>
      </w:hyperlink>
    </w:p>
    <w:p>
      <w:pPr>
        <w:pStyle w:val="BodyText"/>
        <w:spacing w:line="252" w:lineRule="exact"/>
        <w:ind w:left="0" w:right="123"/>
        <w:jc w:val="right"/>
      </w:pPr>
      <w:hyperlink r:id="rId7">
        <w:r>
          <w:rPr>
            <w:spacing w:val="-2"/>
          </w:rPr>
          <w:t>www.cavojsky.com</w:t>
        </w:r>
      </w:hyperlink>
    </w:p>
    <w:p>
      <w:pPr>
        <w:pStyle w:val="BodyText"/>
        <w:ind w:left="0"/>
        <w:rPr>
          <w:sz w:val="20"/>
        </w:rPr>
      </w:pPr>
    </w:p>
    <w:p>
      <w:pPr>
        <w:pStyle w:val="BodyText"/>
        <w:ind w:left="0"/>
        <w:rPr>
          <w:sz w:val="20"/>
        </w:rPr>
      </w:pPr>
    </w:p>
    <w:p>
      <w:pPr>
        <w:pStyle w:val="BodyText"/>
        <w:spacing w:before="9"/>
        <w:ind w:left="0"/>
        <w:rPr>
          <w:sz w:val="29"/>
        </w:rPr>
      </w:pPr>
    </w:p>
    <w:p>
      <w:pPr>
        <w:pStyle w:val="BodyText"/>
        <w:spacing w:before="99"/>
        <w:ind w:left="100"/>
        <w:jc w:val="both"/>
      </w:pPr>
      <w:r>
        <w:rPr/>
        <w:t>Dear Sir, Dear Madam,</w:t>
      </w:r>
    </w:p>
    <w:p>
      <w:pPr>
        <w:pStyle w:val="BodyText"/>
        <w:ind w:left="0"/>
        <w:rPr>
          <w:sz w:val="26"/>
        </w:rPr>
      </w:pPr>
    </w:p>
    <w:p>
      <w:pPr>
        <w:pStyle w:val="BodyText"/>
        <w:spacing w:before="206"/>
        <w:ind w:left="100" w:right="453"/>
        <w:jc w:val="both"/>
      </w:pPr>
      <w:r>
        <w:rPr/>
        <w:t>It is our pleasure to introduce our Law office, which has been operating as a new entity in the legal advisory market since 2006. We are convinced that the three basic pillars of our services i.e. </w:t>
      </w:r>
      <w:r>
        <w:rPr>
          <w:b/>
        </w:rPr>
        <w:t>professionality</w:t>
      </w:r>
      <w:r>
        <w:rPr/>
        <w:t>, </w:t>
      </w:r>
      <w:r>
        <w:rPr>
          <w:b/>
        </w:rPr>
        <w:t>effectiveness </w:t>
      </w:r>
      <w:r>
        <w:rPr/>
        <w:t>and </w:t>
      </w:r>
      <w:r>
        <w:rPr>
          <w:b/>
        </w:rPr>
        <w:t>complexity </w:t>
      </w:r>
      <w:r>
        <w:rPr/>
        <w:t>of solutions for our clients are fundaments for any legal advisory.</w:t>
      </w:r>
    </w:p>
    <w:p>
      <w:pPr>
        <w:pStyle w:val="BodyText"/>
        <w:ind w:left="0"/>
      </w:pPr>
    </w:p>
    <w:p>
      <w:pPr>
        <w:pStyle w:val="BodyText"/>
        <w:ind w:left="100" w:right="455"/>
        <w:jc w:val="both"/>
      </w:pPr>
      <w:r>
        <w:rPr/>
        <w:t>In our work, we focus on staying current with the legal environment in Slovakia </w:t>
      </w:r>
      <w:r>
        <w:rPr>
          <w:b/>
        </w:rPr>
        <w:t>using knowledge </w:t>
      </w:r>
      <w:r>
        <w:rPr/>
        <w:t>not only from domestic resources but also from abroad as well. Experience gained in legal practice since 2001 is used in seminars we actively participate in and publication activities. This connection of knowledge of the local and European environments seems to be the right direction in legal consultancy. We believe that services based on proficiency and qualifications are the pillars of</w:t>
      </w:r>
      <w:r>
        <w:rPr>
          <w:spacing w:val="-2"/>
        </w:rPr>
        <w:t> </w:t>
      </w:r>
      <w:r>
        <w:rPr/>
        <w:t>success.</w:t>
      </w:r>
    </w:p>
    <w:p>
      <w:pPr>
        <w:pStyle w:val="BodyText"/>
        <w:ind w:left="0"/>
      </w:pPr>
    </w:p>
    <w:p>
      <w:pPr>
        <w:pStyle w:val="BodyText"/>
        <w:spacing w:before="1"/>
        <w:ind w:left="100" w:right="455"/>
        <w:jc w:val="both"/>
      </w:pPr>
      <w:r>
        <w:rPr/>
        <w:t>Dynamic development of business requires a legal team able to provide </w:t>
      </w:r>
      <w:r>
        <w:rPr>
          <w:b/>
        </w:rPr>
        <w:t>effective solutions</w:t>
      </w:r>
      <w:r>
        <w:rPr/>
        <w:t>, based on experience in particular legal areas. We provide our clients with legal services in such areas where we can prove essential knowledge and experience. Our aim is to propose to our clients legal support in order to let them perform their own activities and rely upon our legal</w:t>
      </w:r>
      <w:r>
        <w:rPr>
          <w:spacing w:val="-29"/>
        </w:rPr>
        <w:t> </w:t>
      </w:r>
      <w:r>
        <w:rPr/>
        <w:t>background.</w:t>
      </w:r>
    </w:p>
    <w:p>
      <w:pPr>
        <w:pStyle w:val="BodyText"/>
        <w:spacing w:before="11"/>
        <w:ind w:left="0"/>
        <w:rPr>
          <w:sz w:val="21"/>
        </w:rPr>
      </w:pPr>
    </w:p>
    <w:p>
      <w:pPr>
        <w:pStyle w:val="BodyText"/>
        <w:ind w:left="100" w:right="455"/>
        <w:jc w:val="both"/>
      </w:pPr>
      <w:r>
        <w:rPr/>
        <w:t>We propose complex solutions. For that reason, we cooperate with eminent tax, business and accounting advisors in the Slovak Republic and abroad, as well as other specialists in areas that require specific knowledge and qualifications. We are capable of setting up a team of advisors who are able to act immediately.</w:t>
      </w:r>
    </w:p>
    <w:p>
      <w:pPr>
        <w:pStyle w:val="BodyText"/>
        <w:ind w:left="0"/>
      </w:pPr>
    </w:p>
    <w:p>
      <w:pPr>
        <w:pStyle w:val="BodyText"/>
        <w:ind w:left="100" w:right="455"/>
        <w:jc w:val="both"/>
      </w:pPr>
      <w:r>
        <w:rPr/>
        <w:t>We are a member of the Central European Corporate Governance Association, the Slovak Association for International Law and the Canadian – Slovak Chamber of Commerce. As a legal advisor, we cooperate with Europäisches EWIV-Informationszentrum in the area of implementation of European rules into the Slovak legal system.</w:t>
      </w:r>
    </w:p>
    <w:p>
      <w:pPr>
        <w:spacing w:after="0"/>
        <w:jc w:val="both"/>
        <w:sectPr>
          <w:type w:val="continuous"/>
          <w:pgSz w:w="12240" w:h="15840"/>
          <w:pgMar w:top="1500" w:bottom="280" w:left="1700" w:right="1340"/>
        </w:sectPr>
      </w:pPr>
    </w:p>
    <w:p>
      <w:pPr>
        <w:pStyle w:val="BodyText"/>
        <w:spacing w:before="9"/>
        <w:ind w:left="0"/>
        <w:rPr>
          <w:sz w:val="21"/>
        </w:rPr>
      </w:pPr>
    </w:p>
    <w:p>
      <w:pPr>
        <w:pStyle w:val="Heading2"/>
        <w:spacing w:before="107"/>
        <w:rPr>
          <w:i/>
        </w:rPr>
      </w:pPr>
      <w:r>
        <w:rPr>
          <w:i/>
        </w:rPr>
        <w:t>S e r v i c e s</w:t>
      </w:r>
    </w:p>
    <w:p>
      <w:pPr>
        <w:pStyle w:val="BodyText"/>
        <w:spacing w:before="249"/>
        <w:ind w:left="100"/>
      </w:pPr>
      <w:r>
        <w:rPr/>
        <w:t>Our aim is to provide legal services at the highest professional level, capable rendering effective solutions mainly in the following areas:</w:t>
      </w:r>
    </w:p>
    <w:p>
      <w:pPr>
        <w:pStyle w:val="BodyText"/>
        <w:spacing w:before="11"/>
        <w:ind w:left="0"/>
        <w:rPr>
          <w:sz w:val="21"/>
        </w:rPr>
      </w:pPr>
    </w:p>
    <w:p>
      <w:pPr>
        <w:pStyle w:val="ListParagraph"/>
        <w:numPr>
          <w:ilvl w:val="0"/>
          <w:numId w:val="1"/>
        </w:numPr>
        <w:tabs>
          <w:tab w:pos="321" w:val="left" w:leader="none"/>
        </w:tabs>
        <w:spacing w:line="252" w:lineRule="exact" w:before="0" w:after="0"/>
        <w:ind w:left="320" w:right="0" w:hanging="220"/>
        <w:jc w:val="left"/>
        <w:rPr>
          <w:sz w:val="22"/>
        </w:rPr>
      </w:pPr>
      <w:r>
        <w:rPr>
          <w:sz w:val="22"/>
        </w:rPr>
        <w:t>Corporate</w:t>
      </w:r>
      <w:r>
        <w:rPr>
          <w:spacing w:val="-1"/>
          <w:sz w:val="22"/>
        </w:rPr>
        <w:t> </w:t>
      </w:r>
      <w:r>
        <w:rPr>
          <w:sz w:val="22"/>
        </w:rPr>
        <w:t>Law</w:t>
      </w:r>
    </w:p>
    <w:p>
      <w:pPr>
        <w:pStyle w:val="ListParagraph"/>
        <w:numPr>
          <w:ilvl w:val="0"/>
          <w:numId w:val="1"/>
        </w:numPr>
        <w:tabs>
          <w:tab w:pos="321" w:val="left" w:leader="none"/>
        </w:tabs>
        <w:spacing w:line="252" w:lineRule="exact" w:before="0" w:after="0"/>
        <w:ind w:left="320" w:right="0" w:hanging="220"/>
        <w:jc w:val="left"/>
        <w:rPr>
          <w:sz w:val="22"/>
        </w:rPr>
      </w:pPr>
      <w:r>
        <w:rPr>
          <w:sz w:val="22"/>
        </w:rPr>
        <w:t>Competition law and State aid</w:t>
      </w:r>
      <w:r>
        <w:rPr>
          <w:spacing w:val="-7"/>
          <w:sz w:val="22"/>
        </w:rPr>
        <w:t> </w:t>
      </w:r>
      <w:r>
        <w:rPr>
          <w:sz w:val="22"/>
        </w:rPr>
        <w:t>law</w:t>
      </w:r>
    </w:p>
    <w:p>
      <w:pPr>
        <w:pStyle w:val="ListParagraph"/>
        <w:numPr>
          <w:ilvl w:val="0"/>
          <w:numId w:val="1"/>
        </w:numPr>
        <w:tabs>
          <w:tab w:pos="321" w:val="left" w:leader="none"/>
        </w:tabs>
        <w:spacing w:line="252" w:lineRule="exact" w:before="1" w:after="0"/>
        <w:ind w:left="320" w:right="0" w:hanging="220"/>
        <w:jc w:val="left"/>
        <w:rPr>
          <w:sz w:val="22"/>
        </w:rPr>
      </w:pPr>
      <w:r>
        <w:rPr>
          <w:sz w:val="22"/>
        </w:rPr>
        <w:t>Business law and Property</w:t>
      </w:r>
      <w:r>
        <w:rPr>
          <w:spacing w:val="-7"/>
          <w:sz w:val="22"/>
        </w:rPr>
        <w:t> </w:t>
      </w:r>
      <w:r>
        <w:rPr>
          <w:sz w:val="22"/>
        </w:rPr>
        <w:t>law</w:t>
      </w:r>
    </w:p>
    <w:p>
      <w:pPr>
        <w:pStyle w:val="ListParagraph"/>
        <w:numPr>
          <w:ilvl w:val="0"/>
          <w:numId w:val="1"/>
        </w:numPr>
        <w:tabs>
          <w:tab w:pos="321" w:val="left" w:leader="none"/>
        </w:tabs>
        <w:spacing w:line="252" w:lineRule="exact" w:before="0" w:after="0"/>
        <w:ind w:left="320" w:right="0" w:hanging="220"/>
        <w:jc w:val="left"/>
        <w:rPr>
          <w:sz w:val="22"/>
        </w:rPr>
      </w:pPr>
      <w:r>
        <w:rPr>
          <w:sz w:val="22"/>
        </w:rPr>
        <w:t>Labor</w:t>
      </w:r>
      <w:r>
        <w:rPr>
          <w:spacing w:val="-2"/>
          <w:sz w:val="22"/>
        </w:rPr>
        <w:t> </w:t>
      </w:r>
      <w:r>
        <w:rPr>
          <w:sz w:val="22"/>
        </w:rPr>
        <w:t>law</w:t>
      </w:r>
    </w:p>
    <w:p>
      <w:pPr>
        <w:pStyle w:val="ListParagraph"/>
        <w:numPr>
          <w:ilvl w:val="0"/>
          <w:numId w:val="1"/>
        </w:numPr>
        <w:tabs>
          <w:tab w:pos="321" w:val="left" w:leader="none"/>
        </w:tabs>
        <w:spacing w:line="240" w:lineRule="auto" w:before="2" w:after="0"/>
        <w:ind w:left="320" w:right="0" w:hanging="220"/>
        <w:jc w:val="left"/>
        <w:rPr>
          <w:sz w:val="22"/>
        </w:rPr>
      </w:pPr>
      <w:r>
        <w:rPr>
          <w:sz w:val="22"/>
        </w:rPr>
        <w:t>Public</w:t>
      </w:r>
      <w:r>
        <w:rPr>
          <w:spacing w:val="-1"/>
          <w:sz w:val="22"/>
        </w:rPr>
        <w:t> </w:t>
      </w:r>
      <w:r>
        <w:rPr>
          <w:sz w:val="22"/>
        </w:rPr>
        <w:t>procurement</w:t>
      </w:r>
    </w:p>
    <w:p>
      <w:pPr>
        <w:pStyle w:val="BodyText"/>
        <w:ind w:left="0"/>
        <w:rPr>
          <w:sz w:val="26"/>
        </w:rPr>
      </w:pPr>
    </w:p>
    <w:p>
      <w:pPr>
        <w:pStyle w:val="Heading1"/>
        <w:spacing w:before="211"/>
      </w:pPr>
      <w:r>
        <w:rPr/>
        <w:t>Corporate law</w:t>
      </w:r>
    </w:p>
    <w:p>
      <w:pPr>
        <w:pStyle w:val="BodyText"/>
        <w:spacing w:line="242" w:lineRule="auto"/>
        <w:ind w:left="100"/>
      </w:pPr>
      <w:r>
        <w:rPr/>
        <w:t>Gained experience and professional prerequisites acquired in the Slovak and European legal environment enable our law office to provide legal services in the following areas:</w:t>
      </w:r>
    </w:p>
    <w:p>
      <w:pPr>
        <w:pStyle w:val="ListParagraph"/>
        <w:numPr>
          <w:ilvl w:val="0"/>
          <w:numId w:val="2"/>
        </w:numPr>
        <w:tabs>
          <w:tab w:pos="459" w:val="left" w:leader="none"/>
          <w:tab w:pos="461" w:val="left" w:leader="none"/>
        </w:tabs>
        <w:spacing w:line="248" w:lineRule="exact" w:before="0" w:after="0"/>
        <w:ind w:left="460" w:right="0" w:hanging="360"/>
        <w:jc w:val="left"/>
        <w:rPr>
          <w:i/>
          <w:sz w:val="22"/>
        </w:rPr>
      </w:pPr>
      <w:r>
        <w:rPr>
          <w:sz w:val="22"/>
        </w:rPr>
        <w:t>Implementation of </w:t>
      </w:r>
      <w:r>
        <w:rPr>
          <w:i/>
          <w:sz w:val="22"/>
        </w:rPr>
        <w:t>corporate governance</w:t>
      </w:r>
      <w:r>
        <w:rPr>
          <w:i/>
          <w:spacing w:val="-3"/>
          <w:sz w:val="22"/>
        </w:rPr>
        <w:t> </w:t>
      </w:r>
      <w:r>
        <w:rPr>
          <w:i/>
          <w:sz w:val="22"/>
        </w:rPr>
        <w:t>principles</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Restructuring of</w:t>
      </w:r>
      <w:r>
        <w:rPr>
          <w:spacing w:val="-3"/>
          <w:sz w:val="22"/>
        </w:rPr>
        <w:t> </w:t>
      </w:r>
      <w:r>
        <w:rPr>
          <w:sz w:val="22"/>
        </w:rPr>
        <w:t>companies</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Mergers &amp; Acquisitions, transaction documentation</w:t>
      </w:r>
      <w:r>
        <w:rPr>
          <w:spacing w:val="-9"/>
          <w:sz w:val="22"/>
        </w:rPr>
        <w:t> </w:t>
      </w:r>
      <w:r>
        <w:rPr>
          <w:sz w:val="22"/>
        </w:rPr>
        <w:t>included</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advisor for Mergers &amp; Acquisitions</w:t>
      </w:r>
      <w:r>
        <w:rPr>
          <w:spacing w:val="-4"/>
          <w:sz w:val="22"/>
        </w:rPr>
        <w:t> </w:t>
      </w:r>
      <w:r>
        <w:rPr>
          <w:sz w:val="22"/>
        </w:rPr>
        <w:t>transactions</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Due diligence according to the scope of</w:t>
      </w:r>
      <w:r>
        <w:rPr>
          <w:spacing w:val="-10"/>
          <w:sz w:val="22"/>
        </w:rPr>
        <w:t> </w:t>
      </w:r>
      <w:r>
        <w:rPr>
          <w:sz w:val="22"/>
        </w:rPr>
        <w:t>business</w:t>
      </w:r>
    </w:p>
    <w:p>
      <w:pPr>
        <w:pStyle w:val="ListParagraph"/>
        <w:numPr>
          <w:ilvl w:val="0"/>
          <w:numId w:val="2"/>
        </w:numPr>
        <w:tabs>
          <w:tab w:pos="459" w:val="left" w:leader="none"/>
          <w:tab w:pos="461" w:val="left" w:leader="none"/>
        </w:tabs>
        <w:spacing w:line="252" w:lineRule="exact" w:before="0" w:after="0"/>
        <w:ind w:left="460" w:right="0" w:hanging="360"/>
        <w:jc w:val="left"/>
        <w:rPr>
          <w:i/>
          <w:sz w:val="22"/>
        </w:rPr>
      </w:pPr>
      <w:r>
        <w:rPr>
          <w:sz w:val="22"/>
        </w:rPr>
        <w:t>Legal support for </w:t>
      </w:r>
      <w:r>
        <w:rPr>
          <w:i/>
          <w:sz w:val="22"/>
        </w:rPr>
        <w:t>risk</w:t>
      </w:r>
      <w:r>
        <w:rPr>
          <w:i/>
          <w:spacing w:val="-1"/>
          <w:sz w:val="22"/>
        </w:rPr>
        <w:t> </w:t>
      </w:r>
      <w:r>
        <w:rPr>
          <w:i/>
          <w:sz w:val="22"/>
        </w:rPr>
        <w:t>management</w:t>
      </w:r>
    </w:p>
    <w:p>
      <w:pPr>
        <w:pStyle w:val="BodyText"/>
        <w:ind w:left="0"/>
        <w:rPr>
          <w:i/>
          <w:sz w:val="26"/>
        </w:rPr>
      </w:pPr>
    </w:p>
    <w:p>
      <w:pPr>
        <w:pStyle w:val="Heading1"/>
        <w:spacing w:line="251" w:lineRule="exact" w:before="211"/>
      </w:pPr>
      <w:r>
        <w:rPr/>
        <w:t>Competition law and state aid law</w:t>
      </w:r>
    </w:p>
    <w:p>
      <w:pPr>
        <w:pStyle w:val="BodyText"/>
        <w:ind w:left="100" w:right="421"/>
      </w:pPr>
      <w:r>
        <w:rPr/>
        <w:t>Competition law has an impact on each business entity. In order to provide complex consultancy this branch is an integral part of our services</w:t>
      </w:r>
    </w:p>
    <w:p>
      <w:pPr>
        <w:pStyle w:val="BodyText"/>
        <w:spacing w:before="9"/>
        <w:ind w:left="0"/>
        <w:rPr>
          <w:sz w:val="21"/>
        </w:rPr>
      </w:pPr>
    </w:p>
    <w:p>
      <w:pPr>
        <w:pStyle w:val="ListParagraph"/>
        <w:numPr>
          <w:ilvl w:val="0"/>
          <w:numId w:val="2"/>
        </w:numPr>
        <w:tabs>
          <w:tab w:pos="459" w:val="left" w:leader="none"/>
          <w:tab w:pos="461" w:val="left" w:leader="none"/>
        </w:tabs>
        <w:spacing w:line="252" w:lineRule="exact" w:before="1" w:after="0"/>
        <w:ind w:left="460" w:right="0" w:hanging="360"/>
        <w:jc w:val="left"/>
        <w:rPr>
          <w:sz w:val="22"/>
        </w:rPr>
      </w:pPr>
      <w:r>
        <w:rPr>
          <w:sz w:val="22"/>
        </w:rPr>
        <w:t>Legal advisory in unfair</w:t>
      </w:r>
      <w:r>
        <w:rPr>
          <w:spacing w:val="-2"/>
          <w:sz w:val="22"/>
        </w:rPr>
        <w:t> </w:t>
      </w:r>
      <w:r>
        <w:rPr>
          <w:sz w:val="22"/>
        </w:rPr>
        <w:t>trade</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Appraisal of possible impacts of competition law on activities of an</w:t>
      </w:r>
      <w:r>
        <w:rPr>
          <w:spacing w:val="-15"/>
          <w:sz w:val="22"/>
        </w:rPr>
        <w:t> </w:t>
      </w:r>
      <w:r>
        <w:rPr>
          <w:sz w:val="22"/>
        </w:rPr>
        <w:t>entrepreneur</w:t>
      </w:r>
    </w:p>
    <w:p>
      <w:pPr>
        <w:pStyle w:val="ListParagraph"/>
        <w:numPr>
          <w:ilvl w:val="0"/>
          <w:numId w:val="2"/>
        </w:numPr>
        <w:tabs>
          <w:tab w:pos="459" w:val="left" w:leader="none"/>
          <w:tab w:pos="461" w:val="left" w:leader="none"/>
        </w:tabs>
        <w:spacing w:line="252" w:lineRule="exact" w:before="1" w:after="0"/>
        <w:ind w:left="460" w:right="0" w:hanging="360"/>
        <w:jc w:val="left"/>
        <w:rPr>
          <w:sz w:val="22"/>
        </w:rPr>
      </w:pPr>
      <w:r>
        <w:rPr>
          <w:sz w:val="22"/>
        </w:rPr>
        <w:t>Legal advisory in the area of</w:t>
      </w:r>
      <w:r>
        <w:rPr>
          <w:spacing w:val="-2"/>
          <w:sz w:val="22"/>
        </w:rPr>
        <w:t> </w:t>
      </w:r>
      <w:r>
        <w:rPr>
          <w:sz w:val="22"/>
        </w:rPr>
        <w:t>infrastructure</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Representation before the Antimonopoly</w:t>
      </w:r>
      <w:r>
        <w:rPr>
          <w:spacing w:val="-8"/>
          <w:sz w:val="22"/>
        </w:rPr>
        <w:t> </w:t>
      </w:r>
      <w:r>
        <w:rPr>
          <w:sz w:val="22"/>
        </w:rPr>
        <w:t>office</w:t>
      </w:r>
    </w:p>
    <w:p>
      <w:pPr>
        <w:pStyle w:val="ListParagraph"/>
        <w:numPr>
          <w:ilvl w:val="0"/>
          <w:numId w:val="2"/>
        </w:numPr>
        <w:tabs>
          <w:tab w:pos="459" w:val="left" w:leader="none"/>
          <w:tab w:pos="461" w:val="left" w:leader="none"/>
        </w:tabs>
        <w:spacing w:line="252" w:lineRule="exact" w:before="1" w:after="0"/>
        <w:ind w:left="460" w:right="0" w:hanging="360"/>
        <w:jc w:val="left"/>
        <w:rPr>
          <w:sz w:val="22"/>
        </w:rPr>
      </w:pPr>
      <w:r>
        <w:rPr>
          <w:sz w:val="22"/>
        </w:rPr>
        <w:t>Appraisal of the negative aspects of the abuse of the dominant</w:t>
      </w:r>
      <w:r>
        <w:rPr>
          <w:spacing w:val="-7"/>
          <w:sz w:val="22"/>
        </w:rPr>
        <w:t> </w:t>
      </w:r>
      <w:r>
        <w:rPr>
          <w:sz w:val="22"/>
        </w:rPr>
        <w:t>position</w:t>
      </w:r>
    </w:p>
    <w:p>
      <w:pPr>
        <w:pStyle w:val="ListParagraph"/>
        <w:numPr>
          <w:ilvl w:val="0"/>
          <w:numId w:val="2"/>
        </w:numPr>
        <w:tabs>
          <w:tab w:pos="460" w:val="left" w:leader="none"/>
          <w:tab w:pos="461" w:val="left" w:leader="none"/>
        </w:tabs>
        <w:spacing w:line="240" w:lineRule="auto" w:before="0" w:after="0"/>
        <w:ind w:left="460" w:right="455" w:hanging="360"/>
        <w:jc w:val="left"/>
        <w:rPr>
          <w:sz w:val="22"/>
        </w:rPr>
      </w:pPr>
      <w:r>
        <w:rPr>
          <w:sz w:val="22"/>
        </w:rPr>
        <w:t>Legal advisory in state aid law and appraisal of impacts of Slovak law as well as European law in such</w:t>
      </w:r>
      <w:r>
        <w:rPr>
          <w:spacing w:val="-7"/>
          <w:sz w:val="22"/>
        </w:rPr>
        <w:t> </w:t>
      </w:r>
      <w:r>
        <w:rPr>
          <w:sz w:val="22"/>
        </w:rPr>
        <w:t>cases</w:t>
      </w:r>
    </w:p>
    <w:p>
      <w:pPr>
        <w:pStyle w:val="BodyText"/>
        <w:ind w:left="0"/>
        <w:rPr>
          <w:sz w:val="26"/>
        </w:rPr>
      </w:pPr>
    </w:p>
    <w:p>
      <w:pPr>
        <w:pStyle w:val="Heading1"/>
        <w:spacing w:before="213"/>
      </w:pPr>
      <w:r>
        <w:rPr/>
        <w:t>Business law and Property law</w:t>
      </w:r>
    </w:p>
    <w:p>
      <w:pPr>
        <w:pStyle w:val="BodyText"/>
        <w:ind w:left="100" w:right="456"/>
        <w:jc w:val="both"/>
      </w:pPr>
      <w:r>
        <w:rPr/>
        <w:t>We render our services to Slovak and foreign clients; thereby we support them and secure their due performance of business activities as well as the protection of their rights and rightful interests. In the area of Business law and Property law, we mainly perform the following:</w:t>
      </w:r>
    </w:p>
    <w:p>
      <w:pPr>
        <w:pStyle w:val="BodyText"/>
        <w:spacing w:before="9"/>
        <w:ind w:left="0"/>
        <w:rPr>
          <w:sz w:val="21"/>
        </w:rPr>
      </w:pPr>
    </w:p>
    <w:p>
      <w:pPr>
        <w:pStyle w:val="ListParagraph"/>
        <w:numPr>
          <w:ilvl w:val="0"/>
          <w:numId w:val="2"/>
        </w:numPr>
        <w:tabs>
          <w:tab w:pos="460" w:val="left" w:leader="none"/>
          <w:tab w:pos="461" w:val="left" w:leader="none"/>
        </w:tabs>
        <w:spacing w:line="252" w:lineRule="exact" w:before="0" w:after="0"/>
        <w:ind w:left="460" w:right="0" w:hanging="360"/>
        <w:jc w:val="left"/>
        <w:rPr>
          <w:sz w:val="22"/>
        </w:rPr>
      </w:pPr>
      <w:r>
        <w:rPr>
          <w:sz w:val="22"/>
        </w:rPr>
        <w:t>Preparation and analysis of contracts and contractual</w:t>
      </w:r>
      <w:r>
        <w:rPr>
          <w:spacing w:val="-11"/>
          <w:sz w:val="22"/>
        </w:rPr>
        <w:t> </w:t>
      </w:r>
      <w:r>
        <w:rPr>
          <w:sz w:val="22"/>
        </w:rPr>
        <w:t>relationships</w:t>
      </w:r>
    </w:p>
    <w:p>
      <w:pPr>
        <w:pStyle w:val="ListParagraph"/>
        <w:numPr>
          <w:ilvl w:val="0"/>
          <w:numId w:val="2"/>
        </w:numPr>
        <w:tabs>
          <w:tab w:pos="460" w:val="left" w:leader="none"/>
          <w:tab w:pos="461" w:val="left" w:leader="none"/>
        </w:tabs>
        <w:spacing w:line="240" w:lineRule="auto" w:before="0" w:after="0"/>
        <w:ind w:left="460" w:right="456" w:hanging="360"/>
        <w:jc w:val="left"/>
        <w:rPr>
          <w:sz w:val="22"/>
        </w:rPr>
      </w:pPr>
      <w:r>
        <w:rPr>
          <w:sz w:val="22"/>
        </w:rPr>
        <w:t>Preparation of sample agreements and general business terms, effective setting of contractual relations for the</w:t>
      </w:r>
      <w:r>
        <w:rPr>
          <w:spacing w:val="-2"/>
          <w:sz w:val="22"/>
        </w:rPr>
        <w:t> </w:t>
      </w:r>
      <w:r>
        <w:rPr>
          <w:sz w:val="22"/>
        </w:rPr>
        <w:t>future</w:t>
      </w:r>
    </w:p>
    <w:p>
      <w:pPr>
        <w:pStyle w:val="ListParagraph"/>
        <w:numPr>
          <w:ilvl w:val="0"/>
          <w:numId w:val="2"/>
        </w:numPr>
        <w:tabs>
          <w:tab w:pos="460" w:val="left" w:leader="none"/>
          <w:tab w:pos="461" w:val="left" w:leader="none"/>
        </w:tabs>
        <w:spacing w:line="252" w:lineRule="exact" w:before="0" w:after="0"/>
        <w:ind w:left="460" w:right="0" w:hanging="360"/>
        <w:jc w:val="left"/>
        <w:rPr>
          <w:sz w:val="22"/>
        </w:rPr>
      </w:pPr>
      <w:r>
        <w:rPr>
          <w:sz w:val="22"/>
        </w:rPr>
        <w:t>Protection of assets</w:t>
      </w:r>
    </w:p>
    <w:p>
      <w:pPr>
        <w:pStyle w:val="ListParagraph"/>
        <w:numPr>
          <w:ilvl w:val="0"/>
          <w:numId w:val="2"/>
        </w:numPr>
        <w:tabs>
          <w:tab w:pos="460" w:val="left" w:leader="none"/>
          <w:tab w:pos="461" w:val="left" w:leader="none"/>
        </w:tabs>
        <w:spacing w:line="252" w:lineRule="exact" w:before="0" w:after="0"/>
        <w:ind w:left="460" w:right="0" w:hanging="360"/>
        <w:jc w:val="left"/>
        <w:rPr>
          <w:sz w:val="22"/>
        </w:rPr>
      </w:pPr>
      <w:r>
        <w:rPr>
          <w:sz w:val="22"/>
        </w:rPr>
        <w:t>Legal appraisal of property structure and identification of risky</w:t>
      </w:r>
      <w:r>
        <w:rPr>
          <w:spacing w:val="-12"/>
          <w:sz w:val="22"/>
        </w:rPr>
        <w:t> </w:t>
      </w:r>
      <w:r>
        <w:rPr>
          <w:sz w:val="22"/>
        </w:rPr>
        <w:t>areas</w:t>
      </w:r>
    </w:p>
    <w:p>
      <w:pPr>
        <w:pStyle w:val="ListParagraph"/>
        <w:numPr>
          <w:ilvl w:val="0"/>
          <w:numId w:val="2"/>
        </w:numPr>
        <w:tabs>
          <w:tab w:pos="460" w:val="left" w:leader="none"/>
          <w:tab w:pos="461" w:val="left" w:leader="none"/>
        </w:tabs>
        <w:spacing w:line="252" w:lineRule="exact" w:before="2" w:after="0"/>
        <w:ind w:left="460" w:right="0" w:hanging="360"/>
        <w:jc w:val="left"/>
        <w:rPr>
          <w:sz w:val="22"/>
        </w:rPr>
      </w:pPr>
      <w:r>
        <w:rPr>
          <w:sz w:val="22"/>
        </w:rPr>
        <w:t>Due diligence of contractual</w:t>
      </w:r>
      <w:r>
        <w:rPr>
          <w:spacing w:val="-1"/>
          <w:sz w:val="22"/>
        </w:rPr>
        <w:t> </w:t>
      </w:r>
      <w:r>
        <w:rPr>
          <w:sz w:val="22"/>
        </w:rPr>
        <w:t>relations</w:t>
      </w:r>
    </w:p>
    <w:p>
      <w:pPr>
        <w:pStyle w:val="ListParagraph"/>
        <w:numPr>
          <w:ilvl w:val="0"/>
          <w:numId w:val="2"/>
        </w:numPr>
        <w:tabs>
          <w:tab w:pos="460" w:val="left" w:leader="none"/>
          <w:tab w:pos="461" w:val="left" w:leader="none"/>
        </w:tabs>
        <w:spacing w:line="252" w:lineRule="exact" w:before="0" w:after="0"/>
        <w:ind w:left="460" w:right="0" w:hanging="360"/>
        <w:jc w:val="left"/>
        <w:rPr>
          <w:sz w:val="22"/>
        </w:rPr>
      </w:pPr>
      <w:r>
        <w:rPr>
          <w:sz w:val="22"/>
        </w:rPr>
        <w:t>Legal advisory for creditors during execution of their</w:t>
      </w:r>
      <w:r>
        <w:rPr>
          <w:spacing w:val="-14"/>
          <w:sz w:val="22"/>
        </w:rPr>
        <w:t> </w:t>
      </w:r>
      <w:r>
        <w:rPr>
          <w:sz w:val="22"/>
        </w:rPr>
        <w:t>rights</w:t>
      </w:r>
    </w:p>
    <w:p>
      <w:pPr>
        <w:spacing w:after="0" w:line="252" w:lineRule="exact"/>
        <w:jc w:val="left"/>
        <w:rPr>
          <w:sz w:val="22"/>
        </w:rPr>
        <w:sectPr>
          <w:headerReference w:type="default" r:id="rId8"/>
          <w:footerReference w:type="default" r:id="rId9"/>
          <w:pgSz w:w="12240" w:h="15840"/>
          <w:pgMar w:header="719" w:footer="700" w:top="1460" w:bottom="900" w:left="1700" w:right="1340"/>
          <w:pgNumType w:start="2"/>
        </w:sectPr>
      </w:pPr>
    </w:p>
    <w:p>
      <w:pPr>
        <w:pStyle w:val="BodyText"/>
        <w:spacing w:before="10"/>
        <w:ind w:left="0"/>
        <w:rPr>
          <w:sz w:val="21"/>
        </w:rPr>
      </w:pPr>
    </w:p>
    <w:p>
      <w:pPr>
        <w:pStyle w:val="Heading1"/>
      </w:pPr>
      <w:r>
        <w:rPr/>
        <w:t>Labor law</w:t>
      </w:r>
    </w:p>
    <w:p>
      <w:pPr>
        <w:pStyle w:val="BodyText"/>
        <w:spacing w:line="242" w:lineRule="auto"/>
        <w:ind w:left="100" w:right="421"/>
      </w:pPr>
      <w:r>
        <w:rPr/>
        <w:t>The area of Labour law is one of the most risky spheres of the management of an entrepreneur. In order to enhance their protection we provide the following</w:t>
      </w:r>
    </w:p>
    <w:p>
      <w:pPr>
        <w:pStyle w:val="BodyText"/>
        <w:spacing w:before="6"/>
        <w:ind w:left="0"/>
        <w:rPr>
          <w:sz w:val="21"/>
        </w:rPr>
      </w:pP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advisory during effective setting of HR</w:t>
      </w:r>
      <w:r>
        <w:rPr>
          <w:spacing w:val="-9"/>
          <w:sz w:val="22"/>
        </w:rPr>
        <w:t> </w:t>
      </w:r>
      <w:r>
        <w:rPr>
          <w:sz w:val="22"/>
        </w:rPr>
        <w:t>relations</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Elaboration of internal rules of a company and preparation of the system of its</w:t>
      </w:r>
      <w:r>
        <w:rPr>
          <w:spacing w:val="-24"/>
          <w:sz w:val="22"/>
        </w:rPr>
        <w:t> </w:t>
      </w:r>
      <w:r>
        <w:rPr>
          <w:sz w:val="22"/>
        </w:rPr>
        <w:t>control</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advisory in the area of management</w:t>
      </w:r>
      <w:r>
        <w:rPr>
          <w:spacing w:val="-2"/>
          <w:sz w:val="22"/>
        </w:rPr>
        <w:t> </w:t>
      </w:r>
      <w:r>
        <w:rPr>
          <w:sz w:val="22"/>
        </w:rPr>
        <w:t>contracts</w:t>
      </w:r>
    </w:p>
    <w:p>
      <w:pPr>
        <w:pStyle w:val="ListParagraph"/>
        <w:numPr>
          <w:ilvl w:val="0"/>
          <w:numId w:val="2"/>
        </w:numPr>
        <w:tabs>
          <w:tab w:pos="459" w:val="left" w:leader="none"/>
          <w:tab w:pos="461" w:val="left" w:leader="none"/>
        </w:tabs>
        <w:spacing w:line="252" w:lineRule="exact" w:before="1" w:after="0"/>
        <w:ind w:left="460" w:right="0" w:hanging="360"/>
        <w:jc w:val="left"/>
        <w:rPr>
          <w:sz w:val="22"/>
        </w:rPr>
      </w:pPr>
      <w:r>
        <w:rPr>
          <w:sz w:val="22"/>
        </w:rPr>
        <w:t>Preparation and performance of the HR audit of a</w:t>
      </w:r>
      <w:r>
        <w:rPr>
          <w:spacing w:val="-9"/>
          <w:sz w:val="22"/>
        </w:rPr>
        <w:t> </w:t>
      </w:r>
      <w:r>
        <w:rPr>
          <w:sz w:val="22"/>
        </w:rPr>
        <w:t>company</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Representation in labor law</w:t>
      </w:r>
      <w:r>
        <w:rPr>
          <w:spacing w:val="-7"/>
          <w:sz w:val="22"/>
        </w:rPr>
        <w:t> </w:t>
      </w:r>
      <w:r>
        <w:rPr>
          <w:sz w:val="22"/>
        </w:rPr>
        <w:t>disputes</w:t>
      </w:r>
    </w:p>
    <w:p>
      <w:pPr>
        <w:pStyle w:val="BodyText"/>
        <w:ind w:left="0"/>
        <w:rPr>
          <w:sz w:val="26"/>
        </w:rPr>
      </w:pPr>
    </w:p>
    <w:p>
      <w:pPr>
        <w:pStyle w:val="Heading1"/>
        <w:spacing w:line="251" w:lineRule="exact" w:before="212"/>
      </w:pPr>
      <w:r>
        <w:rPr/>
        <w:t>Public procurement</w:t>
      </w:r>
    </w:p>
    <w:p>
      <w:pPr>
        <w:pStyle w:val="BodyText"/>
        <w:ind w:left="100"/>
      </w:pPr>
      <w:r>
        <w:rPr/>
        <w:t>Public procurement is often underestimated. We believe that one condition of successful business activity is knowledge of legal rights and duties. Our services can be used as follows:</w:t>
      </w:r>
    </w:p>
    <w:p>
      <w:pPr>
        <w:pStyle w:val="BodyText"/>
        <w:spacing w:before="9"/>
        <w:ind w:left="0"/>
        <w:rPr>
          <w:sz w:val="21"/>
        </w:rPr>
      </w:pP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appraisal of conditions for participation in public procurement and criteria for</w:t>
      </w:r>
      <w:r>
        <w:rPr>
          <w:spacing w:val="-21"/>
          <w:sz w:val="22"/>
        </w:rPr>
        <w:t> </w:t>
      </w:r>
      <w:r>
        <w:rPr>
          <w:sz w:val="22"/>
        </w:rPr>
        <w:t>appraisal</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advisory during the preparation of a</w:t>
      </w:r>
      <w:r>
        <w:rPr>
          <w:spacing w:val="-11"/>
          <w:sz w:val="22"/>
        </w:rPr>
        <w:t> </w:t>
      </w:r>
      <w:r>
        <w:rPr>
          <w:sz w:val="22"/>
        </w:rPr>
        <w:t>proposal</w:t>
      </w:r>
    </w:p>
    <w:p>
      <w:pPr>
        <w:pStyle w:val="ListParagraph"/>
        <w:numPr>
          <w:ilvl w:val="0"/>
          <w:numId w:val="2"/>
        </w:numPr>
        <w:tabs>
          <w:tab w:pos="459" w:val="left" w:leader="none"/>
          <w:tab w:pos="461" w:val="left" w:leader="none"/>
        </w:tabs>
        <w:spacing w:line="240" w:lineRule="auto" w:before="1" w:after="0"/>
        <w:ind w:left="460" w:right="0" w:hanging="360"/>
        <w:jc w:val="left"/>
        <w:rPr>
          <w:sz w:val="22"/>
        </w:rPr>
      </w:pPr>
      <w:r>
        <w:rPr>
          <w:sz w:val="22"/>
        </w:rPr>
        <w:t>Representation of a participant in an objection</w:t>
      </w:r>
      <w:r>
        <w:rPr>
          <w:spacing w:val="-8"/>
          <w:sz w:val="22"/>
        </w:rPr>
        <w:t> </w:t>
      </w:r>
      <w:r>
        <w:rPr>
          <w:sz w:val="22"/>
        </w:rPr>
        <w:t>procedure</w:t>
      </w:r>
    </w:p>
    <w:p>
      <w:pPr>
        <w:pStyle w:val="BodyText"/>
        <w:ind w:left="0"/>
        <w:rPr>
          <w:sz w:val="26"/>
        </w:rPr>
      </w:pPr>
    </w:p>
    <w:p>
      <w:pPr>
        <w:pStyle w:val="BodyText"/>
        <w:ind w:left="0"/>
        <w:rPr>
          <w:sz w:val="26"/>
        </w:rPr>
      </w:pPr>
    </w:p>
    <w:p>
      <w:pPr>
        <w:pStyle w:val="Heading2"/>
        <w:spacing w:before="165"/>
        <w:rPr>
          <w:i/>
        </w:rPr>
      </w:pPr>
      <w:r>
        <w:rPr>
          <w:i/>
        </w:rPr>
        <w:t>Ch o s e n r e f e r e n c e s</w:t>
      </w:r>
    </w:p>
    <w:p>
      <w:pPr>
        <w:pStyle w:val="BodyText"/>
        <w:spacing w:before="248"/>
        <w:ind w:left="100" w:right="421"/>
      </w:pPr>
      <w:r>
        <w:rPr/>
        <w:t>Since we entered the market, we have rendered legal advisory for many domestic as well as foreign clients. We choose from our credentials the following:</w:t>
      </w:r>
    </w:p>
    <w:p>
      <w:pPr>
        <w:pStyle w:val="BodyText"/>
        <w:ind w:left="0"/>
        <w:rPr>
          <w:sz w:val="26"/>
        </w:rPr>
      </w:pPr>
    </w:p>
    <w:p>
      <w:pPr>
        <w:pStyle w:val="Heading2"/>
        <w:spacing w:before="213"/>
        <w:rPr>
          <w:i/>
        </w:rPr>
      </w:pPr>
      <w:r>
        <w:rPr>
          <w:i/>
        </w:rPr>
        <w:t>JUDr. Peter </w:t>
      </w:r>
      <w:r>
        <w:rPr>
          <w:b w:val="0"/>
          <w:i w:val="0"/>
        </w:rPr>
        <w:t>C</w:t>
      </w:r>
      <w:r>
        <w:rPr>
          <w:i/>
        </w:rPr>
        <w:t>avojský</w:t>
      </w:r>
    </w:p>
    <w:p>
      <w:pPr>
        <w:pStyle w:val="ListParagraph"/>
        <w:numPr>
          <w:ilvl w:val="0"/>
          <w:numId w:val="3"/>
        </w:numPr>
        <w:tabs>
          <w:tab w:pos="459" w:val="left" w:leader="none"/>
          <w:tab w:pos="461" w:val="left" w:leader="none"/>
        </w:tabs>
        <w:spacing w:line="225" w:lineRule="auto" w:before="242" w:after="0"/>
        <w:ind w:left="460" w:right="455" w:hanging="360"/>
        <w:jc w:val="left"/>
        <w:rPr>
          <w:sz w:val="22"/>
        </w:rPr>
      </w:pPr>
      <w:r>
        <w:rPr>
          <w:sz w:val="22"/>
        </w:rPr>
        <w:t>a member of a legal team representing the Slovak state authority in judicial proceedings in the area of the business</w:t>
      </w:r>
      <w:r>
        <w:rPr>
          <w:spacing w:val="-5"/>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6" w:hanging="360"/>
        <w:jc w:val="left"/>
        <w:rPr>
          <w:sz w:val="22"/>
        </w:rPr>
      </w:pPr>
      <w:r>
        <w:rPr>
          <w:sz w:val="22"/>
        </w:rPr>
        <w:t>a member of a legal team rendering legal services for an important Slovak bank in the area of the competition law, contractual law and legal due</w:t>
      </w:r>
      <w:r>
        <w:rPr>
          <w:spacing w:val="-7"/>
          <w:sz w:val="22"/>
        </w:rPr>
        <w:t> </w:t>
      </w:r>
      <w:r>
        <w:rPr>
          <w:sz w:val="22"/>
        </w:rPr>
        <w:t>diligence,</w:t>
      </w:r>
    </w:p>
    <w:p>
      <w:pPr>
        <w:pStyle w:val="ListParagraph"/>
        <w:numPr>
          <w:ilvl w:val="0"/>
          <w:numId w:val="3"/>
        </w:numPr>
        <w:tabs>
          <w:tab w:pos="460" w:val="left" w:leader="none"/>
          <w:tab w:pos="461" w:val="left" w:leader="none"/>
        </w:tabs>
        <w:spacing w:line="225" w:lineRule="auto" w:before="0" w:after="0"/>
        <w:ind w:left="460" w:right="455" w:hanging="360"/>
        <w:jc w:val="left"/>
        <w:rPr>
          <w:sz w:val="22"/>
        </w:rPr>
      </w:pPr>
      <w:r>
        <w:rPr>
          <w:sz w:val="22"/>
        </w:rPr>
        <w:t>a member of a legal team providing an important Slovak bank with legal advisory in the area of shareholders</w:t>
      </w:r>
      <w:r>
        <w:rPr>
          <w:spacing w:val="-2"/>
          <w:sz w:val="22"/>
        </w:rPr>
        <w:t> </w:t>
      </w:r>
      <w:r>
        <w:rPr>
          <w:sz w:val="22"/>
        </w:rPr>
        <w:t>rights</w:t>
      </w:r>
    </w:p>
    <w:p>
      <w:pPr>
        <w:pStyle w:val="ListParagraph"/>
        <w:numPr>
          <w:ilvl w:val="0"/>
          <w:numId w:val="3"/>
        </w:numPr>
        <w:tabs>
          <w:tab w:pos="460" w:val="left" w:leader="none"/>
          <w:tab w:pos="461" w:val="left" w:leader="none"/>
        </w:tabs>
        <w:spacing w:line="223" w:lineRule="auto" w:before="0" w:after="0"/>
        <w:ind w:left="460" w:right="455" w:hanging="360"/>
        <w:jc w:val="left"/>
        <w:rPr>
          <w:sz w:val="22"/>
        </w:rPr>
      </w:pPr>
      <w:r>
        <w:rPr>
          <w:sz w:val="22"/>
        </w:rPr>
        <w:t>a member of a legal team providing an important Slovak bank with legal advisory in the area of the intellectual property</w:t>
      </w:r>
      <w:r>
        <w:rPr>
          <w:spacing w:val="-2"/>
          <w:sz w:val="22"/>
        </w:rPr>
        <w:t> </w:t>
      </w:r>
      <w:r>
        <w:rPr>
          <w:sz w:val="22"/>
        </w:rPr>
        <w:t>rights,</w:t>
      </w:r>
    </w:p>
    <w:p>
      <w:pPr>
        <w:pStyle w:val="ListParagraph"/>
        <w:numPr>
          <w:ilvl w:val="0"/>
          <w:numId w:val="3"/>
        </w:numPr>
        <w:tabs>
          <w:tab w:pos="461" w:val="left" w:leader="none"/>
        </w:tabs>
        <w:spacing w:line="232" w:lineRule="auto" w:before="0" w:after="0"/>
        <w:ind w:left="460" w:right="455" w:hanging="360"/>
        <w:jc w:val="both"/>
        <w:rPr>
          <w:sz w:val="22"/>
        </w:rPr>
      </w:pPr>
      <w:r>
        <w:rPr>
          <w:sz w:val="22"/>
        </w:rPr>
        <w:t>the leader of a legal team providing legal advisory for a foreign investor including due diligence and preparation of transaction documentation for the purchase of an important machine industry</w:t>
      </w:r>
      <w:r>
        <w:rPr>
          <w:spacing w:val="-4"/>
          <w:sz w:val="22"/>
        </w:rPr>
        <w:t> </w:t>
      </w:r>
      <w:r>
        <w:rPr>
          <w:sz w:val="22"/>
        </w:rPr>
        <w:t>company,</w:t>
      </w:r>
    </w:p>
    <w:p>
      <w:pPr>
        <w:pStyle w:val="ListParagraph"/>
        <w:numPr>
          <w:ilvl w:val="0"/>
          <w:numId w:val="3"/>
        </w:numPr>
        <w:tabs>
          <w:tab w:pos="460" w:val="left" w:leader="none"/>
          <w:tab w:pos="461" w:val="left" w:leader="none"/>
        </w:tabs>
        <w:spacing w:line="225" w:lineRule="auto" w:before="0" w:after="0"/>
        <w:ind w:left="460" w:right="455" w:hanging="360"/>
        <w:jc w:val="left"/>
        <w:rPr>
          <w:sz w:val="22"/>
        </w:rPr>
      </w:pPr>
      <w:r>
        <w:rPr>
          <w:sz w:val="22"/>
        </w:rPr>
        <w:t>a member of a legal team rendering legal services for the State authority regarding protection of its shareholder’s rights, including judicial</w:t>
      </w:r>
      <w:r>
        <w:rPr>
          <w:spacing w:val="-11"/>
          <w:sz w:val="22"/>
        </w:rPr>
        <w:t> </w:t>
      </w:r>
      <w:r>
        <w:rPr>
          <w:sz w:val="22"/>
        </w:rPr>
        <w:t>representation</w:t>
      </w:r>
    </w:p>
    <w:p>
      <w:pPr>
        <w:pStyle w:val="ListParagraph"/>
        <w:numPr>
          <w:ilvl w:val="0"/>
          <w:numId w:val="3"/>
        </w:numPr>
        <w:tabs>
          <w:tab w:pos="460" w:val="left" w:leader="none"/>
          <w:tab w:pos="461" w:val="left" w:leader="none"/>
        </w:tabs>
        <w:spacing w:line="261" w:lineRule="exact" w:before="0" w:after="0"/>
        <w:ind w:left="460" w:right="0" w:hanging="360"/>
        <w:jc w:val="left"/>
        <w:rPr>
          <w:sz w:val="22"/>
        </w:rPr>
      </w:pPr>
      <w:r>
        <w:rPr>
          <w:sz w:val="22"/>
        </w:rPr>
        <w:t>a member of the legal team rendering legal services in a share purchase</w:t>
      </w:r>
      <w:r>
        <w:rPr>
          <w:spacing w:val="-13"/>
          <w:sz w:val="22"/>
        </w:rPr>
        <w:t> </w:t>
      </w:r>
      <w:r>
        <w:rPr>
          <w:sz w:val="22"/>
        </w:rPr>
        <w:t>process</w:t>
      </w:r>
    </w:p>
    <w:p>
      <w:pPr>
        <w:pStyle w:val="ListParagraph"/>
        <w:numPr>
          <w:ilvl w:val="0"/>
          <w:numId w:val="3"/>
        </w:numPr>
        <w:tabs>
          <w:tab w:pos="460" w:val="left" w:leader="none"/>
          <w:tab w:pos="461" w:val="left" w:leader="none"/>
        </w:tabs>
        <w:spacing w:line="225" w:lineRule="auto" w:before="0" w:after="0"/>
        <w:ind w:left="460" w:right="456" w:hanging="360"/>
        <w:jc w:val="left"/>
        <w:rPr>
          <w:sz w:val="22"/>
        </w:rPr>
      </w:pPr>
      <w:r>
        <w:rPr>
          <w:sz w:val="22"/>
        </w:rPr>
        <w:t>the leader of a legal team providing a securities dealer with legal services in the area of securities and administrative</w:t>
      </w:r>
      <w:r>
        <w:rPr>
          <w:spacing w:val="-1"/>
          <w:sz w:val="22"/>
        </w:rPr>
        <w:t> </w:t>
      </w:r>
      <w:r>
        <w:rPr>
          <w:sz w:val="22"/>
        </w:rPr>
        <w:t>law,</w:t>
      </w:r>
    </w:p>
    <w:p>
      <w:pPr>
        <w:pStyle w:val="ListParagraph"/>
        <w:numPr>
          <w:ilvl w:val="0"/>
          <w:numId w:val="3"/>
        </w:numPr>
        <w:tabs>
          <w:tab w:pos="460" w:val="left" w:leader="none"/>
          <w:tab w:pos="461" w:val="left" w:leader="none"/>
        </w:tabs>
        <w:spacing w:line="225" w:lineRule="auto" w:before="0" w:after="0"/>
        <w:ind w:left="460" w:right="455" w:hanging="360"/>
        <w:jc w:val="left"/>
        <w:rPr>
          <w:sz w:val="22"/>
        </w:rPr>
      </w:pPr>
      <w:r>
        <w:rPr>
          <w:sz w:val="22"/>
        </w:rPr>
        <w:t>a member of the legal team providing an international bank with legal services entering the Slovak market, in the area of civil law and business</w:t>
      </w:r>
      <w:r>
        <w:rPr>
          <w:spacing w:val="-4"/>
          <w:sz w:val="22"/>
        </w:rPr>
        <w:t> </w:t>
      </w:r>
      <w:r>
        <w:rPr>
          <w:sz w:val="22"/>
        </w:rPr>
        <w:t>law,</w:t>
      </w:r>
    </w:p>
    <w:p>
      <w:pPr>
        <w:pStyle w:val="ListParagraph"/>
        <w:numPr>
          <w:ilvl w:val="0"/>
          <w:numId w:val="3"/>
        </w:numPr>
        <w:tabs>
          <w:tab w:pos="460" w:val="left" w:leader="none"/>
          <w:tab w:pos="461" w:val="left" w:leader="none"/>
        </w:tabs>
        <w:spacing w:line="277" w:lineRule="exact" w:before="0" w:after="0"/>
        <w:ind w:left="460" w:right="0" w:hanging="360"/>
        <w:jc w:val="left"/>
        <w:rPr>
          <w:sz w:val="22"/>
        </w:rPr>
      </w:pPr>
      <w:r>
        <w:rPr>
          <w:sz w:val="22"/>
        </w:rPr>
        <w:t>the leader of a legal team providing legal advisory for minority</w:t>
      </w:r>
      <w:r>
        <w:rPr>
          <w:spacing w:val="-18"/>
          <w:sz w:val="22"/>
        </w:rPr>
        <w:t> </w:t>
      </w:r>
      <w:r>
        <w:rPr>
          <w:sz w:val="22"/>
        </w:rPr>
        <w:t>shareholders,</w:t>
      </w:r>
    </w:p>
    <w:p>
      <w:pPr>
        <w:spacing w:after="0" w:line="277" w:lineRule="exact"/>
        <w:jc w:val="left"/>
        <w:rPr>
          <w:sz w:val="22"/>
        </w:rPr>
        <w:sectPr>
          <w:pgSz w:w="12240" w:h="15840"/>
          <w:pgMar w:header="719" w:footer="700" w:top="1460" w:bottom="900" w:left="1700" w:right="1340"/>
        </w:sectPr>
      </w:pPr>
    </w:p>
    <w:p>
      <w:pPr>
        <w:pStyle w:val="ListParagraph"/>
        <w:numPr>
          <w:ilvl w:val="0"/>
          <w:numId w:val="3"/>
        </w:numPr>
        <w:tabs>
          <w:tab w:pos="459" w:val="left" w:leader="none"/>
          <w:tab w:pos="461" w:val="left" w:leader="none"/>
        </w:tabs>
        <w:spacing w:line="225" w:lineRule="auto" w:before="92" w:after="0"/>
        <w:ind w:left="460" w:right="458" w:hanging="360"/>
        <w:jc w:val="left"/>
        <w:rPr>
          <w:sz w:val="22"/>
        </w:rPr>
      </w:pPr>
      <w:r>
        <w:rPr>
          <w:sz w:val="22"/>
        </w:rPr>
        <w:t>the leader of a legal team providing legal advisory for an important Slovak air carrier in the area of contractual law and corporate</w:t>
      </w:r>
      <w:r>
        <w:rPr>
          <w:spacing w:val="-14"/>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5" w:hanging="360"/>
        <w:jc w:val="left"/>
        <w:rPr>
          <w:sz w:val="22"/>
        </w:rPr>
      </w:pPr>
      <w:r>
        <w:rPr>
          <w:sz w:val="22"/>
        </w:rPr>
        <w:t>the leader of a legal team providing legal advisory for an important Slovak consultancy company,</w:t>
      </w:r>
    </w:p>
    <w:p>
      <w:pPr>
        <w:pStyle w:val="ListParagraph"/>
        <w:numPr>
          <w:ilvl w:val="0"/>
          <w:numId w:val="3"/>
        </w:numPr>
        <w:tabs>
          <w:tab w:pos="459" w:val="left" w:leader="none"/>
          <w:tab w:pos="461" w:val="left" w:leader="none"/>
        </w:tabs>
        <w:spacing w:line="225" w:lineRule="auto" w:before="0" w:after="0"/>
        <w:ind w:left="460" w:right="456" w:hanging="360"/>
        <w:jc w:val="left"/>
        <w:rPr>
          <w:sz w:val="22"/>
        </w:rPr>
      </w:pPr>
      <w:r>
        <w:rPr>
          <w:sz w:val="22"/>
        </w:rPr>
        <w:t>a member of a legal team providing an eminent IT company with legal services in the area of public procurement, contractual law and competition</w:t>
      </w:r>
      <w:r>
        <w:rPr>
          <w:spacing w:val="-7"/>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3" w:hanging="360"/>
        <w:jc w:val="left"/>
        <w:rPr>
          <w:sz w:val="22"/>
        </w:rPr>
      </w:pPr>
      <w:r>
        <w:rPr>
          <w:sz w:val="22"/>
        </w:rPr>
        <w:t>the leader of a legal team providing legal advisory for several entities in the area of corporate restructuring</w:t>
      </w:r>
      <w:r>
        <w:rPr>
          <w:spacing w:val="-3"/>
          <w:sz w:val="22"/>
        </w:rPr>
        <w:t> </w:t>
      </w:r>
      <w:r>
        <w:rPr>
          <w:sz w:val="22"/>
        </w:rPr>
        <w:t>and</w:t>
      </w:r>
    </w:p>
    <w:p>
      <w:pPr>
        <w:pStyle w:val="ListParagraph"/>
        <w:numPr>
          <w:ilvl w:val="0"/>
          <w:numId w:val="3"/>
        </w:numPr>
        <w:tabs>
          <w:tab w:pos="459" w:val="left" w:leader="none"/>
          <w:tab w:pos="461" w:val="left" w:leader="none"/>
        </w:tabs>
        <w:spacing w:line="223" w:lineRule="auto" w:before="0" w:after="0"/>
        <w:ind w:left="460" w:right="455" w:hanging="360"/>
        <w:jc w:val="left"/>
        <w:rPr>
          <w:sz w:val="22"/>
        </w:rPr>
      </w:pPr>
      <w:r>
        <w:rPr>
          <w:sz w:val="22"/>
        </w:rPr>
        <w:t>the leader of a legal team providing legal advisory for foreign investors during their entry into the Slovak market in the area of corporate law, contractual law and administrative</w:t>
      </w:r>
      <w:r>
        <w:rPr>
          <w:spacing w:val="-18"/>
          <w:sz w:val="22"/>
        </w:rPr>
        <w:t> </w:t>
      </w:r>
      <w:r>
        <w:rPr>
          <w:sz w:val="22"/>
        </w:rPr>
        <w:t>law.</w:t>
      </w:r>
    </w:p>
    <w:p>
      <w:pPr>
        <w:pStyle w:val="BodyText"/>
        <w:ind w:left="0"/>
        <w:rPr>
          <w:sz w:val="26"/>
        </w:rPr>
      </w:pPr>
    </w:p>
    <w:p>
      <w:pPr>
        <w:pStyle w:val="Heading2"/>
        <w:spacing w:before="201"/>
        <w:rPr>
          <w:i/>
        </w:rPr>
      </w:pPr>
      <w:r>
        <w:rPr>
          <w:i/>
        </w:rPr>
        <w:t>References of the Law office</w:t>
      </w:r>
    </w:p>
    <w:p>
      <w:pPr>
        <w:pStyle w:val="ListParagraph"/>
        <w:numPr>
          <w:ilvl w:val="0"/>
          <w:numId w:val="3"/>
        </w:numPr>
        <w:tabs>
          <w:tab w:pos="459" w:val="left" w:leader="none"/>
          <w:tab w:pos="461" w:val="left" w:leader="none"/>
        </w:tabs>
        <w:spacing w:line="225" w:lineRule="auto" w:before="240" w:after="0"/>
        <w:ind w:left="460" w:right="456" w:hanging="360"/>
        <w:jc w:val="left"/>
        <w:rPr>
          <w:sz w:val="22"/>
        </w:rPr>
      </w:pPr>
      <w:r>
        <w:rPr>
          <w:sz w:val="22"/>
        </w:rPr>
        <w:t>complex legal advisory for an important consultancy company, mainly in the area of corporate law, labor law and business</w:t>
      </w:r>
      <w:r>
        <w:rPr>
          <w:spacing w:val="-9"/>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5" w:hanging="360"/>
        <w:jc w:val="left"/>
        <w:rPr>
          <w:sz w:val="22"/>
        </w:rPr>
      </w:pPr>
      <w:r>
        <w:rPr>
          <w:sz w:val="22"/>
        </w:rPr>
        <w:t>complex legal advisory for a Slovak building company with international ownership in the area of business law, labor law and corporate</w:t>
      </w:r>
      <w:r>
        <w:rPr>
          <w:spacing w:val="-8"/>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5" w:hanging="360"/>
        <w:jc w:val="left"/>
        <w:rPr>
          <w:sz w:val="22"/>
        </w:rPr>
      </w:pPr>
      <w:r>
        <w:rPr>
          <w:sz w:val="22"/>
        </w:rPr>
        <w:t>legal advisory for a foreign investor in an agricultural business in the area of business law, corporate law, civil law and direct</w:t>
      </w:r>
      <w:r>
        <w:rPr>
          <w:spacing w:val="-8"/>
          <w:sz w:val="22"/>
        </w:rPr>
        <w:t> </w:t>
      </w:r>
      <w:r>
        <w:rPr>
          <w:sz w:val="22"/>
        </w:rPr>
        <w:t>payments</w:t>
      </w:r>
    </w:p>
    <w:p>
      <w:pPr>
        <w:pStyle w:val="ListParagraph"/>
        <w:numPr>
          <w:ilvl w:val="0"/>
          <w:numId w:val="3"/>
        </w:numPr>
        <w:tabs>
          <w:tab w:pos="459" w:val="left" w:leader="none"/>
          <w:tab w:pos="461" w:val="left" w:leader="none"/>
        </w:tabs>
        <w:spacing w:line="225" w:lineRule="auto" w:before="0" w:after="0"/>
        <w:ind w:left="460" w:right="455" w:hanging="360"/>
        <w:jc w:val="left"/>
        <w:rPr>
          <w:sz w:val="22"/>
        </w:rPr>
      </w:pPr>
      <w:r>
        <w:rPr>
          <w:sz w:val="22"/>
        </w:rPr>
        <w:t>legal advisor for a foreign investor in the area of business restructuring activities and protection of its</w:t>
      </w:r>
      <w:r>
        <w:rPr>
          <w:spacing w:val="-6"/>
          <w:sz w:val="22"/>
        </w:rPr>
        <w:t> </w:t>
      </w:r>
      <w:r>
        <w:rPr>
          <w:sz w:val="22"/>
        </w:rPr>
        <w:t>assets,</w:t>
      </w:r>
    </w:p>
    <w:p>
      <w:pPr>
        <w:pStyle w:val="ListParagraph"/>
        <w:numPr>
          <w:ilvl w:val="0"/>
          <w:numId w:val="3"/>
        </w:numPr>
        <w:tabs>
          <w:tab w:pos="460" w:val="left" w:leader="none"/>
          <w:tab w:pos="461" w:val="left" w:leader="none"/>
        </w:tabs>
        <w:spacing w:line="223" w:lineRule="auto" w:before="0" w:after="0"/>
        <w:ind w:left="460" w:right="455" w:hanging="360"/>
        <w:jc w:val="left"/>
        <w:rPr>
          <w:sz w:val="22"/>
        </w:rPr>
      </w:pPr>
      <w:r>
        <w:rPr>
          <w:sz w:val="22"/>
        </w:rPr>
        <w:t>complex legal advisory for an educational company in the area of business law and enforcement of</w:t>
      </w:r>
      <w:r>
        <w:rPr>
          <w:spacing w:val="1"/>
          <w:sz w:val="22"/>
        </w:rPr>
        <w:t> </w:t>
      </w:r>
      <w:r>
        <w:rPr>
          <w:sz w:val="22"/>
        </w:rPr>
        <w:t>receivables</w:t>
      </w:r>
    </w:p>
    <w:p>
      <w:pPr>
        <w:pStyle w:val="ListParagraph"/>
        <w:numPr>
          <w:ilvl w:val="0"/>
          <w:numId w:val="3"/>
        </w:numPr>
        <w:tabs>
          <w:tab w:pos="460" w:val="left" w:leader="none"/>
          <w:tab w:pos="461" w:val="left" w:leader="none"/>
        </w:tabs>
        <w:spacing w:line="225" w:lineRule="auto" w:before="0" w:after="0"/>
        <w:ind w:left="460" w:right="456" w:hanging="360"/>
        <w:jc w:val="left"/>
        <w:rPr>
          <w:sz w:val="22"/>
        </w:rPr>
      </w:pPr>
      <w:r>
        <w:rPr>
          <w:sz w:val="22"/>
        </w:rPr>
        <w:t>legal advisory for a foreign investor running its business activities in Slovakia, in the area of business law and civil</w:t>
      </w:r>
      <w:r>
        <w:rPr>
          <w:spacing w:val="-3"/>
          <w:sz w:val="22"/>
        </w:rPr>
        <w:t> </w:t>
      </w:r>
      <w:r>
        <w:rPr>
          <w:sz w:val="22"/>
        </w:rPr>
        <w:t>law,</w:t>
      </w:r>
    </w:p>
    <w:p>
      <w:pPr>
        <w:pStyle w:val="ListParagraph"/>
        <w:numPr>
          <w:ilvl w:val="0"/>
          <w:numId w:val="3"/>
        </w:numPr>
        <w:tabs>
          <w:tab w:pos="460" w:val="left" w:leader="none"/>
          <w:tab w:pos="461" w:val="left" w:leader="none"/>
        </w:tabs>
        <w:spacing w:line="259" w:lineRule="exact" w:before="0" w:after="0"/>
        <w:ind w:left="460" w:right="0" w:hanging="360"/>
        <w:jc w:val="left"/>
        <w:rPr>
          <w:sz w:val="22"/>
        </w:rPr>
      </w:pPr>
      <w:r>
        <w:rPr>
          <w:sz w:val="22"/>
        </w:rPr>
        <w:t>complex legal advisory in development real estate</w:t>
      </w:r>
      <w:r>
        <w:rPr>
          <w:spacing w:val="-9"/>
          <w:sz w:val="22"/>
        </w:rPr>
        <w:t> </w:t>
      </w:r>
      <w:r>
        <w:rPr>
          <w:sz w:val="22"/>
        </w:rPr>
        <w:t>projects,</w:t>
      </w:r>
    </w:p>
    <w:p>
      <w:pPr>
        <w:pStyle w:val="ListParagraph"/>
        <w:numPr>
          <w:ilvl w:val="0"/>
          <w:numId w:val="3"/>
        </w:numPr>
        <w:tabs>
          <w:tab w:pos="460" w:val="left" w:leader="none"/>
          <w:tab w:pos="461" w:val="left" w:leader="none"/>
        </w:tabs>
        <w:spacing w:line="259" w:lineRule="exact" w:before="0" w:after="0"/>
        <w:ind w:left="460" w:right="0" w:hanging="360"/>
        <w:jc w:val="left"/>
        <w:rPr>
          <w:sz w:val="22"/>
        </w:rPr>
      </w:pPr>
      <w:r>
        <w:rPr>
          <w:sz w:val="22"/>
        </w:rPr>
        <w:t>legal advisory for international insurance company in the area of business law</w:t>
      </w:r>
      <w:r>
        <w:rPr>
          <w:spacing w:val="-13"/>
          <w:sz w:val="22"/>
        </w:rPr>
        <w:t> </w:t>
      </w:r>
      <w:r>
        <w:rPr>
          <w:sz w:val="22"/>
        </w:rPr>
        <w:t>and</w:t>
      </w:r>
    </w:p>
    <w:p>
      <w:pPr>
        <w:pStyle w:val="ListParagraph"/>
        <w:numPr>
          <w:ilvl w:val="0"/>
          <w:numId w:val="3"/>
        </w:numPr>
        <w:tabs>
          <w:tab w:pos="460" w:val="left" w:leader="none"/>
          <w:tab w:pos="461" w:val="left" w:leader="none"/>
        </w:tabs>
        <w:spacing w:line="278" w:lineRule="exact" w:before="0" w:after="0"/>
        <w:ind w:left="460" w:right="0" w:hanging="360"/>
        <w:jc w:val="left"/>
        <w:rPr>
          <w:sz w:val="22"/>
        </w:rPr>
      </w:pPr>
      <w:r>
        <w:rPr>
          <w:sz w:val="22"/>
        </w:rPr>
        <w:t>legal advisory services during construction of a hotel</w:t>
      </w:r>
      <w:r>
        <w:rPr>
          <w:spacing w:val="-10"/>
          <w:sz w:val="22"/>
        </w:rPr>
        <w:t> </w:t>
      </w:r>
      <w:r>
        <w:rPr>
          <w:sz w:val="22"/>
        </w:rPr>
        <w:t>complex</w:t>
      </w:r>
    </w:p>
    <w:p>
      <w:pPr>
        <w:pStyle w:val="BodyText"/>
        <w:ind w:left="0"/>
        <w:rPr>
          <w:sz w:val="28"/>
        </w:rPr>
      </w:pPr>
    </w:p>
    <w:p>
      <w:pPr>
        <w:pStyle w:val="BodyText"/>
        <w:spacing w:before="4"/>
        <w:ind w:left="0"/>
        <w:rPr>
          <w:sz w:val="35"/>
        </w:rPr>
      </w:pPr>
    </w:p>
    <w:p>
      <w:pPr>
        <w:pStyle w:val="Heading2"/>
        <w:rPr>
          <w:i/>
        </w:rPr>
      </w:pPr>
      <w:r>
        <w:rPr>
          <w:i/>
        </w:rPr>
        <w:t>PROTECTION OF CLIENTS</w:t>
      </w:r>
    </w:p>
    <w:p>
      <w:pPr>
        <w:pStyle w:val="BodyText"/>
        <w:spacing w:before="248"/>
        <w:ind w:left="100" w:right="455"/>
        <w:jc w:val="both"/>
      </w:pPr>
      <w:r>
        <w:rPr/>
        <w:t>We perceive the confidence of our clients as one of our most important assets of our firm. We do not neglect insurance in our work; in the case of bigger projects we increase this insurance to a level required by our client.</w:t>
      </w:r>
    </w:p>
    <w:p>
      <w:pPr>
        <w:spacing w:after="0"/>
        <w:jc w:val="both"/>
        <w:sectPr>
          <w:pgSz w:w="12240" w:h="15840"/>
          <w:pgMar w:header="719" w:footer="700" w:top="1460" w:bottom="900" w:left="1700" w:right="1340"/>
        </w:sectPr>
      </w:pPr>
    </w:p>
    <w:p>
      <w:pPr>
        <w:pStyle w:val="Heading2"/>
        <w:spacing w:before="104"/>
        <w:rPr>
          <w:i/>
        </w:rPr>
      </w:pPr>
      <w:r>
        <w:rPr>
          <w:i/>
        </w:rPr>
        <w:t>CONTACT</w:t>
      </w:r>
    </w:p>
    <w:p>
      <w:pPr>
        <w:pStyle w:val="BodyText"/>
        <w:ind w:left="0"/>
        <w:rPr>
          <w:b/>
          <w:i/>
        </w:rPr>
      </w:pPr>
    </w:p>
    <w:p>
      <w:pPr>
        <w:spacing w:line="251" w:lineRule="exact" w:before="0"/>
        <w:ind w:left="100" w:right="0" w:firstLine="0"/>
        <w:jc w:val="left"/>
        <w:rPr>
          <w:b/>
          <w:sz w:val="22"/>
        </w:rPr>
      </w:pPr>
      <w:r>
        <w:rPr>
          <w:b/>
          <w:sz w:val="22"/>
        </w:rPr>
        <w:t>Advokátska kancelária/Law office Dr. Peter </w:t>
      </w:r>
      <w:r>
        <w:rPr>
          <w:sz w:val="22"/>
        </w:rPr>
        <w:t>C</w:t>
      </w:r>
      <w:r>
        <w:rPr>
          <w:b/>
          <w:sz w:val="22"/>
        </w:rPr>
        <w:t>avojský</w:t>
      </w:r>
    </w:p>
    <w:p>
      <w:pPr>
        <w:pStyle w:val="BodyText"/>
        <w:spacing w:line="251" w:lineRule="exact"/>
        <w:ind w:left="100"/>
      </w:pPr>
      <w:r>
        <w:rPr/>
        <w:t>Štefanovicova 12</w:t>
      </w:r>
    </w:p>
    <w:p>
      <w:pPr>
        <w:pStyle w:val="BodyText"/>
        <w:ind w:left="100" w:right="7528"/>
      </w:pPr>
      <w:r>
        <w:rPr/>
        <w:t>811 04 Bratislava Slovak Republic</w:t>
      </w:r>
    </w:p>
    <w:p>
      <w:pPr>
        <w:pStyle w:val="BodyText"/>
        <w:ind w:left="0"/>
        <w:rPr>
          <w:sz w:val="26"/>
        </w:rPr>
      </w:pPr>
    </w:p>
    <w:p>
      <w:pPr>
        <w:pStyle w:val="BodyText"/>
        <w:tabs>
          <w:tab w:pos="819" w:val="left" w:leader="none"/>
        </w:tabs>
        <w:spacing w:line="252" w:lineRule="exact" w:before="207"/>
        <w:ind w:left="100"/>
      </w:pPr>
      <w:r>
        <w:rPr/>
        <w:t>Tel.:</w:t>
        <w:tab/>
        <w:t>+ 421 2 3266</w:t>
      </w:r>
      <w:r>
        <w:rPr>
          <w:spacing w:val="-1"/>
        </w:rPr>
        <w:t> </w:t>
      </w:r>
      <w:r>
        <w:rPr/>
        <w:t>2946</w:t>
      </w:r>
    </w:p>
    <w:p>
      <w:pPr>
        <w:pStyle w:val="BodyText"/>
        <w:tabs>
          <w:tab w:pos="819" w:val="left" w:leader="none"/>
        </w:tabs>
        <w:spacing w:line="252" w:lineRule="exact"/>
        <w:ind w:left="100"/>
      </w:pPr>
      <w:r>
        <w:rPr/>
        <w:t>Fax:</w:t>
        <w:tab/>
        <w:t>+ 421 2 5244</w:t>
      </w:r>
      <w:r>
        <w:rPr>
          <w:spacing w:val="-1"/>
        </w:rPr>
        <w:t> </w:t>
      </w:r>
      <w:r>
        <w:rPr/>
        <w:t>4209</w:t>
      </w:r>
    </w:p>
    <w:p>
      <w:pPr>
        <w:pStyle w:val="BodyText"/>
        <w:spacing w:line="252" w:lineRule="exact" w:before="2"/>
        <w:ind w:left="100"/>
      </w:pPr>
      <w:r>
        <w:rPr/>
        <w:t>Mobil:  + 421 902 917</w:t>
      </w:r>
      <w:r>
        <w:rPr>
          <w:spacing w:val="8"/>
        </w:rPr>
        <w:t> </w:t>
      </w:r>
      <w:r>
        <w:rPr/>
        <w:t>206</w:t>
      </w:r>
    </w:p>
    <w:p>
      <w:pPr>
        <w:pStyle w:val="BodyText"/>
        <w:ind w:left="100" w:right="4494"/>
      </w:pPr>
      <w:r>
        <w:rPr/>
        <w:t>e-mail: </w:t>
      </w:r>
      <w:hyperlink r:id="rId6">
        <w:r>
          <w:rPr/>
          <w:t>cavojsky@cavojsky.com</w:t>
        </w:r>
      </w:hyperlink>
      <w:hyperlink r:id="rId7">
        <w:r>
          <w:rPr/>
          <w:t> www.cavojsky.com</w:t>
        </w:r>
      </w:hyperlink>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10"/>
        <w:ind w:left="0"/>
        <w:rPr>
          <w:sz w:val="27"/>
        </w:rPr>
      </w:pPr>
    </w:p>
    <w:p>
      <w:pPr>
        <w:pStyle w:val="BodyText"/>
        <w:ind w:left="100"/>
      </w:pPr>
      <w:r>
        <w:rPr/>
        <w:t>We hope that this presentation of our law firm has interested you. Should you have any questions, please contact us. We will be proud if you turn to us with confidence.</w:t>
      </w:r>
    </w:p>
    <w:p>
      <w:pPr>
        <w:pStyle w:val="BodyText"/>
        <w:ind w:left="0"/>
        <w:rPr>
          <w:sz w:val="20"/>
        </w:rPr>
      </w:pPr>
    </w:p>
    <w:p>
      <w:pPr>
        <w:pStyle w:val="BodyText"/>
        <w:ind w:left="0"/>
        <w:rPr>
          <w:sz w:val="20"/>
        </w:rPr>
      </w:pPr>
    </w:p>
    <w:p>
      <w:pPr>
        <w:pStyle w:val="BodyText"/>
        <w:spacing w:before="2"/>
        <w:ind w:left="0"/>
        <w:rPr>
          <w:sz w:val="23"/>
        </w:rPr>
      </w:pPr>
      <w:r>
        <w:rPr/>
        <w:drawing>
          <wp:anchor distT="0" distB="0" distL="0" distR="0" allowOverlap="1" layoutInCell="1" locked="0" behindDoc="0" simplePos="0" relativeHeight="0">
            <wp:simplePos x="0" y="0"/>
            <wp:positionH relativeFrom="page">
              <wp:posOffset>1143011</wp:posOffset>
            </wp:positionH>
            <wp:positionV relativeFrom="paragraph">
              <wp:posOffset>194030</wp:posOffset>
            </wp:positionV>
            <wp:extent cx="1887111" cy="612933"/>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1887111" cy="612933"/>
                    </a:xfrm>
                    <a:prstGeom prst="rect">
                      <a:avLst/>
                    </a:prstGeom>
                  </pic:spPr>
                </pic:pic>
              </a:graphicData>
            </a:graphic>
          </wp:anchor>
        </w:drawing>
      </w:r>
    </w:p>
    <w:sectPr>
      <w:pgSz w:w="12240" w:h="15840"/>
      <w:pgMar w:header="719" w:footer="700" w:top="1460" w:bottom="900" w:left="17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line style="position:absolute;mso-position-horizontal-relative:page;mso-position-vertical-relative:page;z-index:-5824" from="88.560905pt,743.240234pt" to="523.440918pt,743.240234pt" stroked="true" strokeweight=".4799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89.0009pt;margin-top:743.356934pt;width:218.7pt;height:14.05pt;mso-position-horizontal-relative:page;mso-position-vertical-relative:page;z-index:-5800" type="#_x0000_t202" filled="false" stroked="false">
          <v:textbox inset="0,0,0,0">
            <w:txbxContent>
              <w:p>
                <w:pPr>
                  <w:spacing w:before="17"/>
                  <w:ind w:left="20" w:right="0" w:firstLine="0"/>
                  <w:jc w:val="left"/>
                  <w:rPr>
                    <w:sz w:val="20"/>
                  </w:rPr>
                </w:pPr>
                <w:r>
                  <w:rPr>
                    <w:sz w:val="20"/>
                  </w:rPr>
                  <w:t>Advokátska kancelária/Law office Dr. Peter Cavojský</w:t>
                </w:r>
              </w:p>
            </w:txbxContent>
          </v:textbox>
          <w10:wrap type="none"/>
        </v:shape>
      </w:pict>
    </w:r>
    <w:r>
      <w:rPr/>
      <w:pict>
        <v:shape style="position:absolute;margin-left:507.280914pt;margin-top:743.356934pt;width:15.8pt;height:14.05pt;mso-position-horizontal-relative:page;mso-position-vertical-relative:page;z-index:-5776" type="#_x0000_t202" filled="false" stroked="false">
          <v:textbox inset="0,0,0,0">
            <w:txbxContent>
              <w:p>
                <w:pPr>
                  <w:spacing w:before="17"/>
                  <w:ind w:left="40" w:right="0" w:firstLine="0"/>
                  <w:jc w:val="left"/>
                  <w:rPr>
                    <w:sz w:val="20"/>
                  </w:rPr>
                </w:pPr>
                <w:r>
                  <w:rPr/>
                  <w:fldChar w:fldCharType="begin"/>
                </w:r>
                <w:r>
                  <w:rPr>
                    <w:sz w:val="20"/>
                  </w:rPr>
                  <w:instrText> PAGE </w:instrText>
                </w:r>
                <w:r>
                  <w:rPr/>
                  <w:fldChar w:fldCharType="separate"/>
                </w:r>
                <w:r>
                  <w:rPr/>
                  <w:t>2</w:t>
                </w:r>
                <w:r>
                  <w:rPr/>
                  <w:fldChar w:fldCharType="end"/>
                </w:r>
                <w:r>
                  <w:rPr>
                    <w:sz w:val="20"/>
                  </w:rPr>
                  <w:t>/5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583">
          <wp:simplePos x="0" y="0"/>
          <wp:positionH relativeFrom="page">
            <wp:posOffset>5715012</wp:posOffset>
          </wp:positionH>
          <wp:positionV relativeFrom="page">
            <wp:posOffset>456691</wp:posOffset>
          </wp:positionV>
          <wp:extent cx="952499" cy="26670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952499" cy="266700"/>
                  </a:xfrm>
                  <a:prstGeom prst="rect">
                    <a:avLst/>
                  </a:prstGeom>
                </pic:spPr>
              </pic:pic>
            </a:graphicData>
          </a:graphic>
        </wp:anchor>
      </w:drawing>
    </w:r>
    <w:r>
      <w:rPr/>
      <w:pict>
        <v:line style="position:absolute;mso-position-horizontal-relative:page;mso-position-vertical-relative:page;z-index:-5848" from="88.560905pt,64.759987pt" to="523.440918pt,64.759987pt" stroked="true" strokeweight=".47998pt" strokecolor="#000000">
          <v:stroke dashstyle="solid"/>
          <w10:wrap type="non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60" w:hanging="360"/>
      </w:pPr>
      <w:rPr>
        <w:rFonts w:hint="default" w:ascii="Palatino Linotype" w:hAnsi="Palatino Linotype" w:eastAsia="Palatino Linotype" w:cs="Palatino Linotype"/>
        <w:w w:val="100"/>
        <w:sz w:val="22"/>
        <w:szCs w:val="22"/>
      </w:rPr>
    </w:lvl>
    <w:lvl w:ilvl="1">
      <w:start w:val="0"/>
      <w:numFmt w:val="bullet"/>
      <w:lvlText w:val="•"/>
      <w:lvlJc w:val="left"/>
      <w:pPr>
        <w:ind w:left="1334" w:hanging="360"/>
      </w:pPr>
      <w:rPr>
        <w:rFonts w:hint="default"/>
      </w:rPr>
    </w:lvl>
    <w:lvl w:ilvl="2">
      <w:start w:val="0"/>
      <w:numFmt w:val="bullet"/>
      <w:lvlText w:val="•"/>
      <w:lvlJc w:val="left"/>
      <w:pPr>
        <w:ind w:left="2208" w:hanging="360"/>
      </w:pPr>
      <w:rPr>
        <w:rFonts w:hint="default"/>
      </w:rPr>
    </w:lvl>
    <w:lvl w:ilvl="3">
      <w:start w:val="0"/>
      <w:numFmt w:val="bullet"/>
      <w:lvlText w:val="•"/>
      <w:lvlJc w:val="left"/>
      <w:pPr>
        <w:ind w:left="3082" w:hanging="360"/>
      </w:pPr>
      <w:rPr>
        <w:rFonts w:hint="default"/>
      </w:rPr>
    </w:lvl>
    <w:lvl w:ilvl="4">
      <w:start w:val="0"/>
      <w:numFmt w:val="bullet"/>
      <w:lvlText w:val="•"/>
      <w:lvlJc w:val="left"/>
      <w:pPr>
        <w:ind w:left="3956" w:hanging="360"/>
      </w:pPr>
      <w:rPr>
        <w:rFonts w:hint="default"/>
      </w:rPr>
    </w:lvl>
    <w:lvl w:ilvl="5">
      <w:start w:val="0"/>
      <w:numFmt w:val="bullet"/>
      <w:lvlText w:val="•"/>
      <w:lvlJc w:val="left"/>
      <w:pPr>
        <w:ind w:left="4830" w:hanging="360"/>
      </w:pPr>
      <w:rPr>
        <w:rFonts w:hint="default"/>
      </w:rPr>
    </w:lvl>
    <w:lvl w:ilvl="6">
      <w:start w:val="0"/>
      <w:numFmt w:val="bullet"/>
      <w:lvlText w:val="•"/>
      <w:lvlJc w:val="left"/>
      <w:pPr>
        <w:ind w:left="5704" w:hanging="360"/>
      </w:pPr>
      <w:rPr>
        <w:rFonts w:hint="default"/>
      </w:rPr>
    </w:lvl>
    <w:lvl w:ilvl="7">
      <w:start w:val="0"/>
      <w:numFmt w:val="bullet"/>
      <w:lvlText w:val="•"/>
      <w:lvlJc w:val="left"/>
      <w:pPr>
        <w:ind w:left="6578" w:hanging="360"/>
      </w:pPr>
      <w:rPr>
        <w:rFonts w:hint="default"/>
      </w:rPr>
    </w:lvl>
    <w:lvl w:ilvl="8">
      <w:start w:val="0"/>
      <w:numFmt w:val="bullet"/>
      <w:lvlText w:val="•"/>
      <w:lvlJc w:val="left"/>
      <w:pPr>
        <w:ind w:left="7452" w:hanging="360"/>
      </w:pPr>
      <w:rPr>
        <w:rFonts w:hint="default"/>
      </w:rPr>
    </w:lvl>
  </w:abstractNum>
  <w:abstractNum w:abstractNumId="1">
    <w:multiLevelType w:val="hybridMultilevel"/>
    <w:lvl w:ilvl="0">
      <w:start w:val="0"/>
      <w:numFmt w:val="bullet"/>
      <w:lvlText w:val="-"/>
      <w:lvlJc w:val="left"/>
      <w:pPr>
        <w:ind w:left="460" w:hanging="360"/>
      </w:pPr>
      <w:rPr>
        <w:rFonts w:hint="default" w:ascii="Times New Roman" w:hAnsi="Times New Roman" w:eastAsia="Times New Roman" w:cs="Times New Roman"/>
        <w:w w:val="100"/>
        <w:sz w:val="22"/>
        <w:szCs w:val="22"/>
      </w:rPr>
    </w:lvl>
    <w:lvl w:ilvl="1">
      <w:start w:val="0"/>
      <w:numFmt w:val="bullet"/>
      <w:lvlText w:val="•"/>
      <w:lvlJc w:val="left"/>
      <w:pPr>
        <w:ind w:left="1334" w:hanging="360"/>
      </w:pPr>
      <w:rPr>
        <w:rFonts w:hint="default"/>
      </w:rPr>
    </w:lvl>
    <w:lvl w:ilvl="2">
      <w:start w:val="0"/>
      <w:numFmt w:val="bullet"/>
      <w:lvlText w:val="•"/>
      <w:lvlJc w:val="left"/>
      <w:pPr>
        <w:ind w:left="2208" w:hanging="360"/>
      </w:pPr>
      <w:rPr>
        <w:rFonts w:hint="default"/>
      </w:rPr>
    </w:lvl>
    <w:lvl w:ilvl="3">
      <w:start w:val="0"/>
      <w:numFmt w:val="bullet"/>
      <w:lvlText w:val="•"/>
      <w:lvlJc w:val="left"/>
      <w:pPr>
        <w:ind w:left="3082" w:hanging="360"/>
      </w:pPr>
      <w:rPr>
        <w:rFonts w:hint="default"/>
      </w:rPr>
    </w:lvl>
    <w:lvl w:ilvl="4">
      <w:start w:val="0"/>
      <w:numFmt w:val="bullet"/>
      <w:lvlText w:val="•"/>
      <w:lvlJc w:val="left"/>
      <w:pPr>
        <w:ind w:left="3956" w:hanging="360"/>
      </w:pPr>
      <w:rPr>
        <w:rFonts w:hint="default"/>
      </w:rPr>
    </w:lvl>
    <w:lvl w:ilvl="5">
      <w:start w:val="0"/>
      <w:numFmt w:val="bullet"/>
      <w:lvlText w:val="•"/>
      <w:lvlJc w:val="left"/>
      <w:pPr>
        <w:ind w:left="4830" w:hanging="360"/>
      </w:pPr>
      <w:rPr>
        <w:rFonts w:hint="default"/>
      </w:rPr>
    </w:lvl>
    <w:lvl w:ilvl="6">
      <w:start w:val="0"/>
      <w:numFmt w:val="bullet"/>
      <w:lvlText w:val="•"/>
      <w:lvlJc w:val="left"/>
      <w:pPr>
        <w:ind w:left="5704" w:hanging="360"/>
      </w:pPr>
      <w:rPr>
        <w:rFonts w:hint="default"/>
      </w:rPr>
    </w:lvl>
    <w:lvl w:ilvl="7">
      <w:start w:val="0"/>
      <w:numFmt w:val="bullet"/>
      <w:lvlText w:val="•"/>
      <w:lvlJc w:val="left"/>
      <w:pPr>
        <w:ind w:left="6578" w:hanging="360"/>
      </w:pPr>
      <w:rPr>
        <w:rFonts w:hint="default"/>
      </w:rPr>
    </w:lvl>
    <w:lvl w:ilvl="8">
      <w:start w:val="0"/>
      <w:numFmt w:val="bullet"/>
      <w:lvlText w:val="•"/>
      <w:lvlJc w:val="left"/>
      <w:pPr>
        <w:ind w:left="7452" w:hanging="360"/>
      </w:pPr>
      <w:rPr>
        <w:rFonts w:hint="default"/>
      </w:rPr>
    </w:lvl>
  </w:abstractNum>
  <w:abstractNum w:abstractNumId="0">
    <w:multiLevelType w:val="hybridMultilevel"/>
    <w:lvl w:ilvl="0">
      <w:start w:val="1"/>
      <w:numFmt w:val="decimal"/>
      <w:lvlText w:val="%1."/>
      <w:lvlJc w:val="left"/>
      <w:pPr>
        <w:ind w:left="320" w:hanging="221"/>
        <w:jc w:val="left"/>
      </w:pPr>
      <w:rPr>
        <w:rFonts w:hint="default" w:ascii="Times New Roman" w:hAnsi="Times New Roman" w:eastAsia="Times New Roman" w:cs="Times New Roman"/>
        <w:w w:val="100"/>
        <w:sz w:val="22"/>
        <w:szCs w:val="22"/>
      </w:rPr>
    </w:lvl>
    <w:lvl w:ilvl="1">
      <w:start w:val="0"/>
      <w:numFmt w:val="bullet"/>
      <w:lvlText w:val="•"/>
      <w:lvlJc w:val="left"/>
      <w:pPr>
        <w:ind w:left="1208" w:hanging="221"/>
      </w:pPr>
      <w:rPr>
        <w:rFonts w:hint="default"/>
      </w:rPr>
    </w:lvl>
    <w:lvl w:ilvl="2">
      <w:start w:val="0"/>
      <w:numFmt w:val="bullet"/>
      <w:lvlText w:val="•"/>
      <w:lvlJc w:val="left"/>
      <w:pPr>
        <w:ind w:left="2096" w:hanging="221"/>
      </w:pPr>
      <w:rPr>
        <w:rFonts w:hint="default"/>
      </w:rPr>
    </w:lvl>
    <w:lvl w:ilvl="3">
      <w:start w:val="0"/>
      <w:numFmt w:val="bullet"/>
      <w:lvlText w:val="•"/>
      <w:lvlJc w:val="left"/>
      <w:pPr>
        <w:ind w:left="2984" w:hanging="221"/>
      </w:pPr>
      <w:rPr>
        <w:rFonts w:hint="default"/>
      </w:rPr>
    </w:lvl>
    <w:lvl w:ilvl="4">
      <w:start w:val="0"/>
      <w:numFmt w:val="bullet"/>
      <w:lvlText w:val="•"/>
      <w:lvlJc w:val="left"/>
      <w:pPr>
        <w:ind w:left="3872" w:hanging="221"/>
      </w:pPr>
      <w:rPr>
        <w:rFonts w:hint="default"/>
      </w:rPr>
    </w:lvl>
    <w:lvl w:ilvl="5">
      <w:start w:val="0"/>
      <w:numFmt w:val="bullet"/>
      <w:lvlText w:val="•"/>
      <w:lvlJc w:val="left"/>
      <w:pPr>
        <w:ind w:left="4760" w:hanging="221"/>
      </w:pPr>
      <w:rPr>
        <w:rFonts w:hint="default"/>
      </w:rPr>
    </w:lvl>
    <w:lvl w:ilvl="6">
      <w:start w:val="0"/>
      <w:numFmt w:val="bullet"/>
      <w:lvlText w:val="•"/>
      <w:lvlJc w:val="left"/>
      <w:pPr>
        <w:ind w:left="5648" w:hanging="221"/>
      </w:pPr>
      <w:rPr>
        <w:rFonts w:hint="default"/>
      </w:rPr>
    </w:lvl>
    <w:lvl w:ilvl="7">
      <w:start w:val="0"/>
      <w:numFmt w:val="bullet"/>
      <w:lvlText w:val="•"/>
      <w:lvlJc w:val="left"/>
      <w:pPr>
        <w:ind w:left="6536" w:hanging="221"/>
      </w:pPr>
      <w:rPr>
        <w:rFonts w:hint="default"/>
      </w:rPr>
    </w:lvl>
    <w:lvl w:ilvl="8">
      <w:start w:val="0"/>
      <w:numFmt w:val="bullet"/>
      <w:lvlText w:val="•"/>
      <w:lvlJc w:val="left"/>
      <w:pPr>
        <w:ind w:left="7424" w:hanging="22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460"/>
    </w:pPr>
    <w:rPr>
      <w:rFonts w:ascii="Times New Roman" w:hAnsi="Times New Roman" w:eastAsia="Times New Roman" w:cs="Times New Roman"/>
      <w:sz w:val="22"/>
      <w:szCs w:val="22"/>
    </w:rPr>
  </w:style>
  <w:style w:styleId="Heading1" w:type="paragraph">
    <w:name w:val="Heading 1"/>
    <w:basedOn w:val="Normal"/>
    <w:uiPriority w:val="1"/>
    <w:qFormat/>
    <w:pPr>
      <w:spacing w:before="106" w:line="250" w:lineRule="exact"/>
      <w:ind w:left="100"/>
      <w:outlineLvl w:val="1"/>
    </w:pPr>
    <w:rPr>
      <w:rFonts w:ascii="Times New Roman" w:hAnsi="Times New Roman" w:eastAsia="Times New Roman" w:cs="Times New Roman"/>
      <w:b/>
      <w:bCs/>
      <w:sz w:val="22"/>
      <w:szCs w:val="22"/>
    </w:rPr>
  </w:style>
  <w:style w:styleId="Heading2" w:type="paragraph">
    <w:name w:val="Heading 2"/>
    <w:basedOn w:val="Normal"/>
    <w:uiPriority w:val="1"/>
    <w:qFormat/>
    <w:pPr>
      <w:ind w:left="100"/>
      <w:outlineLvl w:val="2"/>
    </w:pPr>
    <w:rPr>
      <w:rFonts w:ascii="Times New Roman" w:hAnsi="Times New Roman" w:eastAsia="Times New Roman" w:cs="Times New Roman"/>
      <w:b/>
      <w:bCs/>
      <w:i/>
      <w:sz w:val="22"/>
      <w:szCs w:val="22"/>
    </w:rPr>
  </w:style>
  <w:style w:styleId="ListParagraph" w:type="paragraph">
    <w:name w:val="List Paragraph"/>
    <w:basedOn w:val="Normal"/>
    <w:uiPriority w:val="1"/>
    <w:qFormat/>
    <w:pPr>
      <w:spacing w:line="252" w:lineRule="exact"/>
      <w:ind w:left="46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3.jpeg" Type="http://schemas.openxmlformats.org/officeDocument/2006/relationships/image"/>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cavojsky@cavojsky.com" TargetMode="External" Type="http://schemas.openxmlformats.org/officeDocument/2006/relationships/hyperlink"/>
<Relationship Id="rId7" Target="http://www.cavojsky.com/"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