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640" w:rsidRPr="007778C2" w:rsidRDefault="002739B9" w:rsidP="002739B9">
      <w:pPr>
        <w:jc w:val="center"/>
        <w:rPr>
          <w:rFonts w:cstheme="minorHAnsi"/>
          <w:b/>
          <w:bCs/>
          <w:sz w:val="28"/>
          <w:szCs w:val="28"/>
        </w:rPr>
      </w:pPr>
      <w:r w:rsidRPr="007778C2">
        <w:rPr>
          <w:rFonts w:cstheme="minorHAnsi"/>
          <w:b/>
          <w:bCs/>
          <w:sz w:val="28"/>
          <w:szCs w:val="28"/>
        </w:rPr>
        <w:t>Service Catalog Template</w:t>
      </w:r>
    </w:p>
    <w:p w:rsidR="00D93194" w:rsidRDefault="002739B9" w:rsidP="00782392">
      <w:pPr>
        <w:rPr>
          <w:rFonts w:cstheme="minorHAnsi"/>
        </w:rPr>
      </w:pPr>
      <w:r w:rsidRPr="00782392">
        <w:rPr>
          <w:rFonts w:cstheme="minorHAnsi"/>
          <w:b/>
          <w:bCs/>
        </w:rPr>
        <w:t>1.</w:t>
      </w:r>
      <w:r w:rsidRPr="00782392">
        <w:rPr>
          <w:rFonts w:cstheme="minorHAnsi"/>
        </w:rPr>
        <w:tab/>
      </w:r>
      <w:r w:rsidRPr="00782392">
        <w:rPr>
          <w:rFonts w:cstheme="minorHAnsi"/>
          <w:b/>
          <w:bCs/>
        </w:rPr>
        <w:t>Definition</w:t>
      </w:r>
      <w:r w:rsidR="00D93194">
        <w:rPr>
          <w:rFonts w:cstheme="minorHAnsi"/>
        </w:rPr>
        <w:t>.</w:t>
      </w:r>
      <w:r w:rsidRPr="00782392">
        <w:rPr>
          <w:rFonts w:cstheme="minorHAnsi"/>
        </w:rPr>
        <w:t xml:space="preserve"> </w:t>
      </w:r>
      <w:r w:rsidR="00D93194">
        <w:rPr>
          <w:rFonts w:cstheme="minorHAnsi"/>
        </w:rPr>
        <w:t>Two types of IT services:</w:t>
      </w:r>
    </w:p>
    <w:p w:rsidR="00D93194" w:rsidRPr="00D93194" w:rsidRDefault="00D93194" w:rsidP="00D93194">
      <w:pPr>
        <w:ind w:left="720" w:hanging="360"/>
        <w:rPr>
          <w:rFonts w:cstheme="minorHAnsi"/>
          <w:b/>
          <w:bCs/>
        </w:rPr>
      </w:pPr>
      <w:r w:rsidRPr="00D93194">
        <w:rPr>
          <w:rFonts w:cstheme="minorHAnsi"/>
          <w:b/>
          <w:bCs/>
        </w:rPr>
        <w:t>a.</w:t>
      </w:r>
      <w:r w:rsidRPr="00D93194">
        <w:rPr>
          <w:rFonts w:cstheme="minorHAnsi"/>
          <w:b/>
          <w:bCs/>
        </w:rPr>
        <w:tab/>
      </w:r>
      <w:bookmarkStart w:id="0" w:name="_GoBack"/>
      <w:bookmarkEnd w:id="0"/>
      <w:r w:rsidRPr="00D93194">
        <w:rPr>
          <w:rFonts w:cstheme="minorHAnsi"/>
          <w:b/>
          <w:bCs/>
        </w:rPr>
        <w:t>Customer-facing services:</w:t>
      </w:r>
    </w:p>
    <w:p w:rsidR="00CA3B31" w:rsidRDefault="00D93194" w:rsidP="00D93194">
      <w:pPr>
        <w:ind w:left="720"/>
        <w:rPr>
          <w:rFonts w:cstheme="minorHAnsi"/>
        </w:rPr>
      </w:pPr>
      <w:r>
        <w:rPr>
          <w:rFonts w:cstheme="minorHAnsi"/>
        </w:rPr>
        <w:t>The focus</w:t>
      </w:r>
      <w:r w:rsidR="002739B9" w:rsidRPr="00782392">
        <w:rPr>
          <w:rFonts w:cstheme="minorHAnsi"/>
        </w:rPr>
        <w:t xml:space="preserve"> is about the </w:t>
      </w:r>
      <w:r w:rsidR="002739B9" w:rsidRPr="00782392">
        <w:rPr>
          <w:rFonts w:cstheme="minorHAnsi"/>
          <w:b/>
          <w:bCs/>
        </w:rPr>
        <w:t>outcomes</w:t>
      </w:r>
      <w:r w:rsidR="002739B9" w:rsidRPr="00782392">
        <w:rPr>
          <w:rFonts w:cstheme="minorHAnsi"/>
        </w:rPr>
        <w:t xml:space="preserve"> the IT service enables </w:t>
      </w:r>
      <w:r w:rsidR="002739B9" w:rsidRPr="00782392">
        <w:rPr>
          <w:rFonts w:cstheme="minorHAnsi"/>
          <w:b/>
          <w:bCs/>
        </w:rPr>
        <w:t>users</w:t>
      </w:r>
      <w:r>
        <w:rPr>
          <w:rFonts w:cstheme="minorHAnsi"/>
          <w:b/>
          <w:bCs/>
        </w:rPr>
        <w:t xml:space="preserve"> </w:t>
      </w:r>
      <w:r w:rsidRPr="00D93194">
        <w:rPr>
          <w:rFonts w:cstheme="minorHAnsi"/>
        </w:rPr>
        <w:t xml:space="preserve">(faculty, students, </w:t>
      </w:r>
      <w:proofErr w:type="gramStart"/>
      <w:r w:rsidRPr="00D93194">
        <w:rPr>
          <w:rFonts w:cstheme="minorHAnsi"/>
        </w:rPr>
        <w:t>staff</w:t>
      </w:r>
      <w:proofErr w:type="gramEnd"/>
      <w:r w:rsidRPr="00D93194">
        <w:rPr>
          <w:rFonts w:cstheme="minorHAnsi"/>
        </w:rPr>
        <w:t>)</w:t>
      </w:r>
      <w:r w:rsidR="002739B9" w:rsidRPr="00782392">
        <w:rPr>
          <w:rFonts w:cstheme="minorHAnsi"/>
        </w:rPr>
        <w:t xml:space="preserve"> to achieve. It is “a means of delivering value to customers by facilitating outcomes customers want to achieve.” </w:t>
      </w:r>
      <w:r w:rsidR="00782392">
        <w:rPr>
          <w:rFonts w:cstheme="minorHAnsi"/>
        </w:rPr>
        <w:t>It is necessary</w:t>
      </w:r>
      <w:r w:rsidR="002739B9" w:rsidRPr="00782392">
        <w:rPr>
          <w:rFonts w:cstheme="minorHAnsi"/>
        </w:rPr>
        <w:t xml:space="preserve"> to understand the business process </w:t>
      </w:r>
      <w:r w:rsidR="00782392">
        <w:rPr>
          <w:rFonts w:cstheme="minorHAnsi"/>
        </w:rPr>
        <w:t xml:space="preserve">that </w:t>
      </w:r>
      <w:r w:rsidR="002739B9" w:rsidRPr="00782392">
        <w:rPr>
          <w:rFonts w:cstheme="minorHAnsi"/>
        </w:rPr>
        <w:t>the service will enable</w:t>
      </w:r>
      <w:r w:rsidR="00CA3B31" w:rsidRPr="00782392">
        <w:rPr>
          <w:rFonts w:cstheme="minorHAnsi"/>
        </w:rPr>
        <w:t>, and the outcomes that the service enables users to achieve.</w:t>
      </w:r>
    </w:p>
    <w:p w:rsidR="00D93194" w:rsidRDefault="00D93194" w:rsidP="00D93194">
      <w:pPr>
        <w:ind w:left="720"/>
        <w:rPr>
          <w:rFonts w:cstheme="minorHAnsi"/>
        </w:rPr>
      </w:pPr>
      <w:r>
        <w:rPr>
          <w:rFonts w:cstheme="minorHAnsi"/>
        </w:rPr>
        <w:t>Se</w:t>
      </w:r>
      <w:r w:rsidR="00601EC0">
        <w:rPr>
          <w:rFonts w:cstheme="minorHAnsi"/>
        </w:rPr>
        <w:t xml:space="preserve">rvices in categories a – d, </w:t>
      </w:r>
      <w:proofErr w:type="gramStart"/>
      <w:r w:rsidR="00601EC0">
        <w:rPr>
          <w:rFonts w:cstheme="minorHAnsi"/>
        </w:rPr>
        <w:t>g ,</w:t>
      </w:r>
      <w:proofErr w:type="gramEnd"/>
      <w:r w:rsidR="00601EC0">
        <w:rPr>
          <w:rFonts w:cstheme="minorHAnsi"/>
        </w:rPr>
        <w:t xml:space="preserve"> </w:t>
      </w:r>
      <w:r>
        <w:rPr>
          <w:rFonts w:cstheme="minorHAnsi"/>
        </w:rPr>
        <w:t>h.</w:t>
      </w:r>
    </w:p>
    <w:p w:rsidR="00D93194" w:rsidRDefault="00D93194" w:rsidP="00D93194">
      <w:pPr>
        <w:ind w:left="360"/>
        <w:rPr>
          <w:rFonts w:cstheme="minorHAnsi"/>
        </w:rPr>
      </w:pPr>
      <w:r w:rsidRPr="00D93194">
        <w:rPr>
          <w:rFonts w:cstheme="minorHAnsi"/>
          <w:b/>
          <w:bCs/>
        </w:rPr>
        <w:t>b.</w:t>
      </w:r>
      <w:r w:rsidRPr="00D93194">
        <w:rPr>
          <w:rFonts w:cstheme="minorHAnsi"/>
          <w:b/>
          <w:bCs/>
        </w:rPr>
        <w:tab/>
        <w:t>Enabling services:</w:t>
      </w:r>
    </w:p>
    <w:p w:rsidR="00D93194" w:rsidRDefault="00D93194" w:rsidP="00D93194">
      <w:pPr>
        <w:ind w:left="360"/>
        <w:rPr>
          <w:rFonts w:cstheme="minorHAnsi"/>
        </w:rPr>
      </w:pPr>
      <w:r>
        <w:rPr>
          <w:rFonts w:cstheme="minorHAnsi"/>
        </w:rPr>
        <w:tab/>
        <w:t>Core infrastructure services that directly enable customer-facing services.</w:t>
      </w:r>
    </w:p>
    <w:p w:rsidR="00D93194" w:rsidRPr="00D93194" w:rsidRDefault="00D93194" w:rsidP="00D93194">
      <w:pPr>
        <w:ind w:left="360"/>
        <w:rPr>
          <w:rFonts w:cstheme="minorHAnsi"/>
        </w:rPr>
      </w:pPr>
      <w:r>
        <w:rPr>
          <w:rFonts w:cstheme="minorHAnsi"/>
        </w:rPr>
        <w:tab/>
        <w:t>Services in categories e and f.</w:t>
      </w:r>
    </w:p>
    <w:p w:rsidR="002739B9" w:rsidRPr="00782392" w:rsidRDefault="002739B9" w:rsidP="002739B9">
      <w:pPr>
        <w:rPr>
          <w:rFonts w:cstheme="minorHAnsi"/>
          <w:b/>
          <w:bCs/>
        </w:rPr>
      </w:pPr>
      <w:r w:rsidRPr="00782392">
        <w:rPr>
          <w:rFonts w:cstheme="minorHAnsi"/>
          <w:b/>
          <w:bCs/>
        </w:rPr>
        <w:t>2.</w:t>
      </w:r>
      <w:r w:rsidRPr="00782392">
        <w:rPr>
          <w:rFonts w:cstheme="minorHAnsi"/>
          <w:b/>
          <w:bCs/>
        </w:rPr>
        <w:tab/>
        <w:t>Categories:</w:t>
      </w:r>
    </w:p>
    <w:p w:rsidR="002739B9" w:rsidRPr="00782392" w:rsidRDefault="002739B9" w:rsidP="002739B9">
      <w:pPr>
        <w:ind w:left="360"/>
        <w:rPr>
          <w:rFonts w:cstheme="minorHAnsi"/>
          <w:b/>
          <w:bCs/>
        </w:rPr>
      </w:pPr>
      <w:r w:rsidRPr="00782392">
        <w:rPr>
          <w:rFonts w:cstheme="minorHAnsi"/>
          <w:b/>
          <w:bCs/>
        </w:rPr>
        <w:t>a.</w:t>
      </w:r>
      <w:r w:rsidRPr="00782392">
        <w:rPr>
          <w:rFonts w:cstheme="minorHAnsi"/>
          <w:b/>
          <w:bCs/>
        </w:rPr>
        <w:tab/>
      </w:r>
      <w:r w:rsidR="00B253AC" w:rsidRPr="00782392">
        <w:rPr>
          <w:rFonts w:cstheme="minorHAnsi"/>
          <w:b/>
          <w:bCs/>
        </w:rPr>
        <w:t>Teaching and Learning:</w:t>
      </w:r>
    </w:p>
    <w:p w:rsidR="002739B9" w:rsidRPr="00782392" w:rsidRDefault="002739B9" w:rsidP="00907124">
      <w:pPr>
        <w:ind w:left="720"/>
      </w:pPr>
      <w:r w:rsidRPr="00782392">
        <w:t xml:space="preserve">Instructional technology, tools, and resources directly supporting teaching and learning. Includes </w:t>
      </w:r>
      <w:r w:rsidR="00B253AC" w:rsidRPr="00782392">
        <w:t xml:space="preserve">(examples only!) </w:t>
      </w:r>
      <w:r w:rsidRPr="00782392">
        <w:t xml:space="preserve">learning management systems, </w:t>
      </w:r>
      <w:r w:rsidR="00D93194">
        <w:t xml:space="preserve">classroom technology, </w:t>
      </w:r>
      <w:r w:rsidRPr="00782392">
        <w:t xml:space="preserve">in-class and online course development, learning analytics, course evaluation, lecture capture, webinars, and other academic tools for faculty and students. </w:t>
      </w:r>
    </w:p>
    <w:p w:rsidR="002739B9" w:rsidRPr="00782392" w:rsidRDefault="00B253AC" w:rsidP="002739B9">
      <w:pPr>
        <w:ind w:left="360"/>
        <w:rPr>
          <w:rFonts w:cstheme="minorHAnsi"/>
          <w:b/>
          <w:bCs/>
        </w:rPr>
      </w:pPr>
      <w:r w:rsidRPr="00782392">
        <w:rPr>
          <w:rFonts w:cstheme="minorHAnsi"/>
          <w:b/>
          <w:bCs/>
        </w:rPr>
        <w:t>b.</w:t>
      </w:r>
      <w:r w:rsidRPr="00782392">
        <w:rPr>
          <w:rFonts w:cstheme="minorHAnsi"/>
          <w:b/>
          <w:bCs/>
        </w:rPr>
        <w:tab/>
        <w:t>Research:</w:t>
      </w:r>
    </w:p>
    <w:p w:rsidR="00B253AC" w:rsidRPr="00782392" w:rsidRDefault="00B253AC" w:rsidP="00907124">
      <w:pPr>
        <w:ind w:left="720"/>
      </w:pPr>
      <w:r w:rsidRPr="00782392">
        <w:t xml:space="preserve">Services supporting the research activities, including specialized storage and computation, high-performance </w:t>
      </w:r>
      <w:r w:rsidR="00CA3B31" w:rsidRPr="00782392">
        <w:t xml:space="preserve">and high throughput </w:t>
      </w:r>
      <w:r w:rsidRPr="00782392">
        <w:t xml:space="preserve">computing (HPC), visualization, lab-management systems, and research administration. </w:t>
      </w:r>
    </w:p>
    <w:p w:rsidR="00B253AC" w:rsidRPr="00782392" w:rsidRDefault="00B253AC" w:rsidP="002739B9">
      <w:pPr>
        <w:ind w:left="360"/>
        <w:rPr>
          <w:rFonts w:cstheme="minorHAnsi"/>
          <w:b/>
          <w:bCs/>
        </w:rPr>
      </w:pPr>
      <w:r w:rsidRPr="00782392">
        <w:rPr>
          <w:rFonts w:cstheme="minorHAnsi"/>
          <w:b/>
          <w:bCs/>
        </w:rPr>
        <w:t>c.</w:t>
      </w:r>
      <w:r w:rsidRPr="00782392">
        <w:rPr>
          <w:rFonts w:cstheme="minorHAnsi"/>
          <w:b/>
          <w:bCs/>
        </w:rPr>
        <w:tab/>
        <w:t>Administration and Business:</w:t>
      </w:r>
    </w:p>
    <w:p w:rsidR="00B253AC" w:rsidRPr="00782392" w:rsidRDefault="00B253AC" w:rsidP="00907124">
      <w:pPr>
        <w:ind w:left="720"/>
      </w:pPr>
      <w:r w:rsidRPr="00782392">
        <w:t xml:space="preserve">Enterprise and local services that support the administrative and business functions of the university/division. Includes </w:t>
      </w:r>
      <w:r w:rsidRPr="00782392">
        <w:rPr>
          <w:lang w:bidi="he-IL"/>
        </w:rPr>
        <w:t>finance, human resources, student information s</w:t>
      </w:r>
      <w:r w:rsidRPr="00782392">
        <w:t>ystems, conference and event management, business analytics, business intelligence, reporting.</w:t>
      </w:r>
    </w:p>
    <w:p w:rsidR="00B253AC" w:rsidRPr="00907124" w:rsidRDefault="00B253AC" w:rsidP="002739B9">
      <w:pPr>
        <w:ind w:left="360"/>
        <w:rPr>
          <w:rFonts w:cstheme="minorHAnsi"/>
        </w:rPr>
      </w:pPr>
      <w:r w:rsidRPr="00782392">
        <w:rPr>
          <w:rFonts w:cstheme="minorHAnsi"/>
          <w:b/>
          <w:bCs/>
        </w:rPr>
        <w:t>d.</w:t>
      </w:r>
      <w:r w:rsidRPr="00782392">
        <w:rPr>
          <w:rFonts w:cstheme="minorHAnsi"/>
          <w:b/>
          <w:bCs/>
        </w:rPr>
        <w:tab/>
        <w:t>Communication and Collaboration:</w:t>
      </w:r>
    </w:p>
    <w:p w:rsidR="00B253AC" w:rsidRPr="00782392" w:rsidRDefault="00B253AC" w:rsidP="00907124">
      <w:pPr>
        <w:ind w:left="720"/>
      </w:pPr>
      <w:r w:rsidRPr="00782392">
        <w:lastRenderedPageBreak/>
        <w:t xml:space="preserve">IT services that facilitate communication and collaboration needs. Includes e-mail, calendaring, telephony/VoIP, video/web conferencing, </w:t>
      </w:r>
      <w:r w:rsidR="00CA3B31" w:rsidRPr="00782392">
        <w:t>unified communications, media and</w:t>
      </w:r>
      <w:r w:rsidRPr="00782392">
        <w:t xml:space="preserve"> content management system</w:t>
      </w:r>
      <w:r w:rsidR="00CA3B31" w:rsidRPr="00782392">
        <w:t>s</w:t>
      </w:r>
      <w:r w:rsidRPr="00782392">
        <w:t xml:space="preserve">, </w:t>
      </w:r>
      <w:r w:rsidR="00CA3B31" w:rsidRPr="00782392">
        <w:t xml:space="preserve">and </w:t>
      </w:r>
      <w:r w:rsidRPr="00782392">
        <w:t>web application development an</w:t>
      </w:r>
      <w:r w:rsidR="00CA3B31" w:rsidRPr="00782392">
        <w:t>d hosting</w:t>
      </w:r>
      <w:r w:rsidRPr="00782392">
        <w:t xml:space="preserve">. </w:t>
      </w:r>
    </w:p>
    <w:p w:rsidR="00B253AC" w:rsidRPr="00782392" w:rsidRDefault="00B253AC" w:rsidP="002739B9">
      <w:pPr>
        <w:ind w:left="360"/>
        <w:rPr>
          <w:rFonts w:cstheme="minorHAnsi"/>
          <w:b/>
          <w:bCs/>
        </w:rPr>
      </w:pPr>
      <w:r w:rsidRPr="00782392">
        <w:rPr>
          <w:rFonts w:cstheme="minorHAnsi"/>
          <w:b/>
          <w:bCs/>
        </w:rPr>
        <w:t>e.</w:t>
      </w:r>
      <w:r w:rsidRPr="00782392">
        <w:rPr>
          <w:rFonts w:cstheme="minorHAnsi"/>
          <w:b/>
          <w:bCs/>
        </w:rPr>
        <w:tab/>
      </w:r>
      <w:r w:rsidR="00CA3B31" w:rsidRPr="00782392">
        <w:rPr>
          <w:rFonts w:cstheme="minorHAnsi"/>
          <w:b/>
          <w:bCs/>
        </w:rPr>
        <w:t>Infrastructure:</w:t>
      </w:r>
    </w:p>
    <w:p w:rsidR="00CA3B31" w:rsidRPr="00782392" w:rsidRDefault="00CA3B31" w:rsidP="00907124">
      <w:pPr>
        <w:ind w:left="720"/>
      </w:pPr>
      <w:r w:rsidRPr="00782392">
        <w:t xml:space="preserve">Enterprise-level hardware, software, systems, and network infrastructure that provide underlying support for the university/divisional activities. Includes data centers, network backbone, wireless (mobile app development), database administration, central storage and system backup solutions, server virtualization, visualization, and systems management and operations. </w:t>
      </w:r>
    </w:p>
    <w:p w:rsidR="00CA3B31" w:rsidRPr="00782392" w:rsidRDefault="00CA3B31" w:rsidP="002739B9">
      <w:pPr>
        <w:ind w:left="360"/>
        <w:rPr>
          <w:rFonts w:cstheme="minorHAnsi"/>
          <w:b/>
          <w:bCs/>
        </w:rPr>
      </w:pPr>
      <w:r w:rsidRPr="00782392">
        <w:rPr>
          <w:rFonts w:cstheme="minorHAnsi"/>
          <w:b/>
          <w:bCs/>
        </w:rPr>
        <w:t>f.</w:t>
      </w:r>
      <w:r w:rsidRPr="00782392">
        <w:rPr>
          <w:rFonts w:cstheme="minorHAnsi"/>
          <w:b/>
          <w:bCs/>
        </w:rPr>
        <w:tab/>
        <w:t>Security:</w:t>
      </w:r>
    </w:p>
    <w:p w:rsidR="00CA3B31" w:rsidRPr="00782392" w:rsidRDefault="00CA3B31" w:rsidP="00907124">
      <w:pPr>
        <w:ind w:left="720"/>
      </w:pPr>
      <w:r w:rsidRPr="00782392">
        <w:t xml:space="preserve">Infrastructure and services that provide security, data integrity, and compliance for university activities. Includes security services such as virus protection, encryption, privacy impact assessments, information risk management, emergency preparedness, data security, identity management solutions, access controls (i.e., passwords, accounts, and authentication), audit and monitoring systems and services, and data access and stewardship </w:t>
      </w:r>
    </w:p>
    <w:p w:rsidR="00CA3B31" w:rsidRPr="00782392" w:rsidRDefault="00CA3B31" w:rsidP="002739B9">
      <w:pPr>
        <w:ind w:left="360"/>
        <w:rPr>
          <w:rFonts w:cstheme="minorHAnsi"/>
          <w:b/>
          <w:bCs/>
        </w:rPr>
      </w:pPr>
      <w:r w:rsidRPr="00782392">
        <w:rPr>
          <w:rFonts w:cstheme="minorHAnsi"/>
          <w:b/>
          <w:bCs/>
        </w:rPr>
        <w:t>g.</w:t>
      </w:r>
      <w:r w:rsidRPr="00782392">
        <w:rPr>
          <w:rFonts w:cstheme="minorHAnsi"/>
          <w:b/>
          <w:bCs/>
        </w:rPr>
        <w:tab/>
        <w:t>IT Professional Services:</w:t>
      </w:r>
    </w:p>
    <w:p w:rsidR="00CA3B31" w:rsidRPr="00782392" w:rsidRDefault="00CA3B31" w:rsidP="00907124">
      <w:pPr>
        <w:ind w:left="720"/>
      </w:pPr>
      <w:r w:rsidRPr="00782392">
        <w:t xml:space="preserve">Services that are consultative in nature. May include IT training, consulting/advisory services (help desk), business continuity/disaster recovery, enterprise architecture, portfolio/project management, and IT service management and operations. </w:t>
      </w:r>
    </w:p>
    <w:p w:rsidR="00CA3B31" w:rsidRPr="00782392" w:rsidRDefault="00CA3B31" w:rsidP="002739B9">
      <w:pPr>
        <w:ind w:left="360"/>
        <w:rPr>
          <w:rFonts w:cstheme="minorHAnsi"/>
          <w:b/>
          <w:bCs/>
        </w:rPr>
      </w:pPr>
      <w:r w:rsidRPr="00782392">
        <w:rPr>
          <w:rFonts w:cstheme="minorHAnsi"/>
          <w:b/>
          <w:bCs/>
        </w:rPr>
        <w:t>h.</w:t>
      </w:r>
      <w:r w:rsidRPr="00782392">
        <w:rPr>
          <w:rFonts w:cstheme="minorHAnsi"/>
          <w:b/>
          <w:bCs/>
        </w:rPr>
        <w:tab/>
        <w:t>End-Point Computing:</w:t>
      </w:r>
    </w:p>
    <w:p w:rsidR="00CA3B31" w:rsidRPr="00782392" w:rsidRDefault="00CA3B31" w:rsidP="00907124">
      <w:pPr>
        <w:ind w:left="720"/>
      </w:pPr>
      <w:r w:rsidRPr="00782392">
        <w:t xml:space="preserve">User productivity services that enable community members to perform their day-to-day work, including providing access to enterprise services. Includes network access, user file storage, </w:t>
      </w:r>
      <w:proofErr w:type="gramStart"/>
      <w:r w:rsidRPr="00782392">
        <w:t>end</w:t>
      </w:r>
      <w:proofErr w:type="gramEnd"/>
      <w:r w:rsidRPr="00782392">
        <w:t xml:space="preserve">-point computing backup solutions, desktop virtualization, computer labs, and printing. </w:t>
      </w:r>
    </w:p>
    <w:p w:rsidR="00CA3B31" w:rsidRDefault="00CA3B31" w:rsidP="002739B9">
      <w:pPr>
        <w:ind w:left="360"/>
        <w:rPr>
          <w:rFonts w:cstheme="minorHAnsi"/>
        </w:rPr>
      </w:pPr>
    </w:p>
    <w:p w:rsidR="00782392" w:rsidRDefault="00782392" w:rsidP="002739B9">
      <w:pPr>
        <w:ind w:left="360"/>
        <w:rPr>
          <w:rFonts w:cstheme="minorHAnsi"/>
        </w:rPr>
      </w:pPr>
    </w:p>
    <w:p w:rsidR="00782392" w:rsidRDefault="00782392" w:rsidP="002739B9">
      <w:pPr>
        <w:ind w:left="360"/>
        <w:rPr>
          <w:rFonts w:cstheme="minorHAnsi"/>
        </w:rPr>
      </w:pPr>
    </w:p>
    <w:p w:rsidR="00782392" w:rsidRDefault="00782392" w:rsidP="002739B9">
      <w:pPr>
        <w:ind w:left="360"/>
        <w:rPr>
          <w:rFonts w:cstheme="minorHAnsi"/>
        </w:rPr>
      </w:pPr>
    </w:p>
    <w:p w:rsidR="00782392" w:rsidRDefault="00782392" w:rsidP="002739B9">
      <w:pPr>
        <w:ind w:left="360"/>
        <w:rPr>
          <w:rFonts w:cstheme="minorHAnsi"/>
        </w:rPr>
      </w:pPr>
    </w:p>
    <w:p w:rsidR="00782392" w:rsidRDefault="00782392" w:rsidP="002739B9">
      <w:pPr>
        <w:ind w:left="360"/>
        <w:rPr>
          <w:rFonts w:cstheme="minorHAnsi"/>
        </w:rPr>
      </w:pPr>
    </w:p>
    <w:p w:rsidR="00782392" w:rsidRDefault="00782392" w:rsidP="002739B9">
      <w:pPr>
        <w:ind w:left="360"/>
        <w:rPr>
          <w:rFonts w:cstheme="minorHAnsi"/>
        </w:rPr>
      </w:pPr>
    </w:p>
    <w:p w:rsidR="00782392" w:rsidRDefault="00782392" w:rsidP="002739B9">
      <w:pPr>
        <w:ind w:left="360"/>
        <w:rPr>
          <w:rFonts w:cstheme="minorHAnsi"/>
          <w:b/>
          <w:bCs/>
        </w:rPr>
      </w:pPr>
      <w:r>
        <w:rPr>
          <w:rFonts w:cstheme="minorHAnsi"/>
          <w:b/>
          <w:bCs/>
        </w:rPr>
        <w:t>3.</w:t>
      </w:r>
      <w:r>
        <w:rPr>
          <w:rFonts w:cstheme="minorHAnsi"/>
          <w:b/>
          <w:bCs/>
        </w:rPr>
        <w:tab/>
        <w:t>Template</w:t>
      </w:r>
    </w:p>
    <w:p w:rsidR="00782392" w:rsidRPr="00782392" w:rsidRDefault="00782392" w:rsidP="002739B9">
      <w:pPr>
        <w:ind w:left="360"/>
        <w:rPr>
          <w:rFonts w:cstheme="minorHAnsi"/>
        </w:rPr>
      </w:pPr>
      <w:r>
        <w:rPr>
          <w:rFonts w:cstheme="minorHAnsi"/>
          <w:b/>
          <w:bCs/>
        </w:rPr>
        <w:t>Service Owner:</w:t>
      </w:r>
      <w:r>
        <w:rPr>
          <w:rFonts w:cstheme="minorHAnsi"/>
        </w:rPr>
        <w:t xml:space="preserve"> The unit/person who is accountable for the delivery of the end-to-end service. (Examples: </w:t>
      </w:r>
      <w:proofErr w:type="spellStart"/>
      <w:r>
        <w:rPr>
          <w:rFonts w:cstheme="minorHAnsi"/>
        </w:rPr>
        <w:t>DoIT</w:t>
      </w:r>
      <w:proofErr w:type="spellEnd"/>
      <w:r>
        <w:rPr>
          <w:rFonts w:cstheme="minorHAnsi"/>
        </w:rPr>
        <w:t xml:space="preserve">; </w:t>
      </w:r>
      <w:proofErr w:type="spellStart"/>
      <w:proofErr w:type="gramStart"/>
      <w:r>
        <w:rPr>
          <w:rFonts w:cstheme="minorHAnsi"/>
        </w:rPr>
        <w:t>WSoB</w:t>
      </w:r>
      <w:proofErr w:type="spellEnd"/>
      <w:r>
        <w:rPr>
          <w:rFonts w:cstheme="minorHAnsi"/>
        </w:rPr>
        <w:t>;</w:t>
      </w:r>
      <w:proofErr w:type="gramEnd"/>
      <w:r>
        <w:rPr>
          <w:rFonts w:cstheme="minorHAnsi"/>
        </w:rPr>
        <w:t>…)</w:t>
      </w:r>
    </w:p>
    <w:tbl>
      <w:tblPr>
        <w:tblStyle w:val="TableGrid"/>
        <w:tblW w:w="0" w:type="auto"/>
        <w:tblInd w:w="360" w:type="dxa"/>
        <w:tblLayout w:type="fixed"/>
        <w:tblLook w:val="04A0" w:firstRow="1" w:lastRow="0" w:firstColumn="1" w:lastColumn="0" w:noHBand="0" w:noVBand="1"/>
      </w:tblPr>
      <w:tblGrid>
        <w:gridCol w:w="1259"/>
        <w:gridCol w:w="986"/>
        <w:gridCol w:w="1080"/>
        <w:gridCol w:w="1260"/>
        <w:gridCol w:w="900"/>
        <w:gridCol w:w="1170"/>
        <w:gridCol w:w="1260"/>
        <w:gridCol w:w="1440"/>
        <w:gridCol w:w="990"/>
        <w:gridCol w:w="1440"/>
      </w:tblGrid>
      <w:tr w:rsidR="00782392" w:rsidTr="00782392">
        <w:tc>
          <w:tcPr>
            <w:tcW w:w="11785" w:type="dxa"/>
            <w:gridSpan w:val="10"/>
          </w:tcPr>
          <w:p w:rsidR="00782392" w:rsidRPr="00782392" w:rsidRDefault="00782392" w:rsidP="00782392">
            <w:pPr>
              <w:jc w:val="center"/>
              <w:rPr>
                <w:rFonts w:cstheme="minorHAnsi"/>
                <w:b/>
                <w:bCs/>
              </w:rPr>
            </w:pPr>
            <w:r>
              <w:rPr>
                <w:rFonts w:cstheme="minorHAnsi"/>
                <w:b/>
                <w:bCs/>
              </w:rPr>
              <w:t>Service Category (Example: Teaching &amp; Learning)</w:t>
            </w:r>
          </w:p>
        </w:tc>
      </w:tr>
      <w:tr w:rsidR="00782392" w:rsidTr="00782392">
        <w:tc>
          <w:tcPr>
            <w:tcW w:w="1259" w:type="dxa"/>
            <w:vMerge w:val="restart"/>
          </w:tcPr>
          <w:p w:rsidR="00782392" w:rsidRPr="00782392" w:rsidRDefault="00782392" w:rsidP="00782392">
            <w:pPr>
              <w:jc w:val="center"/>
              <w:rPr>
                <w:rFonts w:cstheme="minorHAnsi"/>
                <w:b/>
                <w:bCs/>
              </w:rPr>
            </w:pPr>
            <w:r>
              <w:rPr>
                <w:rFonts w:cstheme="minorHAnsi"/>
                <w:b/>
                <w:bCs/>
              </w:rPr>
              <w:t>Service</w:t>
            </w:r>
          </w:p>
        </w:tc>
        <w:tc>
          <w:tcPr>
            <w:tcW w:w="4226" w:type="dxa"/>
            <w:gridSpan w:val="4"/>
          </w:tcPr>
          <w:p w:rsidR="00782392" w:rsidRPr="00782392" w:rsidRDefault="00782392" w:rsidP="00782392">
            <w:pPr>
              <w:jc w:val="center"/>
              <w:rPr>
                <w:rFonts w:cstheme="minorHAnsi"/>
                <w:b/>
                <w:bCs/>
              </w:rPr>
            </w:pPr>
            <w:r w:rsidRPr="00782392">
              <w:rPr>
                <w:rFonts w:cstheme="minorHAnsi"/>
                <w:b/>
                <w:bCs/>
              </w:rPr>
              <w:t>Target Audience: Students/Faculty/Staff</w:t>
            </w:r>
          </w:p>
        </w:tc>
        <w:tc>
          <w:tcPr>
            <w:tcW w:w="4860" w:type="dxa"/>
            <w:gridSpan w:val="4"/>
          </w:tcPr>
          <w:p w:rsidR="00782392" w:rsidRPr="00782392" w:rsidRDefault="00782392" w:rsidP="00782392">
            <w:pPr>
              <w:jc w:val="center"/>
              <w:rPr>
                <w:rFonts w:cstheme="minorHAnsi"/>
                <w:b/>
                <w:bCs/>
              </w:rPr>
            </w:pPr>
            <w:r>
              <w:rPr>
                <w:rFonts w:cstheme="minorHAnsi"/>
                <w:b/>
                <w:bCs/>
              </w:rPr>
              <w:t xml:space="preserve">Annual Budget/Expense </w:t>
            </w:r>
          </w:p>
        </w:tc>
        <w:tc>
          <w:tcPr>
            <w:tcW w:w="1440" w:type="dxa"/>
            <w:vMerge w:val="restart"/>
          </w:tcPr>
          <w:p w:rsidR="00782392" w:rsidRPr="00782392" w:rsidRDefault="00782392" w:rsidP="00782392">
            <w:pPr>
              <w:jc w:val="center"/>
              <w:rPr>
                <w:rFonts w:cstheme="minorHAnsi"/>
                <w:b/>
                <w:bCs/>
              </w:rPr>
            </w:pPr>
            <w:r w:rsidRPr="00782392">
              <w:rPr>
                <w:rFonts w:cstheme="minorHAnsi"/>
                <w:b/>
                <w:bCs/>
              </w:rPr>
              <w:t xml:space="preserve">FTE </w:t>
            </w:r>
          </w:p>
          <w:p w:rsidR="00782392" w:rsidRDefault="00782392" w:rsidP="00782392">
            <w:pPr>
              <w:jc w:val="center"/>
              <w:rPr>
                <w:rFonts w:cstheme="minorHAnsi"/>
              </w:rPr>
            </w:pPr>
            <w:r w:rsidRPr="00782392">
              <w:rPr>
                <w:rFonts w:cstheme="minorHAnsi"/>
                <w:b/>
                <w:bCs/>
              </w:rPr>
              <w:t>to Support</w:t>
            </w:r>
          </w:p>
        </w:tc>
      </w:tr>
      <w:tr w:rsidR="00782392" w:rsidTr="00782392">
        <w:tc>
          <w:tcPr>
            <w:tcW w:w="1259" w:type="dxa"/>
            <w:vMerge/>
          </w:tcPr>
          <w:p w:rsidR="00782392" w:rsidRDefault="00782392" w:rsidP="002739B9">
            <w:pPr>
              <w:rPr>
                <w:rFonts w:cstheme="minorHAnsi"/>
              </w:rPr>
            </w:pPr>
          </w:p>
        </w:tc>
        <w:tc>
          <w:tcPr>
            <w:tcW w:w="986" w:type="dxa"/>
          </w:tcPr>
          <w:p w:rsidR="00782392" w:rsidRPr="00782392" w:rsidRDefault="00782392" w:rsidP="00782392">
            <w:pPr>
              <w:jc w:val="center"/>
              <w:rPr>
                <w:rFonts w:cstheme="minorHAnsi"/>
                <w:b/>
                <w:bCs/>
              </w:rPr>
            </w:pPr>
            <w:r w:rsidRPr="00782392">
              <w:rPr>
                <w:rFonts w:cstheme="minorHAnsi"/>
                <w:b/>
                <w:bCs/>
              </w:rPr>
              <w:t>0-100</w:t>
            </w:r>
          </w:p>
        </w:tc>
        <w:tc>
          <w:tcPr>
            <w:tcW w:w="1080" w:type="dxa"/>
          </w:tcPr>
          <w:p w:rsidR="00782392" w:rsidRPr="00782392" w:rsidRDefault="00782392" w:rsidP="00782392">
            <w:pPr>
              <w:jc w:val="center"/>
              <w:rPr>
                <w:rFonts w:cstheme="minorHAnsi"/>
                <w:b/>
                <w:bCs/>
              </w:rPr>
            </w:pPr>
            <w:r w:rsidRPr="00782392">
              <w:rPr>
                <w:rFonts w:cstheme="minorHAnsi"/>
                <w:b/>
                <w:bCs/>
              </w:rPr>
              <w:t>101-500</w:t>
            </w:r>
          </w:p>
        </w:tc>
        <w:tc>
          <w:tcPr>
            <w:tcW w:w="1260" w:type="dxa"/>
          </w:tcPr>
          <w:p w:rsidR="00782392" w:rsidRPr="00782392" w:rsidRDefault="00782392" w:rsidP="00782392">
            <w:pPr>
              <w:jc w:val="center"/>
              <w:rPr>
                <w:rFonts w:cstheme="minorHAnsi"/>
                <w:b/>
                <w:bCs/>
              </w:rPr>
            </w:pPr>
            <w:r w:rsidRPr="00782392">
              <w:rPr>
                <w:rFonts w:cstheme="minorHAnsi"/>
                <w:b/>
                <w:bCs/>
              </w:rPr>
              <w:t>501-2000</w:t>
            </w:r>
          </w:p>
        </w:tc>
        <w:tc>
          <w:tcPr>
            <w:tcW w:w="900" w:type="dxa"/>
          </w:tcPr>
          <w:p w:rsidR="00782392" w:rsidRPr="00782392" w:rsidRDefault="00782392" w:rsidP="00782392">
            <w:pPr>
              <w:jc w:val="center"/>
              <w:rPr>
                <w:rFonts w:cstheme="minorHAnsi"/>
                <w:b/>
                <w:bCs/>
              </w:rPr>
            </w:pPr>
            <w:r w:rsidRPr="00782392">
              <w:rPr>
                <w:rFonts w:cstheme="minorHAnsi"/>
                <w:b/>
                <w:bCs/>
              </w:rPr>
              <w:t>&gt;2000</w:t>
            </w:r>
          </w:p>
        </w:tc>
        <w:tc>
          <w:tcPr>
            <w:tcW w:w="1170" w:type="dxa"/>
          </w:tcPr>
          <w:p w:rsidR="00782392" w:rsidRPr="00782392" w:rsidRDefault="00782392" w:rsidP="002739B9">
            <w:pPr>
              <w:rPr>
                <w:rFonts w:cstheme="minorHAnsi"/>
                <w:b/>
                <w:bCs/>
              </w:rPr>
            </w:pPr>
            <w:r w:rsidRPr="00782392">
              <w:rPr>
                <w:rFonts w:cstheme="minorHAnsi"/>
                <w:b/>
                <w:bCs/>
              </w:rPr>
              <w:t>$0-$25K</w:t>
            </w:r>
          </w:p>
        </w:tc>
        <w:tc>
          <w:tcPr>
            <w:tcW w:w="1260" w:type="dxa"/>
          </w:tcPr>
          <w:p w:rsidR="00782392" w:rsidRPr="00782392" w:rsidRDefault="00782392" w:rsidP="002739B9">
            <w:pPr>
              <w:rPr>
                <w:rFonts w:cstheme="minorHAnsi"/>
                <w:b/>
                <w:bCs/>
              </w:rPr>
            </w:pPr>
            <w:r w:rsidRPr="00782392">
              <w:rPr>
                <w:rFonts w:cstheme="minorHAnsi"/>
                <w:b/>
                <w:bCs/>
              </w:rPr>
              <w:t>$25-$100K</w:t>
            </w:r>
          </w:p>
        </w:tc>
        <w:tc>
          <w:tcPr>
            <w:tcW w:w="1440" w:type="dxa"/>
          </w:tcPr>
          <w:p w:rsidR="00782392" w:rsidRPr="00782392" w:rsidRDefault="00782392" w:rsidP="00782392">
            <w:pPr>
              <w:rPr>
                <w:rFonts w:cstheme="minorHAnsi"/>
                <w:b/>
                <w:bCs/>
              </w:rPr>
            </w:pPr>
            <w:r w:rsidRPr="00782392">
              <w:rPr>
                <w:rFonts w:cstheme="minorHAnsi"/>
                <w:b/>
                <w:bCs/>
              </w:rPr>
              <w:t>$100-$500K</w:t>
            </w:r>
          </w:p>
        </w:tc>
        <w:tc>
          <w:tcPr>
            <w:tcW w:w="990" w:type="dxa"/>
          </w:tcPr>
          <w:p w:rsidR="00782392" w:rsidRPr="00782392" w:rsidRDefault="00782392" w:rsidP="00782392">
            <w:pPr>
              <w:rPr>
                <w:rFonts w:cstheme="minorHAnsi"/>
                <w:b/>
                <w:bCs/>
              </w:rPr>
            </w:pPr>
            <w:r w:rsidRPr="00782392">
              <w:rPr>
                <w:rFonts w:cstheme="minorHAnsi"/>
                <w:b/>
                <w:bCs/>
              </w:rPr>
              <w:t>&gt;$500K</w:t>
            </w:r>
          </w:p>
        </w:tc>
        <w:tc>
          <w:tcPr>
            <w:tcW w:w="1440" w:type="dxa"/>
            <w:vMerge/>
          </w:tcPr>
          <w:p w:rsidR="00782392" w:rsidRDefault="00782392" w:rsidP="002739B9">
            <w:pPr>
              <w:rPr>
                <w:rFonts w:cstheme="minorHAnsi"/>
              </w:rPr>
            </w:pPr>
          </w:p>
        </w:tc>
      </w:tr>
      <w:tr w:rsidR="00782392" w:rsidTr="00782392">
        <w:tc>
          <w:tcPr>
            <w:tcW w:w="1259" w:type="dxa"/>
          </w:tcPr>
          <w:p w:rsidR="00782392" w:rsidRDefault="00782392" w:rsidP="002739B9">
            <w:pPr>
              <w:rPr>
                <w:rFonts w:cstheme="minorHAnsi"/>
              </w:rPr>
            </w:pPr>
            <w:r>
              <w:rPr>
                <w:rFonts w:cstheme="minorHAnsi"/>
              </w:rPr>
              <w:t>1.</w:t>
            </w:r>
          </w:p>
        </w:tc>
        <w:tc>
          <w:tcPr>
            <w:tcW w:w="986" w:type="dxa"/>
          </w:tcPr>
          <w:p w:rsidR="00782392" w:rsidRDefault="00782392" w:rsidP="002739B9">
            <w:pPr>
              <w:rPr>
                <w:rFonts w:cstheme="minorHAnsi"/>
              </w:rPr>
            </w:pPr>
          </w:p>
        </w:tc>
        <w:tc>
          <w:tcPr>
            <w:tcW w:w="1080" w:type="dxa"/>
          </w:tcPr>
          <w:p w:rsidR="00782392" w:rsidRDefault="00782392" w:rsidP="002739B9">
            <w:pPr>
              <w:rPr>
                <w:rFonts w:cstheme="minorHAnsi"/>
              </w:rPr>
            </w:pPr>
          </w:p>
        </w:tc>
        <w:tc>
          <w:tcPr>
            <w:tcW w:w="1260" w:type="dxa"/>
          </w:tcPr>
          <w:p w:rsidR="00782392" w:rsidRDefault="00782392" w:rsidP="002739B9">
            <w:pPr>
              <w:rPr>
                <w:rFonts w:cstheme="minorHAnsi"/>
              </w:rPr>
            </w:pPr>
          </w:p>
        </w:tc>
        <w:tc>
          <w:tcPr>
            <w:tcW w:w="900" w:type="dxa"/>
          </w:tcPr>
          <w:p w:rsidR="00782392" w:rsidRDefault="00782392" w:rsidP="002739B9">
            <w:pPr>
              <w:rPr>
                <w:rFonts w:cstheme="minorHAnsi"/>
              </w:rPr>
            </w:pPr>
          </w:p>
        </w:tc>
        <w:tc>
          <w:tcPr>
            <w:tcW w:w="1170" w:type="dxa"/>
          </w:tcPr>
          <w:p w:rsidR="00782392" w:rsidRDefault="00782392" w:rsidP="002739B9">
            <w:pPr>
              <w:rPr>
                <w:rFonts w:cstheme="minorHAnsi"/>
              </w:rPr>
            </w:pPr>
          </w:p>
        </w:tc>
        <w:tc>
          <w:tcPr>
            <w:tcW w:w="1260" w:type="dxa"/>
          </w:tcPr>
          <w:p w:rsidR="00782392" w:rsidRDefault="00782392" w:rsidP="002739B9">
            <w:pPr>
              <w:rPr>
                <w:rFonts w:cstheme="minorHAnsi"/>
              </w:rPr>
            </w:pPr>
          </w:p>
        </w:tc>
        <w:tc>
          <w:tcPr>
            <w:tcW w:w="1440" w:type="dxa"/>
          </w:tcPr>
          <w:p w:rsidR="00782392" w:rsidRDefault="00782392" w:rsidP="002739B9">
            <w:pPr>
              <w:rPr>
                <w:rFonts w:cstheme="minorHAnsi"/>
              </w:rPr>
            </w:pPr>
          </w:p>
        </w:tc>
        <w:tc>
          <w:tcPr>
            <w:tcW w:w="990" w:type="dxa"/>
          </w:tcPr>
          <w:p w:rsidR="00782392" w:rsidRDefault="00782392" w:rsidP="002739B9">
            <w:pPr>
              <w:rPr>
                <w:rFonts w:cstheme="minorHAnsi"/>
              </w:rPr>
            </w:pPr>
          </w:p>
        </w:tc>
        <w:tc>
          <w:tcPr>
            <w:tcW w:w="1440" w:type="dxa"/>
          </w:tcPr>
          <w:p w:rsidR="00782392" w:rsidRDefault="00782392" w:rsidP="002739B9">
            <w:pPr>
              <w:rPr>
                <w:rFonts w:cstheme="minorHAnsi"/>
              </w:rPr>
            </w:pPr>
          </w:p>
        </w:tc>
      </w:tr>
      <w:tr w:rsidR="00782392" w:rsidTr="00782392">
        <w:tc>
          <w:tcPr>
            <w:tcW w:w="1259" w:type="dxa"/>
          </w:tcPr>
          <w:p w:rsidR="00782392" w:rsidRDefault="00782392" w:rsidP="002739B9">
            <w:pPr>
              <w:rPr>
                <w:rFonts w:cstheme="minorHAnsi"/>
              </w:rPr>
            </w:pPr>
            <w:r>
              <w:rPr>
                <w:rFonts w:cstheme="minorHAnsi"/>
              </w:rPr>
              <w:t>2.</w:t>
            </w:r>
          </w:p>
        </w:tc>
        <w:tc>
          <w:tcPr>
            <w:tcW w:w="986" w:type="dxa"/>
          </w:tcPr>
          <w:p w:rsidR="00782392" w:rsidRDefault="00782392" w:rsidP="002739B9">
            <w:pPr>
              <w:rPr>
                <w:rFonts w:cstheme="minorHAnsi"/>
              </w:rPr>
            </w:pPr>
          </w:p>
        </w:tc>
        <w:tc>
          <w:tcPr>
            <w:tcW w:w="1080" w:type="dxa"/>
          </w:tcPr>
          <w:p w:rsidR="00782392" w:rsidRDefault="00782392" w:rsidP="002739B9">
            <w:pPr>
              <w:rPr>
                <w:rFonts w:cstheme="minorHAnsi"/>
              </w:rPr>
            </w:pPr>
          </w:p>
        </w:tc>
        <w:tc>
          <w:tcPr>
            <w:tcW w:w="1260" w:type="dxa"/>
          </w:tcPr>
          <w:p w:rsidR="00782392" w:rsidRDefault="00782392" w:rsidP="002739B9">
            <w:pPr>
              <w:rPr>
                <w:rFonts w:cstheme="minorHAnsi"/>
              </w:rPr>
            </w:pPr>
          </w:p>
        </w:tc>
        <w:tc>
          <w:tcPr>
            <w:tcW w:w="900" w:type="dxa"/>
          </w:tcPr>
          <w:p w:rsidR="00782392" w:rsidRDefault="00782392" w:rsidP="002739B9">
            <w:pPr>
              <w:rPr>
                <w:rFonts w:cstheme="minorHAnsi"/>
              </w:rPr>
            </w:pPr>
          </w:p>
        </w:tc>
        <w:tc>
          <w:tcPr>
            <w:tcW w:w="1170" w:type="dxa"/>
          </w:tcPr>
          <w:p w:rsidR="00782392" w:rsidRDefault="00782392" w:rsidP="002739B9">
            <w:pPr>
              <w:rPr>
                <w:rFonts w:cstheme="minorHAnsi"/>
              </w:rPr>
            </w:pPr>
          </w:p>
        </w:tc>
        <w:tc>
          <w:tcPr>
            <w:tcW w:w="1260" w:type="dxa"/>
          </w:tcPr>
          <w:p w:rsidR="00782392" w:rsidRDefault="00782392" w:rsidP="002739B9">
            <w:pPr>
              <w:rPr>
                <w:rFonts w:cstheme="minorHAnsi"/>
              </w:rPr>
            </w:pPr>
          </w:p>
        </w:tc>
        <w:tc>
          <w:tcPr>
            <w:tcW w:w="1440" w:type="dxa"/>
          </w:tcPr>
          <w:p w:rsidR="00782392" w:rsidRDefault="00782392" w:rsidP="002739B9">
            <w:pPr>
              <w:rPr>
                <w:rFonts w:cstheme="minorHAnsi"/>
              </w:rPr>
            </w:pPr>
          </w:p>
        </w:tc>
        <w:tc>
          <w:tcPr>
            <w:tcW w:w="990" w:type="dxa"/>
          </w:tcPr>
          <w:p w:rsidR="00782392" w:rsidRDefault="00782392" w:rsidP="002739B9">
            <w:pPr>
              <w:rPr>
                <w:rFonts w:cstheme="minorHAnsi"/>
              </w:rPr>
            </w:pPr>
          </w:p>
        </w:tc>
        <w:tc>
          <w:tcPr>
            <w:tcW w:w="1440" w:type="dxa"/>
          </w:tcPr>
          <w:p w:rsidR="00782392" w:rsidRDefault="00782392" w:rsidP="002739B9">
            <w:pPr>
              <w:rPr>
                <w:rFonts w:cstheme="minorHAnsi"/>
              </w:rPr>
            </w:pPr>
          </w:p>
        </w:tc>
      </w:tr>
      <w:tr w:rsidR="00782392" w:rsidTr="00782392">
        <w:tc>
          <w:tcPr>
            <w:tcW w:w="1259" w:type="dxa"/>
          </w:tcPr>
          <w:p w:rsidR="00782392" w:rsidRDefault="00782392" w:rsidP="002739B9">
            <w:pPr>
              <w:rPr>
                <w:rFonts w:cstheme="minorHAnsi"/>
              </w:rPr>
            </w:pPr>
            <w:r>
              <w:rPr>
                <w:rFonts w:cstheme="minorHAnsi"/>
              </w:rPr>
              <w:t>3.</w:t>
            </w:r>
          </w:p>
        </w:tc>
        <w:tc>
          <w:tcPr>
            <w:tcW w:w="986" w:type="dxa"/>
          </w:tcPr>
          <w:p w:rsidR="00782392" w:rsidRDefault="00782392" w:rsidP="002739B9">
            <w:pPr>
              <w:rPr>
                <w:rFonts w:cstheme="minorHAnsi"/>
              </w:rPr>
            </w:pPr>
          </w:p>
        </w:tc>
        <w:tc>
          <w:tcPr>
            <w:tcW w:w="1080" w:type="dxa"/>
          </w:tcPr>
          <w:p w:rsidR="00782392" w:rsidRDefault="00782392" w:rsidP="002739B9">
            <w:pPr>
              <w:rPr>
                <w:rFonts w:cstheme="minorHAnsi"/>
              </w:rPr>
            </w:pPr>
          </w:p>
        </w:tc>
        <w:tc>
          <w:tcPr>
            <w:tcW w:w="1260" w:type="dxa"/>
          </w:tcPr>
          <w:p w:rsidR="00782392" w:rsidRDefault="00782392" w:rsidP="002739B9">
            <w:pPr>
              <w:rPr>
                <w:rFonts w:cstheme="minorHAnsi"/>
              </w:rPr>
            </w:pPr>
          </w:p>
        </w:tc>
        <w:tc>
          <w:tcPr>
            <w:tcW w:w="900" w:type="dxa"/>
          </w:tcPr>
          <w:p w:rsidR="00782392" w:rsidRDefault="00782392" w:rsidP="002739B9">
            <w:pPr>
              <w:rPr>
                <w:rFonts w:cstheme="minorHAnsi"/>
              </w:rPr>
            </w:pPr>
          </w:p>
        </w:tc>
        <w:tc>
          <w:tcPr>
            <w:tcW w:w="1170" w:type="dxa"/>
          </w:tcPr>
          <w:p w:rsidR="00782392" w:rsidRDefault="00782392" w:rsidP="002739B9">
            <w:pPr>
              <w:rPr>
                <w:rFonts w:cstheme="minorHAnsi"/>
              </w:rPr>
            </w:pPr>
          </w:p>
        </w:tc>
        <w:tc>
          <w:tcPr>
            <w:tcW w:w="1260" w:type="dxa"/>
          </w:tcPr>
          <w:p w:rsidR="00782392" w:rsidRDefault="00782392" w:rsidP="002739B9">
            <w:pPr>
              <w:rPr>
                <w:rFonts w:cstheme="minorHAnsi"/>
              </w:rPr>
            </w:pPr>
          </w:p>
        </w:tc>
        <w:tc>
          <w:tcPr>
            <w:tcW w:w="1440" w:type="dxa"/>
          </w:tcPr>
          <w:p w:rsidR="00782392" w:rsidRDefault="00782392" w:rsidP="002739B9">
            <w:pPr>
              <w:rPr>
                <w:rFonts w:cstheme="minorHAnsi"/>
              </w:rPr>
            </w:pPr>
          </w:p>
        </w:tc>
        <w:tc>
          <w:tcPr>
            <w:tcW w:w="990" w:type="dxa"/>
          </w:tcPr>
          <w:p w:rsidR="00782392" w:rsidRDefault="00782392" w:rsidP="002739B9">
            <w:pPr>
              <w:rPr>
                <w:rFonts w:cstheme="minorHAnsi"/>
              </w:rPr>
            </w:pPr>
          </w:p>
        </w:tc>
        <w:tc>
          <w:tcPr>
            <w:tcW w:w="1440" w:type="dxa"/>
          </w:tcPr>
          <w:p w:rsidR="00782392" w:rsidRDefault="00782392" w:rsidP="002739B9">
            <w:pPr>
              <w:rPr>
                <w:rFonts w:cstheme="minorHAnsi"/>
              </w:rPr>
            </w:pPr>
          </w:p>
        </w:tc>
      </w:tr>
    </w:tbl>
    <w:p w:rsidR="00782392" w:rsidRDefault="00782392" w:rsidP="002739B9">
      <w:pPr>
        <w:ind w:left="360"/>
        <w:rPr>
          <w:rFonts w:cstheme="minorHAnsi"/>
        </w:rPr>
      </w:pPr>
    </w:p>
    <w:p w:rsidR="00782392" w:rsidRDefault="00D93194" w:rsidP="002739B9">
      <w:pPr>
        <w:ind w:left="360"/>
        <w:rPr>
          <w:rFonts w:cstheme="minorHAnsi"/>
        </w:rPr>
      </w:pPr>
      <w:r>
        <w:rPr>
          <w:rFonts w:cstheme="minorHAnsi"/>
        </w:rPr>
        <w:t xml:space="preserve"> </w:t>
      </w:r>
      <w:r w:rsidR="00782392">
        <w:rPr>
          <w:rFonts w:cstheme="minorHAnsi"/>
        </w:rPr>
        <w:t>(</w:t>
      </w:r>
      <w:proofErr w:type="gramStart"/>
      <w:r w:rsidR="00782392">
        <w:rPr>
          <w:rFonts w:cstheme="minorHAnsi"/>
        </w:rPr>
        <w:t>continues</w:t>
      </w:r>
      <w:proofErr w:type="gramEnd"/>
      <w:r w:rsidR="00782392">
        <w:rPr>
          <w:rFonts w:cstheme="minorHAnsi"/>
        </w:rPr>
        <w:t>)</w:t>
      </w:r>
    </w:p>
    <w:tbl>
      <w:tblPr>
        <w:tblStyle w:val="TableGrid"/>
        <w:tblW w:w="0" w:type="auto"/>
        <w:tblInd w:w="360" w:type="dxa"/>
        <w:tblLayout w:type="fixed"/>
        <w:tblLook w:val="04A0" w:firstRow="1" w:lastRow="0" w:firstColumn="1" w:lastColumn="0" w:noHBand="0" w:noVBand="1"/>
      </w:tblPr>
      <w:tblGrid>
        <w:gridCol w:w="1975"/>
        <w:gridCol w:w="1260"/>
        <w:gridCol w:w="1530"/>
        <w:gridCol w:w="1440"/>
        <w:gridCol w:w="5580"/>
      </w:tblGrid>
      <w:tr w:rsidR="00782392" w:rsidTr="00E31BDA">
        <w:tc>
          <w:tcPr>
            <w:tcW w:w="11785" w:type="dxa"/>
            <w:gridSpan w:val="5"/>
          </w:tcPr>
          <w:p w:rsidR="00782392" w:rsidRPr="00782392" w:rsidRDefault="00782392" w:rsidP="00E31BDA">
            <w:pPr>
              <w:jc w:val="center"/>
              <w:rPr>
                <w:rFonts w:cstheme="minorHAnsi"/>
                <w:b/>
                <w:bCs/>
              </w:rPr>
            </w:pPr>
          </w:p>
        </w:tc>
      </w:tr>
      <w:tr w:rsidR="006211E1" w:rsidTr="006F4908">
        <w:trPr>
          <w:trHeight w:val="368"/>
        </w:trPr>
        <w:tc>
          <w:tcPr>
            <w:tcW w:w="1975" w:type="dxa"/>
            <w:vMerge w:val="restart"/>
          </w:tcPr>
          <w:p w:rsidR="006211E1" w:rsidRPr="00782392" w:rsidRDefault="006211E1" w:rsidP="00E31BDA">
            <w:pPr>
              <w:jc w:val="center"/>
              <w:rPr>
                <w:rFonts w:cstheme="minorHAnsi"/>
                <w:b/>
                <w:bCs/>
              </w:rPr>
            </w:pPr>
            <w:r>
              <w:rPr>
                <w:rFonts w:cstheme="minorHAnsi"/>
                <w:b/>
                <w:bCs/>
              </w:rPr>
              <w:t>Federal/State/UW-Sys</w:t>
            </w:r>
            <w:r w:rsidR="00F8108A">
              <w:rPr>
                <w:rFonts w:cstheme="minorHAnsi"/>
                <w:b/>
                <w:bCs/>
              </w:rPr>
              <w:t>tem</w:t>
            </w:r>
            <w:r>
              <w:rPr>
                <w:rFonts w:cstheme="minorHAnsi"/>
                <w:b/>
                <w:bCs/>
              </w:rPr>
              <w:t xml:space="preserve"> Mandate?</w:t>
            </w:r>
          </w:p>
        </w:tc>
        <w:tc>
          <w:tcPr>
            <w:tcW w:w="4230" w:type="dxa"/>
            <w:gridSpan w:val="3"/>
          </w:tcPr>
          <w:p w:rsidR="006211E1" w:rsidRPr="00782392" w:rsidRDefault="006211E1" w:rsidP="00E31BDA">
            <w:pPr>
              <w:jc w:val="center"/>
              <w:rPr>
                <w:rFonts w:cstheme="minorHAnsi"/>
                <w:b/>
                <w:bCs/>
              </w:rPr>
            </w:pPr>
            <w:r>
              <w:rPr>
                <w:rFonts w:cstheme="minorHAnsi"/>
                <w:b/>
                <w:bCs/>
              </w:rPr>
              <w:t>Deployment Method</w:t>
            </w:r>
          </w:p>
        </w:tc>
        <w:tc>
          <w:tcPr>
            <w:tcW w:w="5580" w:type="dxa"/>
            <w:vMerge w:val="restart"/>
          </w:tcPr>
          <w:p w:rsidR="006211E1" w:rsidRPr="00782392" w:rsidRDefault="006211E1" w:rsidP="00E31BDA">
            <w:pPr>
              <w:jc w:val="center"/>
              <w:rPr>
                <w:rFonts w:cstheme="minorHAnsi"/>
                <w:b/>
                <w:bCs/>
              </w:rPr>
            </w:pPr>
            <w:r>
              <w:rPr>
                <w:rFonts w:cstheme="minorHAnsi"/>
                <w:b/>
                <w:bCs/>
              </w:rPr>
              <w:t>Comments</w:t>
            </w:r>
          </w:p>
          <w:p w:rsidR="00D93194" w:rsidRDefault="006211E1" w:rsidP="006211E1">
            <w:pPr>
              <w:jc w:val="center"/>
              <w:rPr>
                <w:rFonts w:cstheme="minorHAnsi"/>
                <w:b/>
                <w:bCs/>
              </w:rPr>
            </w:pPr>
            <w:r>
              <w:rPr>
                <w:rFonts w:cstheme="minorHAnsi"/>
                <w:b/>
                <w:bCs/>
              </w:rPr>
              <w:t>(</w:t>
            </w:r>
            <w:r w:rsidRPr="006211E1">
              <w:rPr>
                <w:rFonts w:cstheme="minorHAnsi"/>
                <w:b/>
                <w:bCs/>
              </w:rPr>
              <w:t>business process</w:t>
            </w:r>
            <w:r>
              <w:rPr>
                <w:rFonts w:cstheme="minorHAnsi"/>
                <w:b/>
                <w:bCs/>
              </w:rPr>
              <w:t>es</w:t>
            </w:r>
            <w:r w:rsidRPr="006211E1">
              <w:rPr>
                <w:rFonts w:cstheme="minorHAnsi"/>
                <w:b/>
                <w:bCs/>
              </w:rPr>
              <w:t xml:space="preserve"> </w:t>
            </w:r>
            <w:r>
              <w:rPr>
                <w:rFonts w:cstheme="minorHAnsi"/>
                <w:b/>
                <w:bCs/>
              </w:rPr>
              <w:t>being supported</w:t>
            </w:r>
            <w:r w:rsidRPr="006211E1">
              <w:rPr>
                <w:rFonts w:cstheme="minorHAnsi"/>
                <w:b/>
                <w:bCs/>
              </w:rPr>
              <w:t xml:space="preserve">; </w:t>
            </w:r>
          </w:p>
          <w:p w:rsidR="006211E1" w:rsidRPr="006211E1" w:rsidRDefault="006211E1" w:rsidP="006211E1">
            <w:pPr>
              <w:jc w:val="center"/>
              <w:rPr>
                <w:rFonts w:cstheme="minorHAnsi"/>
                <w:b/>
                <w:bCs/>
              </w:rPr>
            </w:pPr>
            <w:r w:rsidRPr="006211E1">
              <w:rPr>
                <w:rFonts w:cstheme="minorHAnsi"/>
                <w:b/>
                <w:bCs/>
              </w:rPr>
              <w:t>outcomes that the service enables users to achieve)</w:t>
            </w:r>
            <w:r>
              <w:rPr>
                <w:rFonts w:cstheme="minorHAnsi"/>
                <w:b/>
                <w:bCs/>
              </w:rPr>
              <w:t xml:space="preserve"> </w:t>
            </w:r>
          </w:p>
        </w:tc>
      </w:tr>
      <w:tr w:rsidR="006211E1" w:rsidTr="006F4908">
        <w:tc>
          <w:tcPr>
            <w:tcW w:w="1975" w:type="dxa"/>
            <w:vMerge/>
          </w:tcPr>
          <w:p w:rsidR="006211E1" w:rsidRDefault="006211E1" w:rsidP="00E31BDA">
            <w:pPr>
              <w:rPr>
                <w:rFonts w:cstheme="minorHAnsi"/>
              </w:rPr>
            </w:pPr>
          </w:p>
        </w:tc>
        <w:tc>
          <w:tcPr>
            <w:tcW w:w="1260" w:type="dxa"/>
          </w:tcPr>
          <w:p w:rsidR="006211E1" w:rsidRPr="00782392" w:rsidRDefault="006211E1" w:rsidP="006211E1">
            <w:pPr>
              <w:jc w:val="center"/>
              <w:rPr>
                <w:rFonts w:cstheme="minorHAnsi"/>
                <w:b/>
                <w:bCs/>
              </w:rPr>
            </w:pPr>
            <w:r>
              <w:rPr>
                <w:rFonts w:cstheme="minorHAnsi"/>
                <w:b/>
                <w:bCs/>
              </w:rPr>
              <w:t>Central</w:t>
            </w:r>
          </w:p>
        </w:tc>
        <w:tc>
          <w:tcPr>
            <w:tcW w:w="1530" w:type="dxa"/>
          </w:tcPr>
          <w:p w:rsidR="006211E1" w:rsidRDefault="006211E1" w:rsidP="006211E1">
            <w:pPr>
              <w:jc w:val="center"/>
              <w:rPr>
                <w:rFonts w:cstheme="minorHAnsi"/>
                <w:b/>
                <w:bCs/>
              </w:rPr>
            </w:pPr>
            <w:r>
              <w:rPr>
                <w:rFonts w:cstheme="minorHAnsi"/>
                <w:b/>
                <w:bCs/>
              </w:rPr>
              <w:t>&gt;= 2 Divisions</w:t>
            </w:r>
          </w:p>
          <w:p w:rsidR="006211E1" w:rsidRPr="00782392" w:rsidRDefault="006211E1" w:rsidP="006211E1">
            <w:pPr>
              <w:jc w:val="center"/>
              <w:rPr>
                <w:rFonts w:cstheme="minorHAnsi"/>
                <w:b/>
                <w:bCs/>
              </w:rPr>
            </w:pPr>
            <w:r>
              <w:rPr>
                <w:rFonts w:cstheme="minorHAnsi"/>
                <w:b/>
                <w:bCs/>
              </w:rPr>
              <w:t>/Department</w:t>
            </w:r>
            <w:r w:rsidR="000916CF">
              <w:rPr>
                <w:rFonts w:cstheme="minorHAnsi"/>
                <w:b/>
                <w:bCs/>
              </w:rPr>
              <w:t>s</w:t>
            </w:r>
          </w:p>
        </w:tc>
        <w:tc>
          <w:tcPr>
            <w:tcW w:w="1440" w:type="dxa"/>
          </w:tcPr>
          <w:p w:rsidR="006211E1" w:rsidRDefault="006211E1" w:rsidP="006211E1">
            <w:pPr>
              <w:jc w:val="center"/>
              <w:rPr>
                <w:rFonts w:cstheme="minorHAnsi"/>
                <w:b/>
                <w:bCs/>
              </w:rPr>
            </w:pPr>
            <w:r>
              <w:rPr>
                <w:rFonts w:cstheme="minorHAnsi"/>
                <w:b/>
                <w:bCs/>
              </w:rPr>
              <w:t>1 Division</w:t>
            </w:r>
          </w:p>
          <w:p w:rsidR="006211E1" w:rsidRPr="00782392" w:rsidRDefault="006211E1" w:rsidP="006211E1">
            <w:pPr>
              <w:jc w:val="center"/>
              <w:rPr>
                <w:rFonts w:cstheme="minorHAnsi"/>
                <w:b/>
                <w:bCs/>
              </w:rPr>
            </w:pPr>
            <w:r>
              <w:rPr>
                <w:rFonts w:cstheme="minorHAnsi"/>
                <w:b/>
                <w:bCs/>
              </w:rPr>
              <w:t>/Department</w:t>
            </w:r>
          </w:p>
        </w:tc>
        <w:tc>
          <w:tcPr>
            <w:tcW w:w="5580" w:type="dxa"/>
            <w:vMerge/>
          </w:tcPr>
          <w:p w:rsidR="006211E1" w:rsidRDefault="006211E1" w:rsidP="00E31BDA">
            <w:pPr>
              <w:rPr>
                <w:rFonts w:cstheme="minorHAnsi"/>
              </w:rPr>
            </w:pPr>
          </w:p>
        </w:tc>
      </w:tr>
      <w:tr w:rsidR="006211E1" w:rsidTr="00BE0B46">
        <w:tc>
          <w:tcPr>
            <w:tcW w:w="1975" w:type="dxa"/>
          </w:tcPr>
          <w:p w:rsidR="006211E1" w:rsidRDefault="006211E1" w:rsidP="00E31BDA">
            <w:pPr>
              <w:rPr>
                <w:rFonts w:cstheme="minorHAnsi"/>
              </w:rPr>
            </w:pPr>
            <w:r>
              <w:rPr>
                <w:rFonts w:cstheme="minorHAnsi"/>
              </w:rPr>
              <w:t>1.</w:t>
            </w:r>
          </w:p>
        </w:tc>
        <w:tc>
          <w:tcPr>
            <w:tcW w:w="1260" w:type="dxa"/>
          </w:tcPr>
          <w:p w:rsidR="006211E1" w:rsidRDefault="006211E1" w:rsidP="00E31BDA">
            <w:pPr>
              <w:rPr>
                <w:rFonts w:cstheme="minorHAnsi"/>
              </w:rPr>
            </w:pPr>
          </w:p>
        </w:tc>
        <w:tc>
          <w:tcPr>
            <w:tcW w:w="1530" w:type="dxa"/>
          </w:tcPr>
          <w:p w:rsidR="006211E1" w:rsidRDefault="006211E1" w:rsidP="00E31BDA">
            <w:pPr>
              <w:rPr>
                <w:rFonts w:cstheme="minorHAnsi"/>
              </w:rPr>
            </w:pPr>
          </w:p>
        </w:tc>
        <w:tc>
          <w:tcPr>
            <w:tcW w:w="1440" w:type="dxa"/>
          </w:tcPr>
          <w:p w:rsidR="006211E1" w:rsidRDefault="006211E1" w:rsidP="00E31BDA">
            <w:pPr>
              <w:rPr>
                <w:rFonts w:cstheme="minorHAnsi"/>
              </w:rPr>
            </w:pPr>
          </w:p>
        </w:tc>
        <w:tc>
          <w:tcPr>
            <w:tcW w:w="5580" w:type="dxa"/>
            <w:vMerge w:val="restart"/>
          </w:tcPr>
          <w:p w:rsidR="006211E1" w:rsidRDefault="006211E1" w:rsidP="00E31BDA">
            <w:pPr>
              <w:rPr>
                <w:rFonts w:cstheme="minorHAnsi"/>
              </w:rPr>
            </w:pPr>
          </w:p>
        </w:tc>
      </w:tr>
      <w:tr w:rsidR="006211E1" w:rsidTr="00BE0B46">
        <w:tc>
          <w:tcPr>
            <w:tcW w:w="1975" w:type="dxa"/>
          </w:tcPr>
          <w:p w:rsidR="006211E1" w:rsidRDefault="006211E1" w:rsidP="00E31BDA">
            <w:pPr>
              <w:rPr>
                <w:rFonts w:cstheme="minorHAnsi"/>
              </w:rPr>
            </w:pPr>
            <w:r>
              <w:rPr>
                <w:rFonts w:cstheme="minorHAnsi"/>
              </w:rPr>
              <w:t>2.</w:t>
            </w:r>
          </w:p>
        </w:tc>
        <w:tc>
          <w:tcPr>
            <w:tcW w:w="1260" w:type="dxa"/>
          </w:tcPr>
          <w:p w:rsidR="006211E1" w:rsidRDefault="006211E1" w:rsidP="00E31BDA">
            <w:pPr>
              <w:rPr>
                <w:rFonts w:cstheme="minorHAnsi"/>
              </w:rPr>
            </w:pPr>
          </w:p>
        </w:tc>
        <w:tc>
          <w:tcPr>
            <w:tcW w:w="1530" w:type="dxa"/>
          </w:tcPr>
          <w:p w:rsidR="006211E1" w:rsidRDefault="006211E1" w:rsidP="00E31BDA">
            <w:pPr>
              <w:rPr>
                <w:rFonts w:cstheme="minorHAnsi"/>
              </w:rPr>
            </w:pPr>
          </w:p>
        </w:tc>
        <w:tc>
          <w:tcPr>
            <w:tcW w:w="1440" w:type="dxa"/>
          </w:tcPr>
          <w:p w:rsidR="006211E1" w:rsidRDefault="006211E1" w:rsidP="00E31BDA">
            <w:pPr>
              <w:rPr>
                <w:rFonts w:cstheme="minorHAnsi"/>
              </w:rPr>
            </w:pPr>
          </w:p>
        </w:tc>
        <w:tc>
          <w:tcPr>
            <w:tcW w:w="5580" w:type="dxa"/>
            <w:vMerge/>
          </w:tcPr>
          <w:p w:rsidR="006211E1" w:rsidRDefault="006211E1" w:rsidP="00E31BDA">
            <w:pPr>
              <w:rPr>
                <w:rFonts w:cstheme="minorHAnsi"/>
              </w:rPr>
            </w:pPr>
          </w:p>
        </w:tc>
      </w:tr>
      <w:tr w:rsidR="006211E1" w:rsidTr="00BE0B46">
        <w:tc>
          <w:tcPr>
            <w:tcW w:w="1975" w:type="dxa"/>
          </w:tcPr>
          <w:p w:rsidR="006211E1" w:rsidRDefault="006211E1" w:rsidP="00E31BDA">
            <w:pPr>
              <w:rPr>
                <w:rFonts w:cstheme="minorHAnsi"/>
              </w:rPr>
            </w:pPr>
            <w:r>
              <w:rPr>
                <w:rFonts w:cstheme="minorHAnsi"/>
              </w:rPr>
              <w:t>3.</w:t>
            </w:r>
          </w:p>
        </w:tc>
        <w:tc>
          <w:tcPr>
            <w:tcW w:w="1260" w:type="dxa"/>
          </w:tcPr>
          <w:p w:rsidR="006211E1" w:rsidRDefault="006211E1" w:rsidP="00E31BDA">
            <w:pPr>
              <w:rPr>
                <w:rFonts w:cstheme="minorHAnsi"/>
              </w:rPr>
            </w:pPr>
          </w:p>
        </w:tc>
        <w:tc>
          <w:tcPr>
            <w:tcW w:w="1530" w:type="dxa"/>
          </w:tcPr>
          <w:p w:rsidR="006211E1" w:rsidRDefault="006211E1" w:rsidP="00E31BDA">
            <w:pPr>
              <w:rPr>
                <w:rFonts w:cstheme="minorHAnsi"/>
              </w:rPr>
            </w:pPr>
          </w:p>
        </w:tc>
        <w:tc>
          <w:tcPr>
            <w:tcW w:w="1440" w:type="dxa"/>
          </w:tcPr>
          <w:p w:rsidR="006211E1" w:rsidRDefault="006211E1" w:rsidP="00E31BDA">
            <w:pPr>
              <w:rPr>
                <w:rFonts w:cstheme="minorHAnsi"/>
              </w:rPr>
            </w:pPr>
          </w:p>
        </w:tc>
        <w:tc>
          <w:tcPr>
            <w:tcW w:w="5580" w:type="dxa"/>
            <w:vMerge/>
          </w:tcPr>
          <w:p w:rsidR="006211E1" w:rsidRDefault="006211E1" w:rsidP="00E31BDA">
            <w:pPr>
              <w:rPr>
                <w:rFonts w:cstheme="minorHAnsi"/>
              </w:rPr>
            </w:pPr>
          </w:p>
        </w:tc>
      </w:tr>
    </w:tbl>
    <w:p w:rsidR="00782392" w:rsidRDefault="00782392" w:rsidP="002739B9">
      <w:pPr>
        <w:ind w:left="360"/>
        <w:rPr>
          <w:rFonts w:cstheme="minorHAnsi"/>
        </w:rPr>
      </w:pPr>
    </w:p>
    <w:p w:rsidR="00D93194" w:rsidRDefault="001D4B26" w:rsidP="002739B9">
      <w:pPr>
        <w:ind w:left="360"/>
        <w:rPr>
          <w:rFonts w:cstheme="minorHAnsi"/>
        </w:rPr>
      </w:pPr>
      <w:r>
        <w:rPr>
          <w:rFonts w:cstheme="minorHAnsi"/>
        </w:rPr>
        <w:t>..</w:t>
      </w:r>
    </w:p>
    <w:sectPr w:rsidR="00D93194" w:rsidSect="002739B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B3957"/>
    <w:multiLevelType w:val="hybridMultilevel"/>
    <w:tmpl w:val="121AA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B9"/>
    <w:rsid w:val="000916CF"/>
    <w:rsid w:val="000D57B1"/>
    <w:rsid w:val="001D4B26"/>
    <w:rsid w:val="002739B9"/>
    <w:rsid w:val="00601EC0"/>
    <w:rsid w:val="006211E1"/>
    <w:rsid w:val="00677640"/>
    <w:rsid w:val="007778C2"/>
    <w:rsid w:val="00782392"/>
    <w:rsid w:val="00907124"/>
    <w:rsid w:val="00B253AC"/>
    <w:rsid w:val="00CA3B31"/>
    <w:rsid w:val="00D0542B"/>
    <w:rsid w:val="00D93194"/>
    <w:rsid w:val="00DE51BE"/>
    <w:rsid w:val="00F810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DFA76-68C4-4BE0-90DC-ADB04FA5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9B9"/>
    <w:pPr>
      <w:ind w:left="720"/>
      <w:contextualSpacing/>
    </w:pPr>
  </w:style>
  <w:style w:type="paragraph" w:customStyle="1" w:styleId="Default">
    <w:name w:val="Default"/>
    <w:rsid w:val="002739B9"/>
    <w:pPr>
      <w:autoSpaceDE w:val="0"/>
      <w:autoSpaceDN w:val="0"/>
      <w:adjustRightInd w:val="0"/>
      <w:spacing w:after="0" w:line="240" w:lineRule="auto"/>
    </w:pPr>
    <w:rPr>
      <w:rFonts w:ascii="Arial" w:hAnsi="Arial" w:cs="Arial"/>
      <w:color w:val="000000"/>
      <w:sz w:val="24"/>
      <w:szCs w:val="24"/>
      <w:lang w:bidi="he-IL"/>
    </w:rPr>
  </w:style>
  <w:style w:type="table" w:styleId="TableGrid">
    <w:name w:val="Table Grid"/>
    <w:basedOn w:val="TableNormal"/>
    <w:uiPriority w:val="39"/>
    <w:rsid w:val="0078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1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3263-12F1-4435-9646-CF545DFA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572</Words>
  <Characters>3267</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3832</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