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824" from="72.253067pt,584.381226pt" to="283.592664pt,584.381226pt" stroked="true" strokeweight=".619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800" from="360.253113pt,584.381226pt" to="538.2233pt,584.381226pt" stroked="true" strokeweight=".6199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228699pt;margin-top:13.62511pt;width:281.9pt;height:13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(SAMPLE OF PARENT COMPANY’S BOARD RESOLUTION)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72501pt;margin-top:41.225109pt;width:197pt;height:54.55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spacing w:before="20"/>
                    <w:ind w:left="17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NAME OF PARENT COMPANY</w:t>
                  </w:r>
                </w:p>
                <w:p>
                  <w:pPr>
                    <w:spacing w:before="60"/>
                    <w:ind w:left="911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(the Company)</w:t>
                  </w:r>
                </w:p>
                <w:p>
                  <w:pPr>
                    <w:pStyle w:val="BodyText"/>
                    <w:tabs>
                      <w:tab w:pos="3028" w:val="left" w:leader="none"/>
                      <w:tab w:pos="3919" w:val="left" w:leader="none"/>
                    </w:tabs>
                    <w:spacing w:line="278" w:lineRule="exact" w:before="10"/>
                    <w:ind w:left="127" w:right="17" w:hanging="108"/>
                  </w:pPr>
                  <w:r>
                    <w:rPr>
                      <w:w w:val="105"/>
                    </w:rPr>
                    <w:t>Company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Number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: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w w:val="103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(Incorporated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</w:t>
                  </w:r>
                  <w:r>
                    <w:rPr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w w:val="105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846802pt;margin-top:110.345108pt;width:304.8pt;height:26.7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CERTIFIED TRUE COPY OF THE RESOLUTION PASSED AT THE</w:t>
                  </w:r>
                </w:p>
                <w:p>
                  <w:pPr>
                    <w:pStyle w:val="BodyText"/>
                    <w:spacing w:before="55"/>
                    <w:ind w:left="103"/>
                  </w:pPr>
                  <w:r>
                    <w:rPr>
                      <w:w w:val="105"/>
                    </w:rPr>
                    <w:t>MEETING OF THE BOARD OF DIRECTORS OF THE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151.625107pt;width:333.1pt;height:13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AUTHORISATION OF INCORPORATION OF A SINGAPORE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175.625107pt;width:58.05pt;height:13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WHEREAS 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199.385117pt;width:445pt;height:13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The Company is desirous to incorporate a subsidiary company in Singapore (Singapore Subsidiary).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223.385117pt;width:61.95pt;height:13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RESOLVED 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247.145111pt;width:10.35pt;height:13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247.145111pt;width:343.9pt;height:13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That the Singapore Subsidiary be and is hereby approved to be incorporated.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274.985107pt;width:10.35pt;height:13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274.985107pt;width:451.95pt;height:40.85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line="304" w:lineRule="auto" w:before="20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That the share capital of the Singapore Subsidiary will be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&lt;Number of shares and total value&gt; </w:t>
                  </w:r>
                  <w:r>
                    <w:rPr>
                      <w:b/>
                      <w:i/>
                      <w:w w:val="105"/>
                      <w:sz w:val="19"/>
                      <w:shd w:fill="FFFF00" w:color="auto" w:val="clear"/>
                    </w:rPr>
                    <w:t>(e.g.</w:t>
                  </w:r>
                  <w:r>
                    <w:rPr>
                      <w:b/>
                      <w:i/>
                      <w:w w:val="105"/>
                      <w:sz w:val="19"/>
                    </w:rPr>
                    <w:t> </w:t>
                  </w:r>
                  <w:r>
                    <w:rPr>
                      <w:b/>
                      <w:i/>
                      <w:w w:val="105"/>
                      <w:sz w:val="19"/>
                      <w:shd w:fill="FFFF00" w:color="auto" w:val="clear"/>
                    </w:rPr>
                    <w:t>100,000 (One Hundred Thousand) ordinary shares totaling S$100,000 (Singapore Dollars One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i/>
                      <w:sz w:val="19"/>
                    </w:rPr>
                  </w:pPr>
                  <w:r>
                    <w:rPr>
                      <w:b/>
                      <w:i/>
                      <w:w w:val="105"/>
                      <w:sz w:val="19"/>
                      <w:shd w:fill="FFFF00" w:color="auto" w:val="clear"/>
                    </w:rPr>
                    <w:t>Hundred Thousand)</w:t>
                  </w:r>
                  <w:r>
                    <w:rPr>
                      <w:b/>
                      <w:i/>
                      <w:w w:val="105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328.265106pt;width:10.35pt;height:13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328.265106pt;width:452pt;height:40.8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spacing w:line="304" w:lineRule="auto" w:before="20"/>
                    <w:ind w:left="20" w:right="35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That the Company shall subscribe to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  <w:u w:val="single"/>
                    </w:rPr>
                    <w:t>all the shares in the Singapore Subsidiary&gt; </w:t>
                  </w:r>
                  <w:r>
                    <w:rPr>
                      <w:w w:val="105"/>
                      <w:sz w:val="19"/>
                      <w:shd w:fill="FFFF00" w:color="auto" w:val="clear"/>
                      <w:u w:val="single"/>
                    </w:rPr>
                    <w:t>OR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&lt;Number</w:t>
                  </w:r>
                  <w:r>
                    <w:rPr>
                      <w:b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of</w:t>
                  </w:r>
                  <w:r>
                    <w:rPr>
                      <w:b/>
                      <w:spacing w:val="42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shares</w:t>
                  </w:r>
                  <w:r>
                    <w:rPr>
                      <w:b/>
                      <w:spacing w:val="44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and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total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value&gt;</w:t>
                  </w:r>
                  <w:r>
                    <w:rPr>
                      <w:b/>
                      <w:spacing w:val="32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(e.g.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50,000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(Fifty</w:t>
                  </w:r>
                  <w:r>
                    <w:rPr>
                      <w:b/>
                      <w:spacing w:val="44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Thousand)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ordinary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shares</w:t>
                  </w:r>
                  <w:r>
                    <w:rPr>
                      <w:b/>
                      <w:spacing w:val="44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totaling</w:t>
                  </w:r>
                  <w:r>
                    <w:rPr>
                      <w:b/>
                      <w:spacing w:val="43"/>
                      <w:w w:val="105"/>
                      <w:sz w:val="19"/>
                      <w:shd w:fill="FFFF00" w:color="auto" w:val="clear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S$50,000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(Singapore Dollars Fifty Thousand).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381.305115pt;width:10.35pt;height:13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381.305115pt;width:451.95pt;height:40.8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spacing w:line="304" w:lineRule="auto" w:before="2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That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&lt;name of parent company’s director&gt; </w:t>
                  </w:r>
                  <w:r>
                    <w:rPr>
                      <w:w w:val="105"/>
                      <w:sz w:val="19"/>
                      <w:shd w:fill="FFFF00" w:color="auto" w:val="clear"/>
                    </w:rPr>
                    <w:t>and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&lt;name of parent company’s director&gt;</w:t>
                  </w:r>
                  <w:r>
                    <w:rPr>
                      <w:b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be and is/are hereby authorized to sign the Memorandum and Articles of Association of the Singapore</w:t>
                  </w:r>
                </w:p>
                <w:p>
                  <w:pPr>
                    <w:pStyle w:val="BodyText"/>
                    <w:spacing w:before="1"/>
                  </w:pPr>
                  <w:r>
                    <w:rPr>
                      <w:w w:val="105"/>
                    </w:rPr>
                    <w:t>Subsidiary.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434.585114pt;width:10.35pt;height:13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434.585114pt;width:452pt;height:54.3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spacing w:line="300" w:lineRule="auto" w:before="20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That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&lt;name of corporate representative 1&gt; </w:t>
                  </w:r>
                  <w:r>
                    <w:rPr>
                      <w:w w:val="105"/>
                      <w:sz w:val="19"/>
                      <w:shd w:fill="FFFF00" w:color="auto" w:val="clear"/>
                    </w:rPr>
                    <w:t>or failing him/her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&lt;name of corporate representative</w:t>
                  </w:r>
                  <w:r>
                    <w:rPr>
                      <w:b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  <w:shd w:fill="FFFF00" w:color="auto" w:val="clear"/>
                    </w:rPr>
                    <w:t>2&gt;</w:t>
                  </w:r>
                  <w:r>
                    <w:rPr>
                      <w:b/>
                      <w:w w:val="105"/>
                      <w:sz w:val="19"/>
                    </w:rPr>
                    <w:t> </w:t>
                  </w:r>
                  <w:r>
                    <w:rPr>
                      <w:w w:val="105"/>
                      <w:sz w:val="19"/>
                    </w:rPr>
                    <w:t>be and is/are hereby appointed as the corporate representative of the Company for purposes of</w:t>
                  </w:r>
                </w:p>
                <w:p>
                  <w:pPr>
                    <w:pStyle w:val="BodyText"/>
                    <w:tabs>
                      <w:tab w:pos="8435" w:val="left" w:leader="none"/>
                    </w:tabs>
                    <w:spacing w:before="5"/>
                  </w:pPr>
                  <w:r>
                    <w:rPr>
                      <w:w w:val="105"/>
                    </w:rPr>
                    <w:t>&lt;the  Extraordinary  General  Meeting  of  the  Singapore  subsidiary  to  be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held</w:t>
                  </w:r>
                  <w:r>
                    <w:rPr>
                      <w:spacing w:val="4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on</w:t>
                  </w:r>
                  <w:r>
                    <w:rPr>
                      <w:w w:val="105"/>
                      <w:shd w:fill="FFFF00" w:color="auto" w:val="clear"/>
                      <w:u w:val="single"/>
                    </w:rPr>
                    <w:t> </w:t>
                    <w:tab/>
                  </w:r>
                  <w:r>
                    <w:rPr>
                      <w:w w:val="105"/>
                      <w:shd w:fill="FFFF00" w:color="auto" w:val="clear"/>
                    </w:rPr>
                    <w:t>&gt; /</w:t>
                  </w:r>
                  <w:r>
                    <w:rPr>
                      <w:spacing w:val="44"/>
                      <w:w w:val="105"/>
                      <w:shd w:fill="FFFF00" w:color="auto" w:val="clear"/>
                    </w:rPr>
                    <w:t> </w:t>
                  </w:r>
                  <w:r>
                    <w:rPr>
                      <w:w w:val="105"/>
                      <w:shd w:fill="FFFF00" w:color="auto" w:val="clear"/>
                    </w:rPr>
                    <w:t>all</w:t>
                  </w:r>
                </w:p>
                <w:p>
                  <w:pPr>
                    <w:pStyle w:val="BodyText"/>
                    <w:spacing w:before="56"/>
                  </w:pPr>
                  <w:r>
                    <w:rPr>
                      <w:w w:val="105"/>
                      <w:shd w:fill="FFFF00" w:color="auto" w:val="clear"/>
                    </w:rPr>
                    <w:t>General Meetings</w:t>
                  </w:r>
                  <w:r>
                    <w:rPr>
                      <w:w w:val="105"/>
                    </w:rPr>
                    <w:t> of the Singapore subsidiary</w:t>
                  </w:r>
                  <w:r>
                    <w:rPr>
                      <w:w w:val="105"/>
                      <w:vertAlign w:val="superscript"/>
                    </w:rPr>
                    <w:t>++</w:t>
                  </w:r>
                  <w:r>
                    <w:rPr>
                      <w:w w:val="105"/>
                      <w:vertAlign w:val="baseline"/>
                    </w:rPr>
                    <w:t> and at any adjournments thereof, and without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489.785095pt;width:124.35pt;height:26.7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prejudice to the generality</w:t>
                  </w:r>
                </w:p>
                <w:p>
                  <w:pPr>
                    <w:pStyle w:val="BodyText"/>
                    <w:spacing w:before="55"/>
                  </w:pPr>
                  <w:r>
                    <w:rPr>
                      <w:w w:val="105"/>
                    </w:rPr>
                    <w:t>Subsidiary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121399pt;margin-top:489.785095pt;width:10.35pt;height:13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478pt;margin-top:489.785095pt;width:15.85pt;height:13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201263pt;margin-top:489.785095pt;width:206.9pt;height:13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foregoing, to exercise all necessary powers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611816pt;margin-top:489.785095pt;width:10.35pt;height:13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70911pt;margin-top:489.785095pt;width:15.85pt;height:13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91711pt;margin-top:489.785095pt;width:47.5pt;height:13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Singapore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691589pt;margin-top:531.305115pt;width:82.95pt;height:13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D I R E C T O R 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586.505127pt;width:89.15pt;height:13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&lt;Name of Director&gt;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53113pt;margin-top:586.505127pt;width:89.15pt;height:13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&lt;Name of Director&gt;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614.105103pt;width:25.8pt;height:13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105"/>
                    </w:rPr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753.426025pt;width:117.85pt;height:10.5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sz w:val="14"/>
                    </w:rPr>
                    <w:t>Sample BOD for subsidiary/14112013/v5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150269pt;margin-top:67.732971pt;width:105.55pt;height:12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64227pt;margin-top:81.653015pt;width:72.25pt;height:12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132996pt;margin-top:277.493011pt;width:195.15pt;height:12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252998pt;margin-top:291.412994pt;width:95.05pt;height:12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252998pt;margin-top:344.692993pt;width:169.45pt;height:12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.253067pt;margin-top:573.381226pt;width:211.35pt;height:12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253113pt;margin-top:573.381226pt;width:178pt;height:12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280" w:bottom="280" w:left="132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.253067pt;margin-top:23.243858pt;width:52.7pt;height:14.05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Calibri"/>
                      <w:b/>
                      <w:i/>
                      <w:sz w:val="19"/>
                    </w:rPr>
                  </w:pP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Please note: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253067pt;margin-top:47.96376pt;width:444.6pt;height:75.95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47" w:lineRule="auto" w:before="16"/>
                    <w:ind w:left="380" w:right="391" w:hanging="360"/>
                    <w:jc w:val="left"/>
                    <w:rPr>
                      <w:rFonts w:ascii="Calibri" w:hAnsi="Calibri"/>
                      <w:b/>
                      <w:i/>
                      <w:sz w:val="19"/>
                    </w:rPr>
                  </w:pPr>
                  <w:r>
                    <w:rPr>
                      <w:rFonts w:ascii="Calibri" w:hAnsi="Calibri"/>
                      <w:b/>
                      <w:i/>
                      <w:w w:val="105"/>
                      <w:sz w:val="19"/>
                    </w:rPr>
                    <w:t>This is a sample only. The signing of the Board Resolution must comply with the parent company’s </w:t>
                  </w:r>
                  <w:r>
                    <w:rPr>
                      <w:rFonts w:ascii="Calibri" w:hAnsi="Calibri"/>
                      <w:b/>
                      <w:i/>
                      <w:w w:val="105"/>
                      <w:sz w:val="19"/>
                    </w:rPr>
                    <w:t>constitution. As such, please amend the number of directors and other information as</w:t>
                  </w:r>
                  <w:r>
                    <w:rPr>
                      <w:rFonts w:ascii="Calibri" w:hAnsi="Calibri"/>
                      <w:b/>
                      <w:i/>
                      <w:spacing w:val="-17"/>
                      <w:w w:val="105"/>
                      <w:sz w:val="19"/>
                    </w:rPr>
                    <w:t> </w:t>
                  </w:r>
                  <w:r>
                    <w:rPr>
                      <w:rFonts w:ascii="Calibri" w:hAnsi="Calibri"/>
                      <w:b/>
                      <w:i/>
                      <w:w w:val="105"/>
                      <w:sz w:val="19"/>
                    </w:rPr>
                    <w:t>necessary.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47" w:lineRule="auto" w:before="11"/>
                    <w:ind w:left="380" w:right="17" w:hanging="360"/>
                    <w:jc w:val="left"/>
                    <w:rPr>
                      <w:rFonts w:ascii="Calibri"/>
                      <w:b/>
                      <w:i/>
                      <w:sz w:val="19"/>
                    </w:rPr>
                  </w:pP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For point 4 and point 5, please provide copy of passport and residential address proof of the appointed </w:t>
                  </w: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individual.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79" w:val="left" w:leader="none"/>
                      <w:tab w:pos="380" w:val="left" w:leader="none"/>
                    </w:tabs>
                    <w:spacing w:line="247" w:lineRule="auto" w:before="12"/>
                    <w:ind w:left="380" w:right="29" w:hanging="360"/>
                    <w:jc w:val="left"/>
                    <w:rPr>
                      <w:rFonts w:ascii="Calibri"/>
                      <w:b/>
                      <w:i/>
                      <w:sz w:val="19"/>
                    </w:rPr>
                  </w:pP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The corporate representative is the person appointed by the parent company to attend general </w:t>
                  </w: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meetings on behalf of the parent company. You can choose 1 or more depending on your</w:t>
                  </w:r>
                  <w:r>
                    <w:rPr>
                      <w:rFonts w:ascii="Calibri"/>
                      <w:b/>
                      <w:i/>
                      <w:spacing w:val="-26"/>
                      <w:w w:val="105"/>
                      <w:sz w:val="19"/>
                    </w:rPr>
                    <w:t> </w:t>
                  </w:r>
                  <w:r>
                    <w:rPr>
                      <w:rFonts w:ascii="Calibri"/>
                      <w:b/>
                      <w:i/>
                      <w:w w:val="105"/>
                      <w:sz w:val="19"/>
                    </w:rPr>
                    <w:t>requirement.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253067pt;margin-top:753.426025pt;width:117.85pt;height:10.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sz w:val="14"/>
                    </w:rPr>
                    <w:t>Sample BOD for subsidiary/14112013/v5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4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80" w:hanging="360"/>
      </w:pPr>
      <w:rPr>
        <w:rFonts w:hint="default" w:ascii="Symbol" w:hAnsi="Symbol" w:eastAsia="Symbol" w:cs="Symbol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123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3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