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07B3" w14:textId="77777777" w:rsidR="00C934ED" w:rsidRDefault="00C934ED">
      <w:pPr>
        <w:pStyle w:val="TitleCover"/>
        <w:pBdr>
          <w:bottom w:val="single" w:sz="18" w:space="31" w:color="auto"/>
        </w:pBdr>
        <w:suppressAutoHyphens/>
        <w:spacing w:before="0" w:after="0"/>
        <w:ind w:right="720"/>
        <w:jc w:val="center"/>
        <w:rPr>
          <w:sz w:val="32"/>
        </w:rPr>
      </w:pPr>
      <w:r>
        <w:rPr>
          <w:sz w:val="32"/>
        </w:rPr>
        <w:t>Business Continuity Plan Template for</w:t>
      </w:r>
    </w:p>
    <w:p w14:paraId="5B2E2C07" w14:textId="77777777" w:rsidR="00C934ED" w:rsidRDefault="00C934ED">
      <w:pPr>
        <w:pStyle w:val="TitleCover"/>
        <w:pBdr>
          <w:bottom w:val="single" w:sz="18" w:space="31" w:color="auto"/>
        </w:pBdr>
        <w:suppressAutoHyphens/>
        <w:spacing w:before="0" w:after="0"/>
        <w:ind w:right="720"/>
        <w:jc w:val="center"/>
        <w:rPr>
          <w:sz w:val="32"/>
        </w:rPr>
      </w:pPr>
      <w:r>
        <w:rPr>
          <w:sz w:val="32"/>
        </w:rPr>
        <w:t xml:space="preserve">Small Introducing Firms </w:t>
      </w:r>
    </w:p>
    <w:p w14:paraId="155BE5C2" w14:textId="77777777" w:rsidR="00C934ED" w:rsidRDefault="00C934ED"/>
    <w:p w14:paraId="0189F575" w14:textId="77777777" w:rsidR="00C934ED" w:rsidRDefault="00C934ED">
      <w:pPr>
        <w:pStyle w:val="TitleCover"/>
        <w:pBdr>
          <w:bottom w:val="single" w:sz="18" w:space="31" w:color="auto"/>
        </w:pBdr>
        <w:suppressAutoHyphens/>
        <w:spacing w:before="0" w:after="0"/>
        <w:ind w:right="720"/>
        <w:jc w:val="center"/>
        <w:rPr>
          <w:sz w:val="32"/>
        </w:rPr>
      </w:pPr>
      <w:r>
        <w:rPr>
          <w:sz w:val="32"/>
        </w:rPr>
        <w:t xml:space="preserve">[Firm Name] </w:t>
      </w:r>
    </w:p>
    <w:p w14:paraId="249A42E7" w14:textId="77777777" w:rsidR="00C934ED" w:rsidRDefault="00C934ED">
      <w:pPr>
        <w:pStyle w:val="TitleCover"/>
        <w:pBdr>
          <w:bottom w:val="single" w:sz="18" w:space="31" w:color="auto"/>
        </w:pBdr>
        <w:suppressAutoHyphens/>
        <w:spacing w:before="0" w:after="0"/>
        <w:ind w:right="720"/>
        <w:jc w:val="center"/>
        <w:rPr>
          <w:sz w:val="32"/>
        </w:rPr>
      </w:pPr>
      <w:r>
        <w:rPr>
          <w:sz w:val="32"/>
        </w:rPr>
        <w:t>Business Continuity Plan (BCP)</w:t>
      </w:r>
    </w:p>
    <w:p w14:paraId="4D0550A4" w14:textId="77777777" w:rsidR="00F15DEE" w:rsidRDefault="00F15DEE"/>
    <w:p w14:paraId="19FB80A2" w14:textId="77777777" w:rsidR="00D11C1D" w:rsidRPr="00D11C1D" w:rsidRDefault="00D11C1D"/>
    <w:p w14:paraId="365E3CD3" w14:textId="27FF5070" w:rsidR="00591DD3" w:rsidRDefault="00591DD3" w:rsidP="00591DD3">
      <w:pPr>
        <w:pStyle w:val="BodyText3"/>
        <w:rPr>
          <w:b/>
          <w:color w:val="000000"/>
        </w:rPr>
      </w:pPr>
      <w:r w:rsidRPr="00993A3E">
        <w:rPr>
          <w:b/>
          <w:color w:val="000000"/>
        </w:rPr>
        <w:t xml:space="preserve">This optional template is provided to assist small introducing firms in fulfilling their obligations under </w:t>
      </w:r>
      <w:r>
        <w:rPr>
          <w:b/>
          <w:color w:val="000000"/>
        </w:rPr>
        <w:t xml:space="preserve">FINRA </w:t>
      </w:r>
      <w:r w:rsidRPr="00993A3E">
        <w:rPr>
          <w:b/>
          <w:color w:val="000000"/>
        </w:rPr>
        <w:t>Rule 4370</w:t>
      </w:r>
      <w:r>
        <w:rPr>
          <w:b/>
          <w:color w:val="000000"/>
        </w:rPr>
        <w:t xml:space="preserve"> </w:t>
      </w:r>
      <w:r w:rsidRPr="00591DD3">
        <w:rPr>
          <w:b/>
          <w:color w:val="000000"/>
        </w:rPr>
        <w:t>(Business Continuity Plans and Emergency Contact Information)</w:t>
      </w:r>
      <w:r w:rsidRPr="00993A3E">
        <w:rPr>
          <w:b/>
          <w:color w:val="000000"/>
        </w:rPr>
        <w:t xml:space="preserve">. </w:t>
      </w:r>
      <w:r w:rsidR="00D71CB1">
        <w:rPr>
          <w:b/>
          <w:color w:val="000000"/>
        </w:rPr>
        <w:t>T</w:t>
      </w:r>
      <w:r w:rsidR="00D71CB1" w:rsidRPr="00993A3E">
        <w:rPr>
          <w:b/>
          <w:color w:val="000000"/>
        </w:rPr>
        <w:t>his template is provided as a starting point for developing your firm’s plan.</w:t>
      </w:r>
      <w:r w:rsidR="00D71CB1">
        <w:rPr>
          <w:b/>
          <w:color w:val="000000"/>
        </w:rPr>
        <w:t xml:space="preserve"> </w:t>
      </w:r>
      <w:r w:rsidRPr="00993A3E">
        <w:rPr>
          <w:b/>
          <w:color w:val="000000"/>
        </w:rPr>
        <w:t xml:space="preserve">The obligation to develop a </w:t>
      </w:r>
      <w:r>
        <w:rPr>
          <w:b/>
          <w:color w:val="000000"/>
        </w:rPr>
        <w:t>business continuity plan (</w:t>
      </w:r>
      <w:r w:rsidRPr="00993A3E">
        <w:rPr>
          <w:b/>
          <w:color w:val="000000"/>
        </w:rPr>
        <w:t>BCP</w:t>
      </w:r>
      <w:r>
        <w:rPr>
          <w:b/>
          <w:color w:val="000000"/>
        </w:rPr>
        <w:t>)</w:t>
      </w:r>
      <w:r w:rsidRPr="00993A3E">
        <w:rPr>
          <w:b/>
          <w:color w:val="000000"/>
        </w:rPr>
        <w:t xml:space="preserve"> is not a “one-size-fits-all” requirement, and you must tailor your plan to </w:t>
      </w:r>
      <w:r w:rsidRPr="002E7155">
        <w:rPr>
          <w:b/>
          <w:color w:val="000000"/>
        </w:rPr>
        <w:t>reflect the size and needs of your firm</w:t>
      </w:r>
      <w:r w:rsidRPr="00993A3E">
        <w:rPr>
          <w:b/>
          <w:color w:val="000000"/>
        </w:rPr>
        <w:t xml:space="preserve">. </w:t>
      </w:r>
    </w:p>
    <w:p w14:paraId="50B37F23" w14:textId="11212FCB" w:rsidR="00710A74" w:rsidRDefault="00710A74" w:rsidP="00591DD3">
      <w:pPr>
        <w:pStyle w:val="BodyText3"/>
        <w:rPr>
          <w:b/>
          <w:color w:val="000000"/>
        </w:rPr>
      </w:pPr>
    </w:p>
    <w:p w14:paraId="41333C90" w14:textId="0EC57814" w:rsidR="00710A74" w:rsidRDefault="00710A74" w:rsidP="00591DD3">
      <w:pPr>
        <w:pStyle w:val="BodyText3"/>
        <w:rPr>
          <w:b/>
          <w:color w:val="000000"/>
        </w:rPr>
      </w:pPr>
      <w:r w:rsidRPr="00993A3E">
        <w:rPr>
          <w:b/>
          <w:color w:val="000000"/>
        </w:rPr>
        <w:t>Following this template does not guarantee compliance with or create any safe harbor with respect to FINRA rules, the federal securities laws or state laws</w:t>
      </w:r>
      <w:r w:rsidRPr="000E4744">
        <w:rPr>
          <w:b/>
          <w:color w:val="000000"/>
        </w:rPr>
        <w:t>, or other applicable federal or state regulatory requirement</w:t>
      </w:r>
      <w:r>
        <w:rPr>
          <w:b/>
          <w:color w:val="000000"/>
        </w:rPr>
        <w:t>s</w:t>
      </w:r>
      <w:r w:rsidRPr="00993A3E">
        <w:rPr>
          <w:b/>
          <w:color w:val="000000"/>
        </w:rPr>
        <w:t>.</w:t>
      </w:r>
      <w:r w:rsidR="00DD5FC8">
        <w:rPr>
          <w:b/>
          <w:color w:val="000000"/>
        </w:rPr>
        <w:t xml:space="preserve"> </w:t>
      </w:r>
      <w:r w:rsidR="00DD5FC8" w:rsidRPr="00993A3E">
        <w:rPr>
          <w:b/>
          <w:color w:val="000000"/>
        </w:rPr>
        <w:t>This template does not create any new legal or regulatory obligatio</w:t>
      </w:r>
      <w:r w:rsidR="00DD5FC8">
        <w:rPr>
          <w:b/>
          <w:color w:val="000000"/>
        </w:rPr>
        <w:t>ns for firms or other entities.</w:t>
      </w:r>
    </w:p>
    <w:p w14:paraId="143F0AD7" w14:textId="4BF5C196" w:rsidR="00D4287D" w:rsidRDefault="00D4287D" w:rsidP="00591DD3">
      <w:pPr>
        <w:pStyle w:val="BodyText3"/>
        <w:rPr>
          <w:b/>
          <w:color w:val="000000"/>
        </w:rPr>
      </w:pPr>
    </w:p>
    <w:p w14:paraId="3A2E6422" w14:textId="77777777" w:rsidR="00215506" w:rsidRPr="00A67F5C" w:rsidRDefault="00215506" w:rsidP="00215506">
      <w:pPr>
        <w:pStyle w:val="BodyText3"/>
        <w:rPr>
          <w:bCs/>
          <w:color w:val="000000"/>
          <w:u w:val="single"/>
        </w:rPr>
      </w:pPr>
      <w:r w:rsidRPr="00A67F5C">
        <w:rPr>
          <w:bCs/>
          <w:color w:val="000000"/>
          <w:u w:val="single"/>
        </w:rPr>
        <w:t>Updates</w:t>
      </w:r>
    </w:p>
    <w:p w14:paraId="21DFF8D7" w14:textId="77777777" w:rsidR="00215506" w:rsidRDefault="00215506" w:rsidP="00215506">
      <w:pPr>
        <w:pStyle w:val="BodyText3"/>
        <w:rPr>
          <w:bCs/>
          <w:color w:val="000000"/>
        </w:rPr>
      </w:pPr>
    </w:p>
    <w:p w14:paraId="75409A91" w14:textId="0848411D" w:rsidR="00215506" w:rsidRPr="00215506" w:rsidRDefault="00215506" w:rsidP="00215506">
      <w:pPr>
        <w:pStyle w:val="BodyText3"/>
        <w:rPr>
          <w:bCs/>
          <w:color w:val="000000"/>
        </w:rPr>
      </w:pPr>
      <w:r w:rsidRPr="00215506">
        <w:rPr>
          <w:bCs/>
          <w:color w:val="000000"/>
        </w:rPr>
        <w:t>This t</w:t>
      </w:r>
      <w:r>
        <w:rPr>
          <w:bCs/>
          <w:color w:val="000000"/>
        </w:rPr>
        <w:t>emplate</w:t>
      </w:r>
      <w:r w:rsidRPr="00215506">
        <w:rPr>
          <w:bCs/>
          <w:color w:val="000000"/>
        </w:rPr>
        <w:t xml:space="preserve"> was last updated </w:t>
      </w:r>
      <w:r>
        <w:rPr>
          <w:bCs/>
          <w:color w:val="000000"/>
        </w:rPr>
        <w:t>in October 2021</w:t>
      </w:r>
      <w:r w:rsidRPr="00215506">
        <w:rPr>
          <w:bCs/>
          <w:color w:val="000000"/>
        </w:rPr>
        <w:t>. This t</w:t>
      </w:r>
      <w:r>
        <w:rPr>
          <w:bCs/>
          <w:color w:val="000000"/>
        </w:rPr>
        <w:t>emplate</w:t>
      </w:r>
      <w:r w:rsidRPr="00215506">
        <w:rPr>
          <w:bCs/>
          <w:color w:val="000000"/>
        </w:rPr>
        <w:t xml:space="preserve"> does not reflect any regulatory changes since that date. FINRA periodically reviews and updat</w:t>
      </w:r>
      <w:r>
        <w:rPr>
          <w:bCs/>
          <w:color w:val="000000"/>
        </w:rPr>
        <w:t>es this template</w:t>
      </w:r>
      <w:r w:rsidRPr="00215506">
        <w:rPr>
          <w:bCs/>
          <w:color w:val="000000"/>
        </w:rPr>
        <w:t xml:space="preserve">. FINRA reminds member firms to stay apprised of new or amended laws, </w:t>
      </w:r>
      <w:proofErr w:type="gramStart"/>
      <w:r w:rsidRPr="00215506">
        <w:rPr>
          <w:bCs/>
          <w:color w:val="000000"/>
        </w:rPr>
        <w:t>rules</w:t>
      </w:r>
      <w:proofErr w:type="gramEnd"/>
      <w:r w:rsidRPr="00215506">
        <w:rPr>
          <w:bCs/>
          <w:color w:val="000000"/>
        </w:rPr>
        <w:t xml:space="preserve"> and regulations, and update their WSPs and compliance programs on an ongoing basis.</w:t>
      </w:r>
    </w:p>
    <w:p w14:paraId="4A76A22A" w14:textId="77777777" w:rsidR="00215506" w:rsidRPr="00215506" w:rsidRDefault="00215506" w:rsidP="00215506">
      <w:pPr>
        <w:pStyle w:val="BodyText3"/>
        <w:rPr>
          <w:bCs/>
          <w:color w:val="000000"/>
        </w:rPr>
      </w:pPr>
    </w:p>
    <w:p w14:paraId="2E107694" w14:textId="6581D956" w:rsidR="00215506" w:rsidRPr="00A67F5C" w:rsidRDefault="00215506" w:rsidP="00215506">
      <w:pPr>
        <w:pStyle w:val="BodyText3"/>
        <w:rPr>
          <w:bCs/>
          <w:color w:val="000000"/>
        </w:rPr>
      </w:pPr>
      <w:r w:rsidRPr="00215506">
        <w:rPr>
          <w:bCs/>
          <w:color w:val="000000"/>
        </w:rPr>
        <w:t xml:space="preserve">Member firms seeking additional guidance on certain regulatory obligations should review the </w:t>
      </w:r>
      <w:hyperlink r:id="rId8" w:history="1">
        <w:r w:rsidRPr="00215506">
          <w:rPr>
            <w:rStyle w:val="Hyperlink"/>
            <w:bCs/>
          </w:rPr>
          <w:t>FINRA BCP Topic Page</w:t>
        </w:r>
      </w:hyperlink>
      <w:r w:rsidRPr="00215506">
        <w:rPr>
          <w:bCs/>
          <w:color w:val="000000"/>
        </w:rPr>
        <w:t>.</w:t>
      </w:r>
    </w:p>
    <w:p w14:paraId="6DFE32F5" w14:textId="77777777" w:rsidR="00215506" w:rsidRDefault="00215506" w:rsidP="00D4287D">
      <w:pPr>
        <w:pStyle w:val="BodyText3"/>
        <w:rPr>
          <w:bCs/>
          <w:color w:val="000000"/>
          <w:u w:val="single"/>
        </w:rPr>
      </w:pPr>
    </w:p>
    <w:p w14:paraId="3D41E240" w14:textId="1DE1797B" w:rsidR="00D4287D" w:rsidRPr="00A67F5C" w:rsidRDefault="00D4287D" w:rsidP="00D4287D">
      <w:pPr>
        <w:pStyle w:val="BodyText3"/>
        <w:rPr>
          <w:bCs/>
          <w:color w:val="000000"/>
          <w:u w:val="single"/>
        </w:rPr>
      </w:pPr>
      <w:r w:rsidRPr="00A67F5C">
        <w:rPr>
          <w:bCs/>
          <w:color w:val="000000"/>
          <w:u w:val="single"/>
        </w:rPr>
        <w:t>Staff Contacts</w:t>
      </w:r>
    </w:p>
    <w:p w14:paraId="1EEB788E" w14:textId="77777777" w:rsidR="00D4287D" w:rsidRDefault="00D4287D" w:rsidP="00D4287D">
      <w:pPr>
        <w:pStyle w:val="BodyText3"/>
        <w:rPr>
          <w:b/>
          <w:color w:val="000000"/>
        </w:rPr>
      </w:pPr>
    </w:p>
    <w:p w14:paraId="2ADEB64F" w14:textId="64B32B64" w:rsidR="00D4287D" w:rsidRPr="00A67F5C" w:rsidRDefault="00D4287D" w:rsidP="00D4287D">
      <w:pPr>
        <w:pStyle w:val="BodyText3"/>
        <w:rPr>
          <w:bCs/>
          <w:color w:val="000000"/>
        </w:rPr>
      </w:pPr>
      <w:r w:rsidRPr="00A67F5C">
        <w:rPr>
          <w:bCs/>
          <w:color w:val="000000"/>
        </w:rPr>
        <w:t>FINRA</w:t>
      </w:r>
      <w:r w:rsidR="00215506">
        <w:rPr>
          <w:bCs/>
          <w:color w:val="000000"/>
        </w:rPr>
        <w:t>’</w:t>
      </w:r>
      <w:r w:rsidRPr="00A67F5C">
        <w:rPr>
          <w:bCs/>
          <w:color w:val="000000"/>
        </w:rPr>
        <w:t xml:space="preserve">s Office of General Counsel (OGC) staff provides broker-dealers, attorneys, registered representatives, </w:t>
      </w:r>
      <w:proofErr w:type="gramStart"/>
      <w:r w:rsidRPr="00A67F5C">
        <w:rPr>
          <w:bCs/>
          <w:color w:val="000000"/>
        </w:rPr>
        <w:t>investors</w:t>
      </w:r>
      <w:proofErr w:type="gramEnd"/>
      <w:r w:rsidRPr="00A67F5C">
        <w:rPr>
          <w:bCs/>
          <w:color w:val="000000"/>
        </w:rPr>
        <w:t xml:space="preserve"> and other interested parties with interpretative guidance relating to FINRA’s rules. Please see Interpreting the Rules for more information.</w:t>
      </w:r>
    </w:p>
    <w:p w14:paraId="28BAF7A2" w14:textId="77777777" w:rsidR="00D4287D" w:rsidRPr="00A67F5C" w:rsidRDefault="00D4287D" w:rsidP="00D4287D">
      <w:pPr>
        <w:pStyle w:val="BodyText3"/>
        <w:rPr>
          <w:bCs/>
          <w:color w:val="000000"/>
        </w:rPr>
      </w:pPr>
    </w:p>
    <w:p w14:paraId="3D04AD58" w14:textId="77777777" w:rsidR="00D4287D" w:rsidRPr="00A67F5C" w:rsidRDefault="00D4287D" w:rsidP="00D4287D">
      <w:pPr>
        <w:pStyle w:val="BodyText3"/>
        <w:rPr>
          <w:bCs/>
          <w:color w:val="000000"/>
        </w:rPr>
      </w:pPr>
      <w:r w:rsidRPr="00A67F5C">
        <w:rPr>
          <w:bCs/>
          <w:color w:val="000000"/>
        </w:rPr>
        <w:t>OGC staff contacts:</w:t>
      </w:r>
    </w:p>
    <w:p w14:paraId="777AEF18" w14:textId="77777777" w:rsidR="00D4287D" w:rsidRPr="00A67F5C" w:rsidRDefault="00D4287D" w:rsidP="00D4287D">
      <w:pPr>
        <w:pStyle w:val="BodyText3"/>
        <w:rPr>
          <w:bCs/>
          <w:color w:val="000000"/>
        </w:rPr>
      </w:pPr>
    </w:p>
    <w:p w14:paraId="40EF5CBE" w14:textId="6BAFC5AA" w:rsidR="00D4287D" w:rsidRPr="00D4287D" w:rsidRDefault="00D4287D" w:rsidP="00D4287D">
      <w:pPr>
        <w:pStyle w:val="BodyText3"/>
        <w:rPr>
          <w:bCs/>
          <w:color w:val="000000"/>
        </w:rPr>
      </w:pPr>
      <w:r w:rsidRPr="00D4287D">
        <w:rPr>
          <w:bCs/>
          <w:color w:val="000000"/>
        </w:rPr>
        <w:t>Jeanette Wingler</w:t>
      </w:r>
      <w:r>
        <w:rPr>
          <w:bCs/>
          <w:color w:val="000000"/>
        </w:rPr>
        <w:t xml:space="preserve"> </w:t>
      </w:r>
      <w:r w:rsidRPr="00D4287D">
        <w:rPr>
          <w:bCs/>
          <w:color w:val="000000"/>
        </w:rPr>
        <w:t>at (202) 728-8013</w:t>
      </w:r>
      <w:r>
        <w:rPr>
          <w:bCs/>
          <w:color w:val="000000"/>
        </w:rPr>
        <w:t xml:space="preserve"> or </w:t>
      </w:r>
      <w:hyperlink r:id="rId9" w:history="1">
        <w:r w:rsidRPr="0091752C">
          <w:rPr>
            <w:rStyle w:val="Hyperlink"/>
            <w:bCs/>
          </w:rPr>
          <w:t>Jeanette.Wingler@finra.org</w:t>
        </w:r>
      </w:hyperlink>
      <w:r>
        <w:rPr>
          <w:bCs/>
          <w:color w:val="000000"/>
        </w:rPr>
        <w:t xml:space="preserve">; or </w:t>
      </w:r>
    </w:p>
    <w:p w14:paraId="39C5B6D9" w14:textId="77777777" w:rsidR="00D4287D" w:rsidRPr="00D4287D" w:rsidRDefault="00D4287D" w:rsidP="00D4287D">
      <w:pPr>
        <w:pStyle w:val="BodyText3"/>
        <w:rPr>
          <w:bCs/>
          <w:color w:val="000000"/>
        </w:rPr>
      </w:pPr>
    </w:p>
    <w:p w14:paraId="46CF5239" w14:textId="08BDA139" w:rsidR="00D4287D" w:rsidRPr="00A67F5C" w:rsidRDefault="00D4287D" w:rsidP="00D4287D">
      <w:pPr>
        <w:pStyle w:val="BodyText3"/>
        <w:rPr>
          <w:bCs/>
          <w:color w:val="000000"/>
        </w:rPr>
      </w:pPr>
      <w:r w:rsidRPr="00D4287D">
        <w:rPr>
          <w:bCs/>
          <w:color w:val="000000"/>
        </w:rPr>
        <w:t>Sarah Kwak</w:t>
      </w:r>
      <w:r>
        <w:rPr>
          <w:bCs/>
          <w:color w:val="000000"/>
        </w:rPr>
        <w:t xml:space="preserve"> </w:t>
      </w:r>
      <w:r w:rsidRPr="00D4287D">
        <w:rPr>
          <w:bCs/>
          <w:color w:val="000000"/>
        </w:rPr>
        <w:t>at (202) 728-8471</w:t>
      </w:r>
      <w:r>
        <w:rPr>
          <w:bCs/>
          <w:color w:val="000000"/>
        </w:rPr>
        <w:t xml:space="preserve"> or </w:t>
      </w:r>
      <w:hyperlink r:id="rId10" w:history="1">
        <w:r w:rsidRPr="0091752C">
          <w:rPr>
            <w:rStyle w:val="Hyperlink"/>
            <w:bCs/>
          </w:rPr>
          <w:t>Sarah.Kwak@finra.org</w:t>
        </w:r>
      </w:hyperlink>
      <w:r>
        <w:rPr>
          <w:bCs/>
          <w:color w:val="000000"/>
        </w:rPr>
        <w:t>.</w:t>
      </w:r>
    </w:p>
    <w:p w14:paraId="48FD6D5F" w14:textId="201AA0B3" w:rsidR="00591DD3" w:rsidRDefault="00591DD3" w:rsidP="009E3314">
      <w:pPr>
        <w:pStyle w:val="BodyText3"/>
        <w:rPr>
          <w:color w:val="000000"/>
          <w:u w:val="single"/>
        </w:rPr>
      </w:pPr>
    </w:p>
    <w:p w14:paraId="08083E5F" w14:textId="215B5CA2" w:rsidR="007A386E" w:rsidRPr="003159A8" w:rsidRDefault="007A386E" w:rsidP="009E3314">
      <w:pPr>
        <w:pStyle w:val="BodyText3"/>
        <w:rPr>
          <w:color w:val="000000"/>
          <w:u w:val="single"/>
        </w:rPr>
      </w:pPr>
      <w:r w:rsidRPr="003159A8">
        <w:rPr>
          <w:color w:val="000000"/>
          <w:u w:val="single"/>
        </w:rPr>
        <w:t>Overview of Rule 4370</w:t>
      </w:r>
      <w:r w:rsidR="003159A8" w:rsidRPr="003159A8">
        <w:rPr>
          <w:color w:val="000000"/>
          <w:u w:val="single"/>
        </w:rPr>
        <w:t xml:space="preserve"> (Business Continuity Plans and Emergency Contact Information)</w:t>
      </w:r>
    </w:p>
    <w:p w14:paraId="4393BAF2" w14:textId="7D22084D" w:rsidR="007A386E" w:rsidRDefault="007A386E" w:rsidP="009E3314">
      <w:pPr>
        <w:pStyle w:val="BodyText3"/>
        <w:rPr>
          <w:color w:val="000000"/>
        </w:rPr>
      </w:pPr>
    </w:p>
    <w:p w14:paraId="35B17EDC" w14:textId="77777777" w:rsidR="00591DD3" w:rsidRDefault="007A386E" w:rsidP="007A386E">
      <w:pPr>
        <w:pStyle w:val="BodyText3"/>
        <w:rPr>
          <w:color w:val="000000"/>
        </w:rPr>
      </w:pPr>
      <w:r w:rsidRPr="007A386E">
        <w:rPr>
          <w:color w:val="000000"/>
        </w:rPr>
        <w:t xml:space="preserve">Rule 4370 requires a member firm to create, maintain, annually </w:t>
      </w:r>
      <w:proofErr w:type="gramStart"/>
      <w:r w:rsidRPr="007A386E">
        <w:rPr>
          <w:color w:val="000000"/>
        </w:rPr>
        <w:t>review</w:t>
      </w:r>
      <w:proofErr w:type="gramEnd"/>
      <w:r w:rsidRPr="007A386E">
        <w:rPr>
          <w:color w:val="000000"/>
        </w:rPr>
        <w:t xml:space="preserve"> and update upon</w:t>
      </w:r>
      <w:r w:rsidR="0050308C">
        <w:rPr>
          <w:color w:val="000000"/>
        </w:rPr>
        <w:t xml:space="preserve"> </w:t>
      </w:r>
      <w:r w:rsidRPr="007A386E">
        <w:rPr>
          <w:color w:val="000000"/>
        </w:rPr>
        <w:t xml:space="preserve">any material change a written </w:t>
      </w:r>
      <w:r w:rsidR="003159A8">
        <w:rPr>
          <w:color w:val="000000"/>
        </w:rPr>
        <w:t>BCP</w:t>
      </w:r>
      <w:r w:rsidRPr="007A386E">
        <w:rPr>
          <w:color w:val="000000"/>
        </w:rPr>
        <w:t xml:space="preserve"> identifying procedures relating</w:t>
      </w:r>
      <w:r w:rsidR="0050308C">
        <w:rPr>
          <w:color w:val="000000"/>
        </w:rPr>
        <w:t xml:space="preserve"> </w:t>
      </w:r>
      <w:r w:rsidRPr="007A386E">
        <w:rPr>
          <w:color w:val="000000"/>
        </w:rPr>
        <w:t xml:space="preserve">to an emergency or significant business disruption. </w:t>
      </w:r>
      <w:r w:rsidR="003159A8">
        <w:rPr>
          <w:color w:val="000000"/>
        </w:rPr>
        <w:t xml:space="preserve">These procedures must be </w:t>
      </w:r>
      <w:r w:rsidR="003159A8" w:rsidRPr="007A386E">
        <w:rPr>
          <w:color w:val="000000"/>
        </w:rPr>
        <w:t>“reasonably designed to enable the member to</w:t>
      </w:r>
      <w:r w:rsidR="003159A8">
        <w:rPr>
          <w:color w:val="000000"/>
        </w:rPr>
        <w:t xml:space="preserve"> </w:t>
      </w:r>
      <w:r w:rsidR="003159A8" w:rsidRPr="007A386E">
        <w:rPr>
          <w:color w:val="000000"/>
        </w:rPr>
        <w:t>meet its existing obligations to customers.”</w:t>
      </w:r>
      <w:r w:rsidR="003159A8">
        <w:rPr>
          <w:color w:val="000000"/>
        </w:rPr>
        <w:t xml:space="preserve"> </w:t>
      </w:r>
      <w:r w:rsidRPr="007A386E">
        <w:rPr>
          <w:color w:val="000000"/>
        </w:rPr>
        <w:t>While each member firm needs to</w:t>
      </w:r>
      <w:r w:rsidR="0050308C">
        <w:rPr>
          <w:color w:val="000000"/>
        </w:rPr>
        <w:t xml:space="preserve"> </w:t>
      </w:r>
      <w:r w:rsidRPr="007A386E">
        <w:rPr>
          <w:color w:val="000000"/>
        </w:rPr>
        <w:t>conduct its own risk analysis to determine where critical impact points and exposures exist</w:t>
      </w:r>
      <w:r w:rsidR="0050308C">
        <w:rPr>
          <w:color w:val="000000"/>
        </w:rPr>
        <w:t xml:space="preserve"> </w:t>
      </w:r>
      <w:r w:rsidRPr="007A386E">
        <w:rPr>
          <w:color w:val="000000"/>
        </w:rPr>
        <w:t xml:space="preserve">within the firm and with its counterparties and </w:t>
      </w:r>
      <w:r w:rsidR="0050308C">
        <w:rPr>
          <w:color w:val="000000"/>
        </w:rPr>
        <w:t xml:space="preserve">suppliers, significant business </w:t>
      </w:r>
      <w:r w:rsidRPr="007A386E">
        <w:rPr>
          <w:color w:val="000000"/>
        </w:rPr>
        <w:t>disruptions</w:t>
      </w:r>
      <w:r w:rsidR="0050308C">
        <w:rPr>
          <w:color w:val="000000"/>
        </w:rPr>
        <w:t xml:space="preserve"> </w:t>
      </w:r>
      <w:r w:rsidRPr="007A386E">
        <w:rPr>
          <w:color w:val="000000"/>
        </w:rPr>
        <w:t>for purposes of business continuity planning may include, among other things, natural</w:t>
      </w:r>
      <w:r w:rsidR="0050308C">
        <w:rPr>
          <w:color w:val="000000"/>
        </w:rPr>
        <w:t xml:space="preserve"> </w:t>
      </w:r>
      <w:r w:rsidRPr="007A386E">
        <w:rPr>
          <w:color w:val="000000"/>
        </w:rPr>
        <w:t>disasters, pandemics, terr</w:t>
      </w:r>
      <w:r w:rsidR="0050308C">
        <w:rPr>
          <w:color w:val="000000"/>
        </w:rPr>
        <w:t xml:space="preserve">orist attacks and cyber events. </w:t>
      </w:r>
      <w:r w:rsidRPr="007A386E">
        <w:rPr>
          <w:color w:val="000000"/>
        </w:rPr>
        <w:t>In addition, member firms that</w:t>
      </w:r>
      <w:r w:rsidR="0050308C">
        <w:rPr>
          <w:color w:val="000000"/>
        </w:rPr>
        <w:t xml:space="preserve"> </w:t>
      </w:r>
      <w:r w:rsidRPr="007A386E">
        <w:rPr>
          <w:color w:val="000000"/>
        </w:rPr>
        <w:t>heavily leverage technology for their business systems and infrastructure may have</w:t>
      </w:r>
      <w:r w:rsidR="0050308C">
        <w:rPr>
          <w:color w:val="000000"/>
        </w:rPr>
        <w:t xml:space="preserve"> </w:t>
      </w:r>
      <w:r w:rsidRPr="007A386E">
        <w:rPr>
          <w:color w:val="000000"/>
        </w:rPr>
        <w:t>an increased risk of significant business disruptions associated with cyber events and</w:t>
      </w:r>
      <w:r w:rsidR="0050308C">
        <w:rPr>
          <w:color w:val="000000"/>
        </w:rPr>
        <w:t xml:space="preserve"> </w:t>
      </w:r>
      <w:r w:rsidRPr="007A386E">
        <w:rPr>
          <w:color w:val="000000"/>
        </w:rPr>
        <w:t>technology-related disruptions.</w:t>
      </w:r>
      <w:r w:rsidR="0050308C">
        <w:rPr>
          <w:color w:val="000000"/>
        </w:rPr>
        <w:t xml:space="preserve"> </w:t>
      </w:r>
      <w:r w:rsidRPr="007A386E">
        <w:rPr>
          <w:color w:val="000000"/>
        </w:rPr>
        <w:t xml:space="preserve">Each member firm has flexibility to tailor the </w:t>
      </w:r>
      <w:r w:rsidR="003159A8">
        <w:rPr>
          <w:color w:val="000000"/>
        </w:rPr>
        <w:t>BCP</w:t>
      </w:r>
      <w:r w:rsidRPr="007A386E">
        <w:rPr>
          <w:color w:val="000000"/>
        </w:rPr>
        <w:t xml:space="preserve"> to the size and needs</w:t>
      </w:r>
      <w:r w:rsidR="0050308C">
        <w:rPr>
          <w:color w:val="000000"/>
        </w:rPr>
        <w:t xml:space="preserve"> </w:t>
      </w:r>
      <w:r w:rsidRPr="007A386E">
        <w:rPr>
          <w:color w:val="000000"/>
        </w:rPr>
        <w:t xml:space="preserve">of its business, provided that the plan addresses the enumerated minimum elements </w:t>
      </w:r>
      <w:r w:rsidR="00591DD3">
        <w:rPr>
          <w:color w:val="000000"/>
        </w:rPr>
        <w:t xml:space="preserve">described below </w:t>
      </w:r>
      <w:r w:rsidRPr="007A386E">
        <w:rPr>
          <w:color w:val="000000"/>
        </w:rPr>
        <w:t>to</w:t>
      </w:r>
      <w:r w:rsidR="0050308C">
        <w:rPr>
          <w:color w:val="000000"/>
        </w:rPr>
        <w:t xml:space="preserve"> </w:t>
      </w:r>
      <w:r w:rsidRPr="007A386E">
        <w:rPr>
          <w:color w:val="000000"/>
        </w:rPr>
        <w:t xml:space="preserve">the extent applicable and necessary to the firm. </w:t>
      </w:r>
    </w:p>
    <w:p w14:paraId="4EA3E9C3" w14:textId="77777777" w:rsidR="00591DD3" w:rsidRDefault="00591DD3" w:rsidP="007A386E">
      <w:pPr>
        <w:pStyle w:val="BodyText3"/>
        <w:rPr>
          <w:color w:val="000000"/>
        </w:rPr>
      </w:pPr>
    </w:p>
    <w:p w14:paraId="1DA56E35" w14:textId="233DD04E" w:rsidR="007A386E" w:rsidRDefault="00591DD3" w:rsidP="007A386E">
      <w:pPr>
        <w:pStyle w:val="BodyText3"/>
        <w:rPr>
          <w:color w:val="000000"/>
        </w:rPr>
      </w:pPr>
      <w:r w:rsidRPr="00591DD3">
        <w:rPr>
          <w:color w:val="000000"/>
        </w:rPr>
        <w:t xml:space="preserve">In addition, Rule 4370 requires each member firm to provide (and promptly update upon any material change) to FINRA prescribed emergency contact information for the member firm. </w:t>
      </w:r>
      <w:r>
        <w:rPr>
          <w:color w:val="000000"/>
        </w:rPr>
        <w:t xml:space="preserve"> </w:t>
      </w:r>
      <w:r w:rsidR="007A386E" w:rsidRPr="007A386E">
        <w:rPr>
          <w:color w:val="000000"/>
        </w:rPr>
        <w:t>The rule also requires each member firm</w:t>
      </w:r>
      <w:r w:rsidR="0050308C">
        <w:rPr>
          <w:color w:val="000000"/>
        </w:rPr>
        <w:t xml:space="preserve"> </w:t>
      </w:r>
      <w:r w:rsidR="007A386E" w:rsidRPr="007A386E">
        <w:rPr>
          <w:color w:val="000000"/>
        </w:rPr>
        <w:t>to disclose (at a minimum, in writing at account opening, by posting on its website, and</w:t>
      </w:r>
      <w:r w:rsidR="0050308C">
        <w:rPr>
          <w:color w:val="000000"/>
        </w:rPr>
        <w:t xml:space="preserve"> </w:t>
      </w:r>
      <w:r w:rsidR="007A386E" w:rsidRPr="007A386E">
        <w:rPr>
          <w:color w:val="000000"/>
        </w:rPr>
        <w:t xml:space="preserve">by mailing upon request) to its customers how the </w:t>
      </w:r>
      <w:r w:rsidR="003159A8">
        <w:rPr>
          <w:color w:val="000000"/>
        </w:rPr>
        <w:t>BCP</w:t>
      </w:r>
      <w:r w:rsidR="007A386E" w:rsidRPr="007A386E">
        <w:rPr>
          <w:color w:val="000000"/>
        </w:rPr>
        <w:t xml:space="preserve"> addresses the</w:t>
      </w:r>
      <w:r w:rsidR="0050308C">
        <w:rPr>
          <w:color w:val="000000"/>
        </w:rPr>
        <w:t xml:space="preserve"> </w:t>
      </w:r>
      <w:r w:rsidR="007A386E" w:rsidRPr="007A386E">
        <w:rPr>
          <w:color w:val="000000"/>
        </w:rPr>
        <w:t>possibility of a future significant business disruption and how the member firm plans to</w:t>
      </w:r>
      <w:r w:rsidR="0050308C">
        <w:rPr>
          <w:color w:val="000000"/>
        </w:rPr>
        <w:t xml:space="preserve"> </w:t>
      </w:r>
      <w:r w:rsidR="007A386E" w:rsidRPr="007A386E">
        <w:rPr>
          <w:color w:val="000000"/>
        </w:rPr>
        <w:t>respond to events of varying scope</w:t>
      </w:r>
      <w:r w:rsidR="003159A8">
        <w:rPr>
          <w:color w:val="000000"/>
        </w:rPr>
        <w:t>.</w:t>
      </w:r>
    </w:p>
    <w:p w14:paraId="6417B53F" w14:textId="77777777" w:rsidR="00C934ED" w:rsidRDefault="00C934ED" w:rsidP="009E3314">
      <w:pPr>
        <w:pStyle w:val="BodyText3"/>
        <w:rPr>
          <w:color w:val="000000"/>
        </w:rPr>
      </w:pPr>
    </w:p>
    <w:p w14:paraId="7C912AF8" w14:textId="75B1D0E1" w:rsidR="00C934ED" w:rsidRDefault="00C934ED" w:rsidP="009E3314">
      <w:pPr>
        <w:pStyle w:val="BodyText3"/>
        <w:rPr>
          <w:color w:val="000000"/>
          <w:u w:val="single"/>
        </w:rPr>
      </w:pPr>
      <w:r>
        <w:rPr>
          <w:color w:val="000000"/>
          <w:u w:val="single"/>
        </w:rPr>
        <w:t>Critical Elements</w:t>
      </w:r>
    </w:p>
    <w:p w14:paraId="41A73B5A" w14:textId="77777777" w:rsidR="006C4024" w:rsidRDefault="006C4024" w:rsidP="009E3314">
      <w:pPr>
        <w:pStyle w:val="BodyText3"/>
        <w:rPr>
          <w:color w:val="000000"/>
          <w:u w:val="single"/>
        </w:rPr>
      </w:pPr>
    </w:p>
    <w:p w14:paraId="682A5A50" w14:textId="7B3117CD" w:rsidR="00336281" w:rsidRDefault="003E1FA1" w:rsidP="009E3314">
      <w:pPr>
        <w:pStyle w:val="BodyText3"/>
        <w:rPr>
          <w:color w:val="000000"/>
        </w:rPr>
      </w:pPr>
      <w:r>
        <w:rPr>
          <w:color w:val="000000"/>
        </w:rPr>
        <w:t>At a minimum, a BCP must address</w:t>
      </w:r>
      <w:r w:rsidR="00B24B1F">
        <w:rPr>
          <w:color w:val="000000"/>
        </w:rPr>
        <w:t xml:space="preserve"> these elements, to the extent applicable and necessary</w:t>
      </w:r>
      <w:r w:rsidR="002A07A2">
        <w:rPr>
          <w:color w:val="000000"/>
        </w:rPr>
        <w:t>:</w:t>
      </w:r>
    </w:p>
    <w:p w14:paraId="3BD79065" w14:textId="77777777" w:rsidR="00117AF2" w:rsidRDefault="00117AF2" w:rsidP="009E3314">
      <w:pPr>
        <w:pStyle w:val="BodyText3"/>
        <w:rPr>
          <w:color w:val="000000"/>
        </w:rPr>
      </w:pPr>
    </w:p>
    <w:p w14:paraId="57CB4AA8"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(1) Data back-up and recovery (hard copy and electronic</w:t>
      </w:r>
      <w:proofErr w:type="gramStart"/>
      <w:r>
        <w:t>);</w:t>
      </w:r>
      <w:proofErr w:type="gramEnd"/>
    </w:p>
    <w:p w14:paraId="2CFBF250"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(2) All mission critical </w:t>
      </w:r>
      <w:proofErr w:type="gramStart"/>
      <w:r>
        <w:t>systems;</w:t>
      </w:r>
      <w:proofErr w:type="gramEnd"/>
    </w:p>
    <w:p w14:paraId="588BB463"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(3) Financial and operational </w:t>
      </w:r>
      <w:proofErr w:type="gramStart"/>
      <w:r>
        <w:t>assessments;</w:t>
      </w:r>
      <w:proofErr w:type="gramEnd"/>
    </w:p>
    <w:p w14:paraId="02942531"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(4) Alternate communications between customers and the </w:t>
      </w:r>
      <w:proofErr w:type="gramStart"/>
      <w:r>
        <w:t>member;</w:t>
      </w:r>
      <w:proofErr w:type="gramEnd"/>
    </w:p>
    <w:p w14:paraId="08637982"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(5) Alternate communications between the member and its </w:t>
      </w:r>
      <w:proofErr w:type="gramStart"/>
      <w:r>
        <w:t>employees;</w:t>
      </w:r>
      <w:proofErr w:type="gramEnd"/>
    </w:p>
    <w:p w14:paraId="6B392640"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(6) Alternate physical location of </w:t>
      </w:r>
      <w:proofErr w:type="gramStart"/>
      <w:r>
        <w:t>employees;</w:t>
      </w:r>
      <w:proofErr w:type="gramEnd"/>
    </w:p>
    <w:p w14:paraId="0A7D54AA" w14:textId="5B33D8BC"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(7) Critical business constituent, bank and </w:t>
      </w:r>
      <w:proofErr w:type="gramStart"/>
      <w:r>
        <w:t>counter-party</w:t>
      </w:r>
      <w:proofErr w:type="gramEnd"/>
      <w:r>
        <w:t xml:space="preserve"> impact; </w:t>
      </w:r>
    </w:p>
    <w:p w14:paraId="0525A5D9"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(8) Regulatory </w:t>
      </w:r>
      <w:proofErr w:type="gramStart"/>
      <w:r>
        <w:t>reporting;</w:t>
      </w:r>
      <w:proofErr w:type="gramEnd"/>
      <w:r>
        <w:t xml:space="preserve"> </w:t>
      </w:r>
    </w:p>
    <w:p w14:paraId="10583021" w14:textId="77777777" w:rsidR="00C934ED" w:rsidRDefault="00C934ED" w:rsidP="009E3314">
      <w:pPr>
        <w:pBdr>
          <w:top w:val="single" w:sz="4" w:space="1" w:color="auto"/>
          <w:left w:val="single" w:sz="4" w:space="4" w:color="auto"/>
          <w:bottom w:val="single" w:sz="4" w:space="1" w:color="auto"/>
          <w:right w:val="single" w:sz="4" w:space="4" w:color="auto"/>
        </w:pBdr>
        <w:ind w:firstLine="720"/>
        <w:jc w:val="both"/>
      </w:pPr>
      <w:r>
        <w:t xml:space="preserve">(9) Communications with regulators; and </w:t>
      </w:r>
    </w:p>
    <w:p w14:paraId="5184F2F3" w14:textId="256B1CE5" w:rsidR="00D40FAA" w:rsidRDefault="00C934ED" w:rsidP="009E3314">
      <w:pPr>
        <w:pStyle w:val="BodyTextIndent3"/>
        <w:jc w:val="left"/>
      </w:pPr>
      <w:r>
        <w:t xml:space="preserve">(10) How the </w:t>
      </w:r>
      <w:r w:rsidR="00D359DD">
        <w:t xml:space="preserve">firm </w:t>
      </w:r>
      <w:r>
        <w:t xml:space="preserve">will assure customers’ prompt access to their funds and </w:t>
      </w:r>
      <w:r w:rsidR="00591DD3">
        <w:tab/>
      </w:r>
      <w:r>
        <w:t xml:space="preserve">securities </w:t>
      </w:r>
      <w:proofErr w:type="gramStart"/>
      <w:r>
        <w:t>in the event that</w:t>
      </w:r>
      <w:proofErr w:type="gramEnd"/>
      <w:r>
        <w:t xml:space="preserve"> the member determines that it is unable to continue its </w:t>
      </w:r>
    </w:p>
    <w:p w14:paraId="74694498" w14:textId="77777777" w:rsidR="00C934ED" w:rsidRDefault="00C934ED" w:rsidP="009E3314">
      <w:pPr>
        <w:pStyle w:val="BodyTextIndent3"/>
        <w:jc w:val="left"/>
      </w:pPr>
      <w:r>
        <w:t>business.</w:t>
      </w:r>
    </w:p>
    <w:p w14:paraId="05795FC7" w14:textId="77777777" w:rsidR="00C934ED" w:rsidRDefault="00C934ED" w:rsidP="009E3314">
      <w:pPr>
        <w:pStyle w:val="BodyText3"/>
        <w:rPr>
          <w:color w:val="000000"/>
        </w:rPr>
      </w:pPr>
    </w:p>
    <w:p w14:paraId="1C5BFFC8" w14:textId="12E23E75" w:rsidR="00C934ED" w:rsidRDefault="00B24B1F" w:rsidP="009E3314">
      <w:pPr>
        <w:pStyle w:val="BodyText3"/>
        <w:rPr>
          <w:color w:val="000000"/>
        </w:rPr>
      </w:pPr>
      <w:r>
        <w:rPr>
          <w:color w:val="000000"/>
        </w:rPr>
        <w:lastRenderedPageBreak/>
        <w:t xml:space="preserve">To the extent that these categories are </w:t>
      </w:r>
      <w:r w:rsidR="000C7203">
        <w:rPr>
          <w:color w:val="000000"/>
        </w:rPr>
        <w:t xml:space="preserve">not </w:t>
      </w:r>
      <w:r>
        <w:rPr>
          <w:color w:val="000000"/>
        </w:rPr>
        <w:t xml:space="preserve">applicable, </w:t>
      </w:r>
      <w:r w:rsidR="000C7203">
        <w:rPr>
          <w:color w:val="000000"/>
        </w:rPr>
        <w:t>you</w:t>
      </w:r>
      <w:r>
        <w:rPr>
          <w:color w:val="000000"/>
        </w:rPr>
        <w:t xml:space="preserve"> must document in the BCP the rationale for </w:t>
      </w:r>
      <w:r w:rsidR="000C7203">
        <w:rPr>
          <w:color w:val="000000"/>
        </w:rPr>
        <w:t>their exclusion</w:t>
      </w:r>
      <w:r>
        <w:rPr>
          <w:color w:val="000000"/>
        </w:rPr>
        <w:t xml:space="preserve">. </w:t>
      </w:r>
      <w:r w:rsidR="00C934ED">
        <w:rPr>
          <w:color w:val="000000"/>
        </w:rPr>
        <w:t>Keep in mind that the above-listed elements are not exhaustive; you should address other key areas for your plan to be complete and thorough, based on your firm’s business and operations.</w:t>
      </w:r>
      <w:r>
        <w:rPr>
          <w:color w:val="000000"/>
        </w:rPr>
        <w:t xml:space="preserve">  </w:t>
      </w:r>
    </w:p>
    <w:p w14:paraId="10704EC3" w14:textId="77777777" w:rsidR="00AC3571" w:rsidRDefault="00AC3571" w:rsidP="00AC3571">
      <w:pPr>
        <w:pStyle w:val="BodyText3"/>
        <w:rPr>
          <w:color w:val="000000"/>
        </w:rPr>
      </w:pPr>
    </w:p>
    <w:p w14:paraId="3F8A3DAC" w14:textId="796DC2EF" w:rsidR="00AC3571" w:rsidRDefault="00AC3571" w:rsidP="00AC3571">
      <w:pPr>
        <w:pStyle w:val="BodyText3"/>
        <w:rPr>
          <w:color w:val="000000"/>
        </w:rPr>
      </w:pPr>
      <w:r>
        <w:rPr>
          <w:color w:val="000000"/>
        </w:rPr>
        <w:t xml:space="preserve">FINRA Rule 4370(c) requires that firms relying on another entity for elements of their BCP or mission-critical systems must address that relationship in their plan. This template is written for small introducing firms that use a clearing firm and includes sample language regarding the nature of that </w:t>
      </w:r>
      <w:proofErr w:type="gramStart"/>
      <w:r>
        <w:rPr>
          <w:color w:val="000000"/>
        </w:rPr>
        <w:t>particular relationship</w:t>
      </w:r>
      <w:proofErr w:type="gramEnd"/>
      <w:r>
        <w:rPr>
          <w:color w:val="000000"/>
        </w:rPr>
        <w:t>. If your firm conducts a different type of business (</w:t>
      </w:r>
      <w:r w:rsidRPr="00397E4C">
        <w:rPr>
          <w:i/>
          <w:color w:val="000000"/>
        </w:rPr>
        <w:t>e.g</w:t>
      </w:r>
      <w:r>
        <w:rPr>
          <w:color w:val="000000"/>
        </w:rPr>
        <w:t xml:space="preserve">., </w:t>
      </w:r>
      <w:r w:rsidR="00710A74" w:rsidRPr="00710A74">
        <w:rPr>
          <w:color w:val="000000"/>
        </w:rPr>
        <w:t>conducts only a “direct application” business involving mutual funds and variable insurance products held directly at the issuer</w:t>
      </w:r>
      <w:r>
        <w:rPr>
          <w:color w:val="000000"/>
        </w:rPr>
        <w:t xml:space="preserve">), you must modify the template to describe the entities you rely on and the nature of those relationships.  </w:t>
      </w:r>
    </w:p>
    <w:p w14:paraId="356CB71E" w14:textId="77777777" w:rsidR="00C934ED" w:rsidRDefault="00C934ED" w:rsidP="009E3314">
      <w:pPr>
        <w:pStyle w:val="BodyText3"/>
        <w:rPr>
          <w:color w:val="000000"/>
        </w:rPr>
      </w:pPr>
    </w:p>
    <w:p w14:paraId="26B9C641" w14:textId="77777777" w:rsidR="00C934ED" w:rsidRDefault="00C934ED" w:rsidP="009E3314">
      <w:pPr>
        <w:pBdr>
          <w:top w:val="single" w:sz="4" w:space="1" w:color="auto"/>
          <w:left w:val="single" w:sz="4" w:space="4" w:color="auto"/>
          <w:bottom w:val="single" w:sz="4" w:space="1" w:color="auto"/>
          <w:right w:val="single" w:sz="4" w:space="4" w:color="auto"/>
        </w:pBdr>
      </w:pPr>
      <w:r>
        <w:rPr>
          <w:i/>
          <w:iCs/>
          <w:color w:val="000000"/>
          <w:u w:val="single"/>
        </w:rPr>
        <w:t>TEXT EXAMPLE</w:t>
      </w:r>
      <w:r>
        <w:rPr>
          <w:color w:val="000000"/>
          <w:u w:val="single"/>
        </w:rPr>
        <w:t>S</w:t>
      </w:r>
      <w:r>
        <w:rPr>
          <w:i/>
          <w:iCs/>
          <w:color w:val="000000"/>
        </w:rPr>
        <w:t xml:space="preserve"> </w:t>
      </w:r>
      <w:r>
        <w:rPr>
          <w:color w:val="000000"/>
        </w:rPr>
        <w:t xml:space="preserve">are provided to give you sample language that you can modify to create your firm’s plan.  </w:t>
      </w:r>
    </w:p>
    <w:p w14:paraId="3FF7629C" w14:textId="77777777" w:rsidR="00C934ED" w:rsidRDefault="00C934ED" w:rsidP="009E3314">
      <w:pPr>
        <w:pBdr>
          <w:top w:val="single" w:sz="4" w:space="1" w:color="auto"/>
          <w:left w:val="single" w:sz="4" w:space="4" w:color="auto"/>
          <w:bottom w:val="single" w:sz="4" w:space="1" w:color="auto"/>
          <w:right w:val="single" w:sz="4" w:space="4" w:color="auto"/>
        </w:pBdr>
      </w:pPr>
    </w:p>
    <w:p w14:paraId="108EE0F4" w14:textId="77777777" w:rsidR="00C934ED" w:rsidRDefault="00397E4C" w:rsidP="009E3314">
      <w:pPr>
        <w:pBdr>
          <w:top w:val="single" w:sz="4" w:space="1" w:color="auto"/>
          <w:left w:val="single" w:sz="4" w:space="4" w:color="auto"/>
          <w:bottom w:val="single" w:sz="4" w:space="1" w:color="auto"/>
          <w:right w:val="single" w:sz="4" w:space="4" w:color="auto"/>
        </w:pBdr>
      </w:pPr>
      <w:r w:rsidRPr="00397E4C">
        <w:t>Material in</w:t>
      </w:r>
      <w:r w:rsidRPr="00397E4C">
        <w:rPr>
          <w:i/>
        </w:rPr>
        <w:t xml:space="preserve"> </w:t>
      </w:r>
      <w:r w:rsidRPr="00397E4C">
        <w:rPr>
          <w:i/>
          <w:iCs/>
        </w:rPr>
        <w:t>italics</w:t>
      </w:r>
      <w:r w:rsidR="00C934ED">
        <w:t xml:space="preserve"> provides instructions</w:t>
      </w:r>
      <w:r w:rsidR="00917497">
        <w:t xml:space="preserve">, </w:t>
      </w:r>
      <w:r w:rsidR="00F81419">
        <w:t>citations to</w:t>
      </w:r>
      <w:r w:rsidR="00C934ED">
        <w:t xml:space="preserve"> relevant rules and other resources that you can use to develop your firm’s plan.  </w:t>
      </w:r>
    </w:p>
    <w:p w14:paraId="5458A1CB" w14:textId="77777777" w:rsidR="00C934ED" w:rsidRDefault="00C934ED" w:rsidP="009E3314">
      <w:pPr>
        <w:pBdr>
          <w:top w:val="single" w:sz="4" w:space="1" w:color="auto"/>
          <w:left w:val="single" w:sz="4" w:space="4" w:color="auto"/>
          <w:bottom w:val="single" w:sz="4" w:space="1" w:color="auto"/>
          <w:right w:val="single" w:sz="4" w:space="4" w:color="auto"/>
        </w:pBdr>
      </w:pPr>
    </w:p>
    <w:p w14:paraId="2E72BBD2" w14:textId="1CD34CA1" w:rsidR="00C934ED" w:rsidRDefault="00AC3571" w:rsidP="009E3314">
      <w:pPr>
        <w:pBdr>
          <w:top w:val="single" w:sz="4" w:space="1" w:color="auto"/>
          <w:left w:val="single" w:sz="4" w:space="4" w:color="auto"/>
          <w:bottom w:val="single" w:sz="4" w:space="1" w:color="auto"/>
          <w:right w:val="single" w:sz="4" w:space="4" w:color="auto"/>
        </w:pBdr>
      </w:pPr>
      <w:r>
        <w:t xml:space="preserve">For additional information, FINRA’s dedicated </w:t>
      </w:r>
      <w:hyperlink r:id="rId11" w:history="1">
        <w:r w:rsidRPr="00AC3571">
          <w:rPr>
            <w:rStyle w:val="Hyperlink"/>
          </w:rPr>
          <w:t xml:space="preserve">BCP </w:t>
        </w:r>
        <w:r w:rsidR="002D2356">
          <w:rPr>
            <w:rStyle w:val="Hyperlink"/>
          </w:rPr>
          <w:t>Topic</w:t>
        </w:r>
      </w:hyperlink>
      <w:r w:rsidR="002D2356">
        <w:t xml:space="preserve"> Page</w:t>
      </w:r>
      <w:r>
        <w:t xml:space="preserve"> summarizes the requirements of FINRA Rule 4370 and provides other information to aid firms</w:t>
      </w:r>
      <w:r w:rsidR="00F81419">
        <w:t xml:space="preserve">. </w:t>
      </w:r>
      <w:r w:rsidR="00F44683">
        <w:t xml:space="preserve">Guidance and temporary regulatory relief related to business continuity planning during the COVID-19 pandemic is available on FINRA’s dedicated </w:t>
      </w:r>
      <w:hyperlink r:id="rId12" w:history="1">
        <w:r w:rsidR="00F44683" w:rsidRPr="00F44683">
          <w:rPr>
            <w:rStyle w:val="Hyperlink"/>
          </w:rPr>
          <w:t xml:space="preserve">COVID-19 </w:t>
        </w:r>
        <w:r w:rsidR="00FD1C2E">
          <w:rPr>
            <w:rStyle w:val="Hyperlink"/>
          </w:rPr>
          <w:t>Topic</w:t>
        </w:r>
      </w:hyperlink>
      <w:r w:rsidR="00FD1C2E">
        <w:t xml:space="preserve"> Page</w:t>
      </w:r>
      <w:r w:rsidR="00F44683">
        <w:t xml:space="preserve">. </w:t>
      </w:r>
      <w:r w:rsidR="004F4897">
        <w:t>Firms relying on third</w:t>
      </w:r>
      <w:r w:rsidR="00A3107E">
        <w:t>-</w:t>
      </w:r>
      <w:r w:rsidR="004F4897">
        <w:t xml:space="preserve">party providers to provide services in connection with their BCPs should review </w:t>
      </w:r>
      <w:r w:rsidR="00397E4C" w:rsidRPr="00397E4C">
        <w:rPr>
          <w:i/>
        </w:rPr>
        <w:t xml:space="preserve">Notice to Members </w:t>
      </w:r>
      <w:hyperlink r:id="rId13" w:history="1">
        <w:r w:rsidR="00397E4C" w:rsidRPr="00397E4C">
          <w:rPr>
            <w:rStyle w:val="Hyperlink"/>
            <w:i/>
          </w:rPr>
          <w:t>05-48</w:t>
        </w:r>
      </w:hyperlink>
      <w:r w:rsidR="004F4897">
        <w:t xml:space="preserve"> (July 2005)</w:t>
      </w:r>
      <w:r w:rsidR="00DF6044">
        <w:t xml:space="preserve"> and </w:t>
      </w:r>
      <w:r w:rsidR="00DF6044" w:rsidRPr="00DF6044">
        <w:rPr>
          <w:i/>
          <w:iCs/>
        </w:rPr>
        <w:t>Regulatory Notice</w:t>
      </w:r>
      <w:r w:rsidR="00DF6044" w:rsidRPr="00DF6044">
        <w:t xml:space="preserve"> </w:t>
      </w:r>
      <w:hyperlink r:id="rId14" w:history="1">
        <w:r w:rsidR="00DF6044" w:rsidRPr="00DF6044">
          <w:rPr>
            <w:rStyle w:val="Hyperlink"/>
          </w:rPr>
          <w:t>21-29</w:t>
        </w:r>
      </w:hyperlink>
      <w:r w:rsidR="00DF6044">
        <w:t xml:space="preserve"> (August 2021)</w:t>
      </w:r>
      <w:r w:rsidR="004F4897">
        <w:t xml:space="preserve">. </w:t>
      </w:r>
    </w:p>
    <w:p w14:paraId="029C29E8" w14:textId="77777777" w:rsidR="00C934ED" w:rsidRDefault="00C934ED">
      <w:pPr>
        <w:pStyle w:val="BodyTextIndent2"/>
        <w:spacing w:line="240" w:lineRule="auto"/>
        <w:ind w:left="0" w:firstLine="0"/>
        <w:jc w:val="both"/>
        <w:rPr>
          <w:u w:val="none"/>
        </w:rPr>
      </w:pPr>
    </w:p>
    <w:p w14:paraId="3C0048C0" w14:textId="77777777" w:rsidR="00C934ED" w:rsidRDefault="00C934ED" w:rsidP="00BC00C8">
      <w:pPr>
        <w:pStyle w:val="Heading1"/>
        <w:tabs>
          <w:tab w:val="clear" w:pos="360"/>
        </w:tabs>
        <w:ind w:left="720" w:hanging="720"/>
      </w:pPr>
      <w:r>
        <w:t>Emergency Contact Persons</w:t>
      </w:r>
    </w:p>
    <w:p w14:paraId="31C2892B" w14:textId="77777777" w:rsidR="00855408" w:rsidRDefault="00C934ED">
      <w:pPr>
        <w:pStyle w:val="BodyText2"/>
        <w:rPr>
          <w:bCs w:val="0"/>
        </w:rPr>
      </w:pPr>
      <w:r>
        <w:rPr>
          <w:bCs w:val="0"/>
        </w:rPr>
        <w:t>Identify your firm’s two emergency contact persons.</w:t>
      </w:r>
      <w:r w:rsidR="000C2314">
        <w:rPr>
          <w:bCs w:val="0"/>
        </w:rPr>
        <w:t xml:space="preserve"> </w:t>
      </w:r>
      <w:r w:rsidR="00247C38">
        <w:rPr>
          <w:bCs w:val="0"/>
        </w:rPr>
        <w:t xml:space="preserve">Your firm must identify its emergency contact persons through the </w:t>
      </w:r>
      <w:hyperlink r:id="rId15" w:history="1">
        <w:r w:rsidR="00247C38" w:rsidRPr="00D65005">
          <w:rPr>
            <w:rStyle w:val="Hyperlink"/>
            <w:bCs w:val="0"/>
          </w:rPr>
          <w:t>FINRA Contact System</w:t>
        </w:r>
      </w:hyperlink>
      <w:r w:rsidR="00247C38">
        <w:rPr>
          <w:bCs w:val="0"/>
        </w:rPr>
        <w:t xml:space="preserve"> (FCS</w:t>
      </w:r>
      <w:r w:rsidR="00A042A7">
        <w:rPr>
          <w:bCs w:val="0"/>
        </w:rPr>
        <w:t>)</w:t>
      </w:r>
      <w:r w:rsidR="001C6804">
        <w:rPr>
          <w:bCs w:val="0"/>
        </w:rPr>
        <w:t>.</w:t>
      </w:r>
      <w:r w:rsidR="000C2314">
        <w:rPr>
          <w:bCs w:val="0"/>
        </w:rPr>
        <w:t xml:space="preserve"> </w:t>
      </w:r>
      <w:r w:rsidR="001C6804">
        <w:rPr>
          <w:bCs w:val="0"/>
        </w:rPr>
        <w:t xml:space="preserve">In addition, your firm must use FCS to </w:t>
      </w:r>
      <w:r w:rsidR="00DA2FA4">
        <w:rPr>
          <w:bCs w:val="0"/>
        </w:rPr>
        <w:t>update</w:t>
      </w:r>
      <w:r w:rsidR="00096CBE">
        <w:rPr>
          <w:bCs w:val="0"/>
        </w:rPr>
        <w:t xml:space="preserve"> </w:t>
      </w:r>
      <w:r w:rsidR="001C6804">
        <w:rPr>
          <w:bCs w:val="0"/>
        </w:rPr>
        <w:t xml:space="preserve">the contact information </w:t>
      </w:r>
      <w:r w:rsidR="00096CBE">
        <w:rPr>
          <w:bCs w:val="0"/>
        </w:rPr>
        <w:t xml:space="preserve">promptly </w:t>
      </w:r>
      <w:r w:rsidR="001C6804">
        <w:rPr>
          <w:bCs w:val="0"/>
        </w:rPr>
        <w:t>(but no later than</w:t>
      </w:r>
      <w:r w:rsidR="00DA2FA4">
        <w:rPr>
          <w:bCs w:val="0"/>
        </w:rPr>
        <w:t xml:space="preserve"> </w:t>
      </w:r>
      <w:r w:rsidR="00A042A7">
        <w:rPr>
          <w:bCs w:val="0"/>
        </w:rPr>
        <w:t xml:space="preserve">30 days </w:t>
      </w:r>
      <w:r w:rsidR="001C6804">
        <w:rPr>
          <w:bCs w:val="0"/>
        </w:rPr>
        <w:t>following any change in the information)</w:t>
      </w:r>
      <w:r w:rsidR="00A042A7">
        <w:rPr>
          <w:bCs w:val="0"/>
        </w:rPr>
        <w:t xml:space="preserve"> and annually review</w:t>
      </w:r>
      <w:r w:rsidR="00D47618">
        <w:rPr>
          <w:bCs w:val="0"/>
        </w:rPr>
        <w:t xml:space="preserve"> </w:t>
      </w:r>
      <w:r w:rsidR="008C37B6">
        <w:rPr>
          <w:bCs w:val="0"/>
        </w:rPr>
        <w:t>and update</w:t>
      </w:r>
      <w:r w:rsidR="00D47618">
        <w:rPr>
          <w:bCs w:val="0"/>
        </w:rPr>
        <w:t>,</w:t>
      </w:r>
      <w:r w:rsidR="008C37B6">
        <w:rPr>
          <w:bCs w:val="0"/>
        </w:rPr>
        <w:t xml:space="preserve"> if necessary,</w:t>
      </w:r>
      <w:r w:rsidR="00A042A7">
        <w:rPr>
          <w:bCs w:val="0"/>
        </w:rPr>
        <w:t xml:space="preserve"> the </w:t>
      </w:r>
      <w:r w:rsidR="001C6804">
        <w:rPr>
          <w:bCs w:val="0"/>
        </w:rPr>
        <w:t xml:space="preserve">information </w:t>
      </w:r>
      <w:r w:rsidR="00A042A7">
        <w:rPr>
          <w:bCs w:val="0"/>
        </w:rPr>
        <w:t xml:space="preserve">within </w:t>
      </w:r>
      <w:r w:rsidR="00DA2FA4">
        <w:rPr>
          <w:bCs w:val="0"/>
        </w:rPr>
        <w:t>17 business days after the end of each calendar year</w:t>
      </w:r>
      <w:r w:rsidR="00BD2222">
        <w:rPr>
          <w:bCs w:val="0"/>
        </w:rPr>
        <w:t>.</w:t>
      </w:r>
    </w:p>
    <w:p w14:paraId="37DF3FE4" w14:textId="60798A7B" w:rsidR="00855408" w:rsidRDefault="000C2314">
      <w:pPr>
        <w:pStyle w:val="BodyText2"/>
        <w:rPr>
          <w:bCs w:val="0"/>
        </w:rPr>
      </w:pPr>
      <w:r>
        <w:rPr>
          <w:bCs w:val="0"/>
        </w:rPr>
        <w:t xml:space="preserve"> </w:t>
      </w:r>
    </w:p>
    <w:p w14:paraId="19F61D12" w14:textId="77777777" w:rsidR="00855408" w:rsidRDefault="00C934ED" w:rsidP="00710A74">
      <w:pPr>
        <w:pStyle w:val="BodyText2"/>
        <w:numPr>
          <w:ilvl w:val="0"/>
          <w:numId w:val="3"/>
        </w:numPr>
        <w:rPr>
          <w:bCs w:val="0"/>
        </w:rPr>
      </w:pPr>
      <w:r>
        <w:rPr>
          <w:bCs w:val="0"/>
        </w:rPr>
        <w:t>Each emergency contact person must be a</w:t>
      </w:r>
      <w:r w:rsidR="00DA2FA4">
        <w:rPr>
          <w:bCs w:val="0"/>
        </w:rPr>
        <w:t>n associated person of the firm, and at least one emergency contact person must be a member of senior management and a registered principal of the firm.</w:t>
      </w:r>
      <w:r w:rsidR="000C2314">
        <w:rPr>
          <w:bCs w:val="0"/>
        </w:rPr>
        <w:t xml:space="preserve"> </w:t>
      </w:r>
    </w:p>
    <w:p w14:paraId="3CA54728" w14:textId="77777777" w:rsidR="00855408" w:rsidRDefault="00DA2FA4" w:rsidP="00710A74">
      <w:pPr>
        <w:pStyle w:val="BodyText2"/>
        <w:numPr>
          <w:ilvl w:val="0"/>
          <w:numId w:val="3"/>
        </w:numPr>
        <w:rPr>
          <w:bCs w:val="0"/>
        </w:rPr>
      </w:pPr>
      <w:r>
        <w:rPr>
          <w:bCs w:val="0"/>
        </w:rPr>
        <w:t xml:space="preserve">If </w:t>
      </w:r>
      <w:r w:rsidR="004F53AF">
        <w:rPr>
          <w:bCs w:val="0"/>
        </w:rPr>
        <w:t xml:space="preserve">your firm designates a second emergency contact person who is not a registered principal of </w:t>
      </w:r>
      <w:r w:rsidR="00A042A7">
        <w:rPr>
          <w:bCs w:val="0"/>
        </w:rPr>
        <w:t>your</w:t>
      </w:r>
      <w:r w:rsidR="004F53AF">
        <w:rPr>
          <w:bCs w:val="0"/>
        </w:rPr>
        <w:t xml:space="preserve"> firm, then</w:t>
      </w:r>
      <w:r w:rsidR="008C37B6">
        <w:rPr>
          <w:bCs w:val="0"/>
        </w:rPr>
        <w:t xml:space="preserve"> </w:t>
      </w:r>
      <w:r w:rsidR="00A042A7">
        <w:rPr>
          <w:bCs w:val="0"/>
        </w:rPr>
        <w:t>that</w:t>
      </w:r>
      <w:r w:rsidR="004F53AF">
        <w:rPr>
          <w:bCs w:val="0"/>
        </w:rPr>
        <w:t xml:space="preserve"> contact person must be a member of senior management who has knowledge of the firm’s business operations.</w:t>
      </w:r>
      <w:r w:rsidR="000C2314">
        <w:rPr>
          <w:bCs w:val="0"/>
        </w:rPr>
        <w:t xml:space="preserve"> </w:t>
      </w:r>
    </w:p>
    <w:p w14:paraId="71F3D2AE" w14:textId="0D92326D" w:rsidR="00C934ED" w:rsidRDefault="00C934ED" w:rsidP="00710A74">
      <w:pPr>
        <w:pStyle w:val="BodyText2"/>
        <w:numPr>
          <w:ilvl w:val="0"/>
          <w:numId w:val="3"/>
        </w:numPr>
        <w:rPr>
          <w:bCs w:val="0"/>
        </w:rPr>
      </w:pPr>
      <w:r>
        <w:rPr>
          <w:bCs w:val="0"/>
        </w:rPr>
        <w:t xml:space="preserve">If your firm </w:t>
      </w:r>
      <w:r w:rsidR="004F53AF">
        <w:rPr>
          <w:bCs w:val="0"/>
        </w:rPr>
        <w:t>has only one associated person</w:t>
      </w:r>
      <w:r w:rsidR="008C37B6">
        <w:rPr>
          <w:bCs w:val="0"/>
        </w:rPr>
        <w:t>,</w:t>
      </w:r>
      <w:r>
        <w:rPr>
          <w:bCs w:val="0"/>
        </w:rPr>
        <w:t xml:space="preserve"> the second emergency contact </w:t>
      </w:r>
      <w:r w:rsidR="00D47618">
        <w:rPr>
          <w:bCs w:val="0"/>
        </w:rPr>
        <w:t>must</w:t>
      </w:r>
      <w:r>
        <w:rPr>
          <w:bCs w:val="0"/>
        </w:rPr>
        <w:t xml:space="preserve"> be an individual, either registered with another firm or non-registered, who has knowledge of your firm’s business operations</w:t>
      </w:r>
      <w:r w:rsidR="005E51A9">
        <w:rPr>
          <w:bCs w:val="0"/>
        </w:rPr>
        <w:t xml:space="preserve"> (e.g., </w:t>
      </w:r>
      <w:r>
        <w:rPr>
          <w:bCs w:val="0"/>
        </w:rPr>
        <w:t>your firm’s attorney, accountant or clearing firm contact person</w:t>
      </w:r>
      <w:r w:rsidR="005E51A9">
        <w:rPr>
          <w:bCs w:val="0"/>
        </w:rPr>
        <w:t>)</w:t>
      </w:r>
      <w:r>
        <w:rPr>
          <w:bCs w:val="0"/>
        </w:rPr>
        <w:t xml:space="preserve">.  </w:t>
      </w:r>
    </w:p>
    <w:p w14:paraId="31E64164" w14:textId="77777777" w:rsidR="00C934ED" w:rsidRDefault="00C934ED">
      <w:pPr>
        <w:pStyle w:val="BodyText2"/>
        <w:rPr>
          <w:bCs w:val="0"/>
        </w:rPr>
      </w:pPr>
    </w:p>
    <w:p w14:paraId="69676D9F" w14:textId="401B5153" w:rsidR="00C934ED" w:rsidRDefault="00C934ED">
      <w:r>
        <w:rPr>
          <w:i/>
          <w:iCs/>
        </w:rPr>
        <w:lastRenderedPageBreak/>
        <w:t>TEXT EXAMPLE:</w:t>
      </w:r>
      <w:r w:rsidR="000C2314">
        <w:rPr>
          <w:i/>
          <w:iCs/>
        </w:rPr>
        <w:t xml:space="preserve"> </w:t>
      </w:r>
      <w:r>
        <w:t>Our firm’s two emergency contact persons are:</w:t>
      </w:r>
    </w:p>
    <w:p w14:paraId="42597DB3" w14:textId="08E17B53" w:rsidR="00F44683" w:rsidRDefault="00F44683"/>
    <w:tbl>
      <w:tblPr>
        <w:tblStyle w:val="TableGrid"/>
        <w:tblW w:w="0" w:type="auto"/>
        <w:tblInd w:w="0" w:type="dxa"/>
        <w:tblLook w:val="04A0" w:firstRow="1" w:lastRow="0" w:firstColumn="1" w:lastColumn="0" w:noHBand="0" w:noVBand="1"/>
      </w:tblPr>
      <w:tblGrid>
        <w:gridCol w:w="1441"/>
        <w:gridCol w:w="1631"/>
        <w:gridCol w:w="1534"/>
        <w:gridCol w:w="1479"/>
        <w:gridCol w:w="1404"/>
        <w:gridCol w:w="1141"/>
      </w:tblGrid>
      <w:tr w:rsidR="009711AE" w14:paraId="0F5F6936" w14:textId="0FD32893" w:rsidTr="00710A74">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40928E5" w14:textId="77777777" w:rsidR="009711AE" w:rsidRPr="00710A74" w:rsidRDefault="009711AE" w:rsidP="00C872C4">
            <w:pPr>
              <w:rPr>
                <w:b/>
              </w:rPr>
            </w:pPr>
            <w:r w:rsidRPr="00710A74">
              <w:rPr>
                <w:b/>
              </w:rPr>
              <w:t>Name</w:t>
            </w:r>
          </w:p>
        </w:tc>
        <w:tc>
          <w:tcPr>
            <w:tcW w:w="16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E728DDE" w14:textId="0EF655FA" w:rsidR="009711AE" w:rsidRPr="00710A74" w:rsidRDefault="009711AE" w:rsidP="00F44683">
            <w:pPr>
              <w:rPr>
                <w:b/>
              </w:rPr>
            </w:pPr>
            <w:r w:rsidRPr="00710A74">
              <w:rPr>
                <w:b/>
              </w:rPr>
              <w:t>Title or Relationship to Firm</w:t>
            </w:r>
            <w:r>
              <w:rPr>
                <w:rStyle w:val="FootnoteReference"/>
                <w:b/>
              </w:rPr>
              <w:footnoteReference w:id="1"/>
            </w:r>
          </w:p>
        </w:tc>
        <w:tc>
          <w:tcPr>
            <w:tcW w:w="15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4BB94BB9" w14:textId="08A7EE9F" w:rsidR="009711AE" w:rsidRPr="00710A74" w:rsidRDefault="009711AE" w:rsidP="00C872C4">
            <w:pPr>
              <w:rPr>
                <w:b/>
              </w:rPr>
            </w:pPr>
            <w:r w:rsidRPr="00710A74">
              <w:rPr>
                <w:b/>
              </w:rPr>
              <w:t>Mailing Address</w:t>
            </w:r>
          </w:p>
        </w:tc>
        <w:tc>
          <w:tcPr>
            <w:tcW w:w="14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E9ADC63" w14:textId="6CF967BC" w:rsidR="009711AE" w:rsidRPr="00710A74" w:rsidRDefault="009711AE" w:rsidP="00C872C4">
            <w:pPr>
              <w:rPr>
                <w:b/>
              </w:rPr>
            </w:pPr>
            <w:r w:rsidRPr="00710A74">
              <w:rPr>
                <w:b/>
              </w:rPr>
              <w:t xml:space="preserve">Email Address </w:t>
            </w:r>
          </w:p>
        </w:tc>
        <w:tc>
          <w:tcPr>
            <w:tcW w:w="14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605962F" w14:textId="7A5C5D56" w:rsidR="009711AE" w:rsidRPr="00710A74" w:rsidRDefault="009711AE" w:rsidP="00C872C4">
            <w:pPr>
              <w:rPr>
                <w:b/>
              </w:rPr>
            </w:pPr>
            <w:r w:rsidRPr="00710A74">
              <w:rPr>
                <w:b/>
              </w:rPr>
              <w:t>Phone Number</w:t>
            </w:r>
          </w:p>
        </w:tc>
        <w:tc>
          <w:tcPr>
            <w:tcW w:w="11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2C84859" w14:textId="633D6CE3" w:rsidR="009711AE" w:rsidRPr="00710A74" w:rsidRDefault="009711AE" w:rsidP="00C872C4">
            <w:pPr>
              <w:rPr>
                <w:b/>
              </w:rPr>
            </w:pPr>
            <w:r w:rsidRPr="00710A74">
              <w:rPr>
                <w:b/>
              </w:rPr>
              <w:t>Fax Number</w:t>
            </w:r>
          </w:p>
        </w:tc>
      </w:tr>
      <w:tr w:rsidR="009711AE" w14:paraId="6AE2DE38" w14:textId="488C59F8" w:rsidTr="00710A74">
        <w:tc>
          <w:tcPr>
            <w:tcW w:w="1441" w:type="dxa"/>
            <w:tcBorders>
              <w:top w:val="single" w:sz="4" w:space="0" w:color="auto"/>
              <w:left w:val="single" w:sz="4" w:space="0" w:color="auto"/>
              <w:bottom w:val="single" w:sz="4" w:space="0" w:color="auto"/>
              <w:right w:val="single" w:sz="4" w:space="0" w:color="auto"/>
            </w:tcBorders>
          </w:tcPr>
          <w:p w14:paraId="5A53F1D1" w14:textId="77777777" w:rsidR="009711AE" w:rsidRDefault="009711AE" w:rsidP="00C872C4"/>
        </w:tc>
        <w:tc>
          <w:tcPr>
            <w:tcW w:w="1631" w:type="dxa"/>
            <w:tcBorders>
              <w:top w:val="single" w:sz="4" w:space="0" w:color="auto"/>
              <w:left w:val="single" w:sz="4" w:space="0" w:color="auto"/>
              <w:bottom w:val="single" w:sz="4" w:space="0" w:color="auto"/>
              <w:right w:val="single" w:sz="4" w:space="0" w:color="auto"/>
            </w:tcBorders>
          </w:tcPr>
          <w:p w14:paraId="6170B76A" w14:textId="77777777" w:rsidR="009711AE" w:rsidRDefault="009711AE" w:rsidP="00C872C4"/>
        </w:tc>
        <w:tc>
          <w:tcPr>
            <w:tcW w:w="1534" w:type="dxa"/>
            <w:tcBorders>
              <w:top w:val="single" w:sz="4" w:space="0" w:color="auto"/>
              <w:left w:val="single" w:sz="4" w:space="0" w:color="auto"/>
              <w:bottom w:val="single" w:sz="4" w:space="0" w:color="auto"/>
              <w:right w:val="single" w:sz="4" w:space="0" w:color="auto"/>
            </w:tcBorders>
          </w:tcPr>
          <w:p w14:paraId="3C394B34" w14:textId="77777777" w:rsidR="009711AE" w:rsidRDefault="009711AE" w:rsidP="00C872C4"/>
        </w:tc>
        <w:tc>
          <w:tcPr>
            <w:tcW w:w="1479" w:type="dxa"/>
            <w:tcBorders>
              <w:top w:val="single" w:sz="4" w:space="0" w:color="auto"/>
              <w:left w:val="single" w:sz="4" w:space="0" w:color="auto"/>
              <w:bottom w:val="single" w:sz="4" w:space="0" w:color="auto"/>
              <w:right w:val="single" w:sz="4" w:space="0" w:color="auto"/>
            </w:tcBorders>
          </w:tcPr>
          <w:p w14:paraId="7D06E0BB" w14:textId="77777777" w:rsidR="009711AE" w:rsidRDefault="009711AE" w:rsidP="00C872C4"/>
        </w:tc>
        <w:tc>
          <w:tcPr>
            <w:tcW w:w="1404" w:type="dxa"/>
            <w:tcBorders>
              <w:top w:val="single" w:sz="4" w:space="0" w:color="auto"/>
              <w:left w:val="single" w:sz="4" w:space="0" w:color="auto"/>
              <w:bottom w:val="single" w:sz="4" w:space="0" w:color="auto"/>
              <w:right w:val="single" w:sz="4" w:space="0" w:color="auto"/>
            </w:tcBorders>
          </w:tcPr>
          <w:p w14:paraId="0BE853C8" w14:textId="77777777" w:rsidR="009711AE" w:rsidRDefault="009711AE" w:rsidP="00C872C4"/>
        </w:tc>
        <w:tc>
          <w:tcPr>
            <w:tcW w:w="1141" w:type="dxa"/>
            <w:tcBorders>
              <w:top w:val="single" w:sz="4" w:space="0" w:color="auto"/>
              <w:left w:val="single" w:sz="4" w:space="0" w:color="auto"/>
              <w:bottom w:val="single" w:sz="4" w:space="0" w:color="auto"/>
              <w:right w:val="single" w:sz="4" w:space="0" w:color="auto"/>
            </w:tcBorders>
          </w:tcPr>
          <w:p w14:paraId="4B645E8D" w14:textId="77777777" w:rsidR="009711AE" w:rsidRDefault="009711AE" w:rsidP="00C872C4"/>
        </w:tc>
      </w:tr>
      <w:tr w:rsidR="009711AE" w14:paraId="65700C29" w14:textId="648C30CB" w:rsidTr="00710A74">
        <w:tc>
          <w:tcPr>
            <w:tcW w:w="1441" w:type="dxa"/>
            <w:tcBorders>
              <w:top w:val="single" w:sz="4" w:space="0" w:color="auto"/>
              <w:left w:val="single" w:sz="4" w:space="0" w:color="auto"/>
              <w:bottom w:val="single" w:sz="4" w:space="0" w:color="auto"/>
              <w:right w:val="single" w:sz="4" w:space="0" w:color="auto"/>
            </w:tcBorders>
          </w:tcPr>
          <w:p w14:paraId="1C73FDE3" w14:textId="77777777" w:rsidR="009711AE" w:rsidRDefault="009711AE" w:rsidP="00C872C4"/>
        </w:tc>
        <w:tc>
          <w:tcPr>
            <w:tcW w:w="1631" w:type="dxa"/>
            <w:tcBorders>
              <w:top w:val="single" w:sz="4" w:space="0" w:color="auto"/>
              <w:left w:val="single" w:sz="4" w:space="0" w:color="auto"/>
              <w:bottom w:val="single" w:sz="4" w:space="0" w:color="auto"/>
              <w:right w:val="single" w:sz="4" w:space="0" w:color="auto"/>
            </w:tcBorders>
          </w:tcPr>
          <w:p w14:paraId="28DFA48A" w14:textId="77777777" w:rsidR="009711AE" w:rsidRDefault="009711AE" w:rsidP="00C872C4"/>
        </w:tc>
        <w:tc>
          <w:tcPr>
            <w:tcW w:w="1534" w:type="dxa"/>
            <w:tcBorders>
              <w:top w:val="single" w:sz="4" w:space="0" w:color="auto"/>
              <w:left w:val="single" w:sz="4" w:space="0" w:color="auto"/>
              <w:bottom w:val="single" w:sz="4" w:space="0" w:color="auto"/>
              <w:right w:val="single" w:sz="4" w:space="0" w:color="auto"/>
            </w:tcBorders>
          </w:tcPr>
          <w:p w14:paraId="26B80904" w14:textId="77777777" w:rsidR="009711AE" w:rsidRDefault="009711AE" w:rsidP="00C872C4"/>
        </w:tc>
        <w:tc>
          <w:tcPr>
            <w:tcW w:w="1479" w:type="dxa"/>
            <w:tcBorders>
              <w:top w:val="single" w:sz="4" w:space="0" w:color="auto"/>
              <w:left w:val="single" w:sz="4" w:space="0" w:color="auto"/>
              <w:bottom w:val="single" w:sz="4" w:space="0" w:color="auto"/>
              <w:right w:val="single" w:sz="4" w:space="0" w:color="auto"/>
            </w:tcBorders>
          </w:tcPr>
          <w:p w14:paraId="7D3EB1D8" w14:textId="77777777" w:rsidR="009711AE" w:rsidRDefault="009711AE" w:rsidP="00C872C4"/>
        </w:tc>
        <w:tc>
          <w:tcPr>
            <w:tcW w:w="1404" w:type="dxa"/>
            <w:tcBorders>
              <w:top w:val="single" w:sz="4" w:space="0" w:color="auto"/>
              <w:left w:val="single" w:sz="4" w:space="0" w:color="auto"/>
              <w:bottom w:val="single" w:sz="4" w:space="0" w:color="auto"/>
              <w:right w:val="single" w:sz="4" w:space="0" w:color="auto"/>
            </w:tcBorders>
          </w:tcPr>
          <w:p w14:paraId="6939B20A" w14:textId="77777777" w:rsidR="009711AE" w:rsidRDefault="009711AE" w:rsidP="00C872C4"/>
        </w:tc>
        <w:tc>
          <w:tcPr>
            <w:tcW w:w="1141" w:type="dxa"/>
            <w:tcBorders>
              <w:top w:val="single" w:sz="4" w:space="0" w:color="auto"/>
              <w:left w:val="single" w:sz="4" w:space="0" w:color="auto"/>
              <w:bottom w:val="single" w:sz="4" w:space="0" w:color="auto"/>
              <w:right w:val="single" w:sz="4" w:space="0" w:color="auto"/>
            </w:tcBorders>
          </w:tcPr>
          <w:p w14:paraId="7138D953" w14:textId="77777777" w:rsidR="009711AE" w:rsidRDefault="009711AE" w:rsidP="00C872C4"/>
        </w:tc>
      </w:tr>
    </w:tbl>
    <w:p w14:paraId="3FE553DD" w14:textId="77777777" w:rsidR="00A3107E" w:rsidRDefault="00A3107E"/>
    <w:p w14:paraId="7304FB4C" w14:textId="37E67714" w:rsidR="00F44683" w:rsidRPr="00F44683" w:rsidRDefault="004E24CE" w:rsidP="004E24CE">
      <w:pPr>
        <w:rPr>
          <w:iCs/>
        </w:rPr>
      </w:pPr>
      <w:r>
        <w:rPr>
          <w:iCs/>
        </w:rPr>
        <w:t xml:space="preserve">The firm will provide FINRA with </w:t>
      </w:r>
      <w:r w:rsidR="00E24A13">
        <w:rPr>
          <w:iCs/>
        </w:rPr>
        <w:t xml:space="preserve">the </w:t>
      </w:r>
      <w:r>
        <w:rPr>
          <w:iCs/>
        </w:rPr>
        <w:t>contact information for the two emergency contact persons: (1) name; (2) title; (3) mailing address; (4) email address; (5) phone number; and (6) facsimile number</w:t>
      </w:r>
      <w:r w:rsidR="00917497">
        <w:rPr>
          <w:iCs/>
        </w:rPr>
        <w:t xml:space="preserve"> through the </w:t>
      </w:r>
      <w:hyperlink r:id="rId16" w:history="1">
        <w:r w:rsidR="00917497" w:rsidRPr="00D65005">
          <w:rPr>
            <w:rStyle w:val="Hyperlink"/>
            <w:iCs/>
          </w:rPr>
          <w:t>FINRA Contact System</w:t>
        </w:r>
      </w:hyperlink>
      <w:r w:rsidR="00917497">
        <w:rPr>
          <w:iCs/>
        </w:rPr>
        <w:t xml:space="preserve"> (FCS)</w:t>
      </w:r>
      <w:r>
        <w:rPr>
          <w:iCs/>
        </w:rPr>
        <w:t xml:space="preserve">. </w:t>
      </w:r>
      <w:r w:rsidR="00A042A7">
        <w:rPr>
          <w:iCs/>
        </w:rPr>
        <w:t>[</w:t>
      </w:r>
      <w:r w:rsidR="005B6425" w:rsidRPr="00710A74">
        <w:rPr>
          <w:iCs/>
        </w:rPr>
        <w:t>Name</w:t>
      </w:r>
      <w:r w:rsidR="00F44683">
        <w:rPr>
          <w:iCs/>
        </w:rPr>
        <w:t xml:space="preserve"> or title</w:t>
      </w:r>
      <w:r w:rsidR="00A042A7">
        <w:rPr>
          <w:iCs/>
        </w:rPr>
        <w:t xml:space="preserve">] </w:t>
      </w:r>
      <w:r>
        <w:rPr>
          <w:iCs/>
        </w:rPr>
        <w:t xml:space="preserve">will promptly notify FINRA of any change in this information through FCS </w:t>
      </w:r>
      <w:r w:rsidR="005E51A9">
        <w:rPr>
          <w:iCs/>
        </w:rPr>
        <w:t>(but no later than</w:t>
      </w:r>
      <w:r w:rsidR="00AF032E">
        <w:rPr>
          <w:iCs/>
        </w:rPr>
        <w:t xml:space="preserve"> 30 days</w:t>
      </w:r>
      <w:r w:rsidR="005E51A9">
        <w:rPr>
          <w:iCs/>
        </w:rPr>
        <w:t xml:space="preserve"> following the change)</w:t>
      </w:r>
      <w:r w:rsidR="00AF032E">
        <w:rPr>
          <w:iCs/>
        </w:rPr>
        <w:t xml:space="preserve"> </w:t>
      </w:r>
      <w:r>
        <w:rPr>
          <w:iCs/>
        </w:rPr>
        <w:t>and will</w:t>
      </w:r>
      <w:r w:rsidR="00917497">
        <w:rPr>
          <w:iCs/>
        </w:rPr>
        <w:t xml:space="preserve"> review, and if necessary</w:t>
      </w:r>
      <w:r w:rsidR="0051563A">
        <w:rPr>
          <w:iCs/>
        </w:rPr>
        <w:t>,</w:t>
      </w:r>
      <w:r w:rsidR="00917497">
        <w:rPr>
          <w:iCs/>
        </w:rPr>
        <w:t xml:space="preserve"> update, this information within 17 business days after the end of each calendar year</w:t>
      </w:r>
      <w:r w:rsidR="005E51A9">
        <w:rPr>
          <w:iCs/>
        </w:rPr>
        <w:t>.</w:t>
      </w:r>
      <w:r w:rsidR="005E51A9" w:rsidDel="005E51A9">
        <w:rPr>
          <w:iCs/>
        </w:rPr>
        <w:t xml:space="preserve"> </w:t>
      </w:r>
      <w:r w:rsidR="00595587">
        <w:rPr>
          <w:iCs/>
        </w:rPr>
        <w:t xml:space="preserve"> </w:t>
      </w:r>
    </w:p>
    <w:p w14:paraId="338DE470" w14:textId="77777777" w:rsidR="004E24CE" w:rsidRDefault="004E24CE"/>
    <w:p w14:paraId="6581607F" w14:textId="79FDC740" w:rsidR="00C934ED" w:rsidRDefault="00C934ED">
      <w:pPr>
        <w:rPr>
          <w:i/>
        </w:rPr>
      </w:pPr>
      <w:r>
        <w:rPr>
          <w:i/>
          <w:u w:val="single"/>
        </w:rPr>
        <w:t>Rule:</w:t>
      </w:r>
      <w:r w:rsidR="000C2314">
        <w:rPr>
          <w:i/>
        </w:rPr>
        <w:t xml:space="preserve"> </w:t>
      </w:r>
      <w:r w:rsidR="00B025A0">
        <w:rPr>
          <w:i/>
        </w:rPr>
        <w:t>FINRA</w:t>
      </w:r>
      <w:r>
        <w:rPr>
          <w:i/>
        </w:rPr>
        <w:t xml:space="preserve"> Rule </w:t>
      </w:r>
      <w:r w:rsidR="00B025A0">
        <w:rPr>
          <w:i/>
        </w:rPr>
        <w:t>4370</w:t>
      </w:r>
      <w:r w:rsidR="003D3DE2">
        <w:rPr>
          <w:i/>
        </w:rPr>
        <w:t>(f)</w:t>
      </w:r>
      <w:r w:rsidR="00B025A0">
        <w:rPr>
          <w:i/>
        </w:rPr>
        <w:t xml:space="preserve">; </w:t>
      </w:r>
      <w:r w:rsidR="00DD3140" w:rsidRPr="00DD3140">
        <w:rPr>
          <w:i/>
        </w:rPr>
        <w:t>FINRA Rule 4517</w:t>
      </w:r>
      <w:r>
        <w:rPr>
          <w:i/>
        </w:rPr>
        <w:t>.</w:t>
      </w:r>
      <w:r w:rsidR="001627AD">
        <w:rPr>
          <w:i/>
        </w:rPr>
        <w:t xml:space="preserve">  See also FINRA’s Regulatory Filing Systems for the </w:t>
      </w:r>
      <w:hyperlink r:id="rId17" w:history="1">
        <w:r w:rsidR="001627AD" w:rsidRPr="001627AD">
          <w:rPr>
            <w:rStyle w:val="Hyperlink"/>
            <w:i/>
          </w:rPr>
          <w:t>FCS</w:t>
        </w:r>
      </w:hyperlink>
      <w:r w:rsidR="001627AD">
        <w:rPr>
          <w:i/>
        </w:rPr>
        <w:t>.</w:t>
      </w:r>
    </w:p>
    <w:p w14:paraId="2F5FD0BD" w14:textId="77777777" w:rsidR="00C934ED" w:rsidRDefault="00C934ED">
      <w:pPr>
        <w:rPr>
          <w:iCs/>
        </w:rPr>
      </w:pPr>
    </w:p>
    <w:p w14:paraId="09D7AC05" w14:textId="77777777" w:rsidR="00C934ED" w:rsidRDefault="00C934ED" w:rsidP="009B6391">
      <w:pPr>
        <w:pStyle w:val="Heading1"/>
        <w:tabs>
          <w:tab w:val="clear" w:pos="360"/>
        </w:tabs>
        <w:ind w:left="720" w:hanging="720"/>
      </w:pPr>
      <w:r>
        <w:t xml:space="preserve">Firm Policy </w:t>
      </w:r>
    </w:p>
    <w:p w14:paraId="31EEE8A0" w14:textId="1C28D1E9" w:rsidR="00C934ED" w:rsidRDefault="00C934ED">
      <w:pPr>
        <w:pStyle w:val="BodyText2"/>
        <w:rPr>
          <w:bCs w:val="0"/>
        </w:rPr>
      </w:pPr>
      <w:r>
        <w:rPr>
          <w:bCs w:val="0"/>
        </w:rPr>
        <w:t xml:space="preserve">State your firm’s objectives for business continuity in the </w:t>
      </w:r>
      <w:r w:rsidR="008F7A27">
        <w:rPr>
          <w:bCs w:val="0"/>
        </w:rPr>
        <w:t xml:space="preserve">event of an emergency or </w:t>
      </w:r>
      <w:r>
        <w:rPr>
          <w:bCs w:val="0"/>
        </w:rPr>
        <w:t xml:space="preserve">significant business disruption (SBD), including your firm’s obligation to </w:t>
      </w:r>
      <w:r w:rsidR="008F7A27">
        <w:rPr>
          <w:bCs w:val="0"/>
        </w:rPr>
        <w:t xml:space="preserve">assure </w:t>
      </w:r>
      <w:r>
        <w:rPr>
          <w:bCs w:val="0"/>
        </w:rPr>
        <w:t xml:space="preserve">customers access to their funds and securities in the event of a significant business disruption. This policy should be </w:t>
      </w:r>
      <w:r w:rsidR="002B3C35">
        <w:rPr>
          <w:bCs w:val="0"/>
        </w:rPr>
        <w:t>available</w:t>
      </w:r>
      <w:r w:rsidR="008F7A27">
        <w:rPr>
          <w:bCs w:val="0"/>
        </w:rPr>
        <w:t xml:space="preserve"> </w:t>
      </w:r>
      <w:r>
        <w:rPr>
          <w:bCs w:val="0"/>
        </w:rPr>
        <w:t xml:space="preserve">to all employees. State who has the authority to </w:t>
      </w:r>
      <w:r w:rsidR="004A5A67">
        <w:rPr>
          <w:bCs w:val="0"/>
        </w:rPr>
        <w:t xml:space="preserve">approve </w:t>
      </w:r>
      <w:r>
        <w:rPr>
          <w:bCs w:val="0"/>
        </w:rPr>
        <w:t>the plan</w:t>
      </w:r>
      <w:r w:rsidR="00392B3D">
        <w:rPr>
          <w:bCs w:val="0"/>
        </w:rPr>
        <w:t xml:space="preserve"> </w:t>
      </w:r>
      <w:r>
        <w:rPr>
          <w:bCs w:val="0"/>
        </w:rPr>
        <w:t>and how to access the plan.</w:t>
      </w:r>
    </w:p>
    <w:p w14:paraId="355F0D6E" w14:textId="77777777" w:rsidR="00C934ED" w:rsidRDefault="00C934ED">
      <w:pPr>
        <w:rPr>
          <w:i/>
          <w:iCs/>
        </w:rPr>
      </w:pPr>
    </w:p>
    <w:p w14:paraId="1A92FD7E" w14:textId="4EBD6F28" w:rsidR="00C934ED" w:rsidRDefault="00C934ED">
      <w:r>
        <w:rPr>
          <w:i/>
        </w:rPr>
        <w:t>TEXT EXAMPLE</w:t>
      </w:r>
      <w:r>
        <w:t xml:space="preserve">:  </w:t>
      </w:r>
      <w:r w:rsidR="008F7A27">
        <w:t xml:space="preserve">Our BCP’s primary objectives are to continue providing services to our customers, protect the health and safety of our </w:t>
      </w:r>
      <w:r w:rsidR="00392B3D">
        <w:t>employees,</w:t>
      </w:r>
      <w:r w:rsidR="008F7A27">
        <w:t xml:space="preserve"> and fulfill our legal and regulatory obligations. </w:t>
      </w:r>
      <w:proofErr w:type="gramStart"/>
      <w:r>
        <w:t>In the event that</w:t>
      </w:r>
      <w:proofErr w:type="gramEnd"/>
      <w:r>
        <w:t xml:space="preserve"> we determine we are unable to continue our business we will assure customers prompt access to their funds and securities.  </w:t>
      </w:r>
    </w:p>
    <w:p w14:paraId="14139E06" w14:textId="77777777" w:rsidR="00C934ED" w:rsidRDefault="00C934ED"/>
    <w:p w14:paraId="4FA1F816" w14:textId="77777777" w:rsidR="00C934ED" w:rsidRDefault="00C934ED" w:rsidP="009B6391">
      <w:pPr>
        <w:pStyle w:val="Heading2"/>
        <w:tabs>
          <w:tab w:val="clear" w:pos="1080"/>
        </w:tabs>
        <w:ind w:left="1440" w:hanging="720"/>
      </w:pPr>
      <w:r>
        <w:t>Significant Business Disruptions (SBDs)</w:t>
      </w:r>
    </w:p>
    <w:p w14:paraId="13B74EC5" w14:textId="70104555" w:rsidR="00C934ED" w:rsidRDefault="00392B3D">
      <w:pPr>
        <w:rPr>
          <w:iCs/>
        </w:rPr>
      </w:pPr>
      <w:r>
        <w:t>A</w:t>
      </w:r>
      <w:r w:rsidR="003F2748">
        <w:t>n</w:t>
      </w:r>
      <w:r>
        <w:t xml:space="preserve"> SBD may </w:t>
      </w:r>
      <w:r w:rsidR="00CD6DB6">
        <w:t>affect only our firm (</w:t>
      </w:r>
      <w:r w:rsidR="00CD6DB6" w:rsidRPr="00710A74">
        <w:rPr>
          <w:i/>
        </w:rPr>
        <w:t>e.g.</w:t>
      </w:r>
      <w:r w:rsidR="00CD6DB6">
        <w:t>, a fire in our office building</w:t>
      </w:r>
      <w:r w:rsidR="0051563A">
        <w:t xml:space="preserve"> or cyber event</w:t>
      </w:r>
      <w:r w:rsidR="00CD6DB6">
        <w:t>) or may be widespread affecting several firms or the operation of the securities markets (</w:t>
      </w:r>
      <w:r w:rsidR="00CD6DB6" w:rsidRPr="00710A74">
        <w:rPr>
          <w:i/>
        </w:rPr>
        <w:t>e.g.</w:t>
      </w:r>
      <w:r w:rsidR="00CD6DB6">
        <w:t>,</w:t>
      </w:r>
      <w:r w:rsidR="00C934ED">
        <w:t xml:space="preserve"> a terrorist attack, a </w:t>
      </w:r>
      <w:r w:rsidR="00CD6DB6">
        <w:t xml:space="preserve">natural </w:t>
      </w:r>
      <w:proofErr w:type="gramStart"/>
      <w:r w:rsidR="00CD6DB6">
        <w:t>disaster</w:t>
      </w:r>
      <w:proofErr w:type="gramEnd"/>
      <w:r w:rsidR="00C934ED">
        <w:t xml:space="preserve"> or a </w:t>
      </w:r>
      <w:r w:rsidR="00CD6DB6">
        <w:t>pandemic)</w:t>
      </w:r>
      <w:r w:rsidR="00C934ED">
        <w:t xml:space="preserve">. </w:t>
      </w:r>
      <w:r w:rsidR="003F0E1B">
        <w:t xml:space="preserve">Our response will vary depending on the severity of the SBD, which may include greater reliance </w:t>
      </w:r>
      <w:r w:rsidR="00C934ED">
        <w:t>on other organizations and systems, especially on the capabilities of our clearing firm.</w:t>
      </w:r>
    </w:p>
    <w:p w14:paraId="7A5588D2" w14:textId="77777777" w:rsidR="00C934ED" w:rsidRDefault="00C934ED"/>
    <w:p w14:paraId="3E6ED567" w14:textId="5356DC7A" w:rsidR="00C934ED" w:rsidRDefault="009B6391" w:rsidP="009B6391">
      <w:pPr>
        <w:pStyle w:val="Heading2"/>
        <w:tabs>
          <w:tab w:val="clear" w:pos="1080"/>
        </w:tabs>
        <w:ind w:left="1440" w:hanging="720"/>
      </w:pPr>
      <w:r>
        <w:t xml:space="preserve">Plan </w:t>
      </w:r>
      <w:r w:rsidR="00D47E14">
        <w:t>Approval</w:t>
      </w:r>
      <w:r>
        <w:t xml:space="preserve"> and Annual Reviews</w:t>
      </w:r>
      <w:r w:rsidR="00C934ED">
        <w:t xml:space="preserve"> </w:t>
      </w:r>
    </w:p>
    <w:p w14:paraId="3CFDA6A9" w14:textId="1DAF77FC" w:rsidR="00C934ED" w:rsidRDefault="00C934ED">
      <w:r>
        <w:t>[</w:t>
      </w:r>
      <w:r w:rsidRPr="00710A74">
        <w:rPr>
          <w:iCs/>
        </w:rPr>
        <w:t>Name, title</w:t>
      </w:r>
      <w:r>
        <w:t>], a registered principal</w:t>
      </w:r>
      <w:r w:rsidR="00D47E14" w:rsidRPr="00D47E14">
        <w:rPr>
          <w:iCs/>
        </w:rPr>
        <w:t xml:space="preserve"> </w:t>
      </w:r>
      <w:r w:rsidR="00D47E14">
        <w:rPr>
          <w:iCs/>
        </w:rPr>
        <w:t>and member of senior management</w:t>
      </w:r>
      <w:r>
        <w:t xml:space="preserve">, is responsible for approving </w:t>
      </w:r>
      <w:r w:rsidR="00246F5B">
        <w:t>the plan</w:t>
      </w:r>
      <w:r w:rsidR="00D47E14">
        <w:t xml:space="preserve"> </w:t>
      </w:r>
      <w:r>
        <w:t>and for conducting the required annual review.</w:t>
      </w:r>
    </w:p>
    <w:p w14:paraId="1C9EE05C" w14:textId="77777777" w:rsidR="00BA52D4" w:rsidRDefault="00BA52D4"/>
    <w:p w14:paraId="7EDBE376" w14:textId="0BDB4B28" w:rsidR="004A5A67" w:rsidRPr="004A5A67" w:rsidRDefault="004A5A67">
      <w:pPr>
        <w:rPr>
          <w:i/>
        </w:rPr>
      </w:pPr>
      <w:r>
        <w:rPr>
          <w:i/>
          <w:u w:val="single"/>
        </w:rPr>
        <w:t>Rule:</w:t>
      </w:r>
      <w:r>
        <w:rPr>
          <w:i/>
        </w:rPr>
        <w:t xml:space="preserve"> FINRA Rule 4370(b) and (d).</w:t>
      </w:r>
    </w:p>
    <w:p w14:paraId="69EF7DDB" w14:textId="77777777" w:rsidR="00C934ED" w:rsidRDefault="00C934ED"/>
    <w:p w14:paraId="23BC19F2" w14:textId="77777777" w:rsidR="00C934ED" w:rsidRDefault="00C934ED" w:rsidP="009B6391">
      <w:pPr>
        <w:pStyle w:val="Heading2"/>
        <w:tabs>
          <w:tab w:val="clear" w:pos="1080"/>
        </w:tabs>
        <w:ind w:left="1440" w:hanging="720"/>
      </w:pPr>
      <w:r>
        <w:t xml:space="preserve">Plan Location and Access </w:t>
      </w:r>
    </w:p>
    <w:p w14:paraId="023C1529" w14:textId="4942A35B" w:rsidR="00C934ED" w:rsidRDefault="003F0E1B">
      <w:r>
        <w:t xml:space="preserve">Consistent with </w:t>
      </w:r>
      <w:r w:rsidR="002573CB">
        <w:t>FINRA Rule 4511 (General Requirements)</w:t>
      </w:r>
      <w:r>
        <w:t xml:space="preserve">, </w:t>
      </w:r>
      <w:r w:rsidR="003F2748">
        <w:t>our</w:t>
      </w:r>
      <w:r w:rsidR="00C934ED">
        <w:t xml:space="preserve"> firm will maintain copies of its BCP</w:t>
      </w:r>
      <w:r w:rsidR="00CD6DB6">
        <w:t>,</w:t>
      </w:r>
      <w:r w:rsidR="00CD6DB6" w:rsidRPr="00CD6DB6">
        <w:t xml:space="preserve"> </w:t>
      </w:r>
      <w:r w:rsidR="00CD6DB6">
        <w:t>any modifications that have been made to the BCP</w:t>
      </w:r>
      <w:r w:rsidR="00C934ED">
        <w:t xml:space="preserve"> and the annual reviews for inspection</w:t>
      </w:r>
      <w:r w:rsidR="00A23644">
        <w:t xml:space="preserve">, and </w:t>
      </w:r>
      <w:r w:rsidR="00710A74">
        <w:t xml:space="preserve">the BCP </w:t>
      </w:r>
      <w:r w:rsidR="00A23644">
        <w:t>will be made available promptly upon request to FINRA staff</w:t>
      </w:r>
      <w:r w:rsidR="00C934ED">
        <w:t>.</w:t>
      </w:r>
      <w:r w:rsidR="000C2314">
        <w:t xml:space="preserve"> </w:t>
      </w:r>
      <w:r w:rsidR="00CD6DB6">
        <w:rPr>
          <w:iCs/>
        </w:rPr>
        <w:t xml:space="preserve">The BCP </w:t>
      </w:r>
      <w:r w:rsidR="00C934ED">
        <w:rPr>
          <w:iCs/>
        </w:rPr>
        <w:t xml:space="preserve">is </w:t>
      </w:r>
      <w:r w:rsidR="002B3C35">
        <w:rPr>
          <w:iCs/>
        </w:rPr>
        <w:t xml:space="preserve">also </w:t>
      </w:r>
      <w:r w:rsidR="00CD6DB6">
        <w:rPr>
          <w:iCs/>
        </w:rPr>
        <w:t xml:space="preserve">available </w:t>
      </w:r>
      <w:r w:rsidR="002B3C35">
        <w:rPr>
          <w:iCs/>
        </w:rPr>
        <w:t xml:space="preserve">to all employees </w:t>
      </w:r>
      <w:r w:rsidR="00C934ED">
        <w:rPr>
          <w:iCs/>
        </w:rPr>
        <w:t xml:space="preserve">on </w:t>
      </w:r>
      <w:r w:rsidR="002B3C35">
        <w:rPr>
          <w:iCs/>
        </w:rPr>
        <w:t>[</w:t>
      </w:r>
      <w:r w:rsidR="002B3C35" w:rsidRPr="003232AE">
        <w:rPr>
          <w:iCs/>
        </w:rPr>
        <w:t xml:space="preserve">internal webpage or </w:t>
      </w:r>
      <w:r w:rsidR="00C934ED" w:rsidRPr="00710A74">
        <w:t>server name</w:t>
      </w:r>
      <w:r w:rsidR="00C934ED" w:rsidRPr="003232AE">
        <w:rPr>
          <w:iCs/>
        </w:rPr>
        <w:t xml:space="preserve"> in the </w:t>
      </w:r>
      <w:r w:rsidR="00C934ED" w:rsidRPr="00710A74">
        <w:t>file/folder name</w:t>
      </w:r>
      <w:r w:rsidR="00C934ED">
        <w:rPr>
          <w:iCs/>
        </w:rPr>
        <w:t>].</w:t>
      </w:r>
      <w:r w:rsidR="002B3C35">
        <w:rPr>
          <w:iCs/>
        </w:rPr>
        <w:t xml:space="preserve"> </w:t>
      </w:r>
    </w:p>
    <w:p w14:paraId="56047ADE" w14:textId="77777777" w:rsidR="00C934ED" w:rsidRDefault="00C934ED">
      <w:pPr>
        <w:rPr>
          <w:iCs/>
        </w:rPr>
      </w:pPr>
    </w:p>
    <w:p w14:paraId="04EA809A" w14:textId="2DB993A7" w:rsidR="006761F2" w:rsidRDefault="006761F2" w:rsidP="006761F2">
      <w:pPr>
        <w:rPr>
          <w:i/>
        </w:rPr>
      </w:pPr>
      <w:r>
        <w:rPr>
          <w:i/>
          <w:u w:val="single"/>
        </w:rPr>
        <w:t>Rule:</w:t>
      </w:r>
      <w:r>
        <w:rPr>
          <w:i/>
        </w:rPr>
        <w:t xml:space="preserve"> FINRA Rule 4370</w:t>
      </w:r>
      <w:r w:rsidR="00A23644">
        <w:rPr>
          <w:i/>
        </w:rPr>
        <w:t>(a)</w:t>
      </w:r>
      <w:r w:rsidR="009B6391">
        <w:rPr>
          <w:i/>
        </w:rPr>
        <w:t>; FINRA Rule 4511</w:t>
      </w:r>
      <w:r>
        <w:rPr>
          <w:i/>
        </w:rPr>
        <w:t>.</w:t>
      </w:r>
    </w:p>
    <w:p w14:paraId="33545848" w14:textId="77777777" w:rsidR="006761F2" w:rsidRDefault="006761F2">
      <w:pPr>
        <w:rPr>
          <w:i/>
        </w:rPr>
      </w:pPr>
    </w:p>
    <w:p w14:paraId="45CB8ECF" w14:textId="77777777" w:rsidR="00C934ED" w:rsidRDefault="00C934ED">
      <w:pPr>
        <w:pStyle w:val="Heading1"/>
        <w:tabs>
          <w:tab w:val="clear" w:pos="360"/>
        </w:tabs>
      </w:pPr>
      <w:r>
        <w:t>Business Description</w:t>
      </w:r>
    </w:p>
    <w:p w14:paraId="2D326E12" w14:textId="77777777" w:rsidR="00C934ED" w:rsidRDefault="00C934ED">
      <w:pPr>
        <w:pStyle w:val="BodyText2"/>
        <w:rPr>
          <w:bCs w:val="0"/>
        </w:rPr>
      </w:pPr>
      <w:r>
        <w:rPr>
          <w:bCs w:val="0"/>
        </w:rPr>
        <w:t xml:space="preserve">State the types of business that your firm conducts.  </w:t>
      </w:r>
    </w:p>
    <w:p w14:paraId="02B57E56" w14:textId="77777777" w:rsidR="00C934ED" w:rsidRDefault="00C934ED">
      <w:pPr>
        <w:rPr>
          <w:i/>
          <w:iCs/>
        </w:rPr>
      </w:pPr>
    </w:p>
    <w:p w14:paraId="07BC5BE6" w14:textId="0206C8AF" w:rsidR="00C934ED" w:rsidRDefault="00C934ED">
      <w:r>
        <w:rPr>
          <w:i/>
          <w:iCs/>
        </w:rPr>
        <w:t xml:space="preserve">TEXT EXAMPLE: </w:t>
      </w:r>
      <w:r>
        <w:t xml:space="preserve">Our firm </w:t>
      </w:r>
      <w:r w:rsidR="008B6C0A">
        <w:t xml:space="preserve">is an introducing firm that </w:t>
      </w:r>
      <w:r>
        <w:t>conducts business in equity</w:t>
      </w:r>
      <w:r w:rsidR="008B6C0A">
        <w:t xml:space="preserve"> securities</w:t>
      </w:r>
      <w:r>
        <w:t>, fixed income</w:t>
      </w:r>
      <w:r w:rsidR="008B6C0A">
        <w:t xml:space="preserve"> securities</w:t>
      </w:r>
      <w:r>
        <w:t>, and derivatives</w:t>
      </w:r>
      <w:r w:rsidR="008B6C0A">
        <w:t xml:space="preserve"> for [</w:t>
      </w:r>
      <w:r w:rsidR="008B6C0A" w:rsidRPr="003232AE">
        <w:t>retail or retail and institutional customers</w:t>
      </w:r>
      <w:r w:rsidR="008B6C0A">
        <w:t>]</w:t>
      </w:r>
      <w:r>
        <w:t xml:space="preserve">. </w:t>
      </w:r>
      <w:r w:rsidR="008B6C0A">
        <w:t xml:space="preserve">We do not engage in any private placements. We do not perform any type of clearing function or </w:t>
      </w:r>
      <w:r>
        <w:t>hold customer funds or securities.</w:t>
      </w:r>
      <w:r w:rsidR="000C2314">
        <w:t xml:space="preserve"> </w:t>
      </w:r>
      <w:r w:rsidR="008B6C0A">
        <w:t>After an order is accepted and entered by our firm, the order is</w:t>
      </w:r>
      <w:r>
        <w:t xml:space="preserve"> sent to our clearing firm</w:t>
      </w:r>
      <w:r w:rsidR="008B6C0A">
        <w:t xml:space="preserve"> for execution, </w:t>
      </w:r>
      <w:proofErr w:type="gramStart"/>
      <w:r w:rsidR="008B6C0A">
        <w:t>clearance</w:t>
      </w:r>
      <w:proofErr w:type="gramEnd"/>
      <w:r w:rsidR="008B6C0A">
        <w:t xml:space="preserve"> and settlement</w:t>
      </w:r>
      <w:r>
        <w:t xml:space="preserve">. Our clearing firm also maintains our customers’ accounts, can grant customers access to them, and delivers funds and securities. </w:t>
      </w:r>
    </w:p>
    <w:p w14:paraId="601E31F0" w14:textId="77777777" w:rsidR="00C934ED" w:rsidRDefault="00C934ED"/>
    <w:p w14:paraId="101D7540" w14:textId="7EE22158" w:rsidR="00C934ED" w:rsidRDefault="00C934ED" w:rsidP="00710A74">
      <w:r>
        <w:t>Our clearing firm is [</w:t>
      </w:r>
      <w:r w:rsidRPr="00710A74">
        <w:rPr>
          <w:iCs/>
        </w:rPr>
        <w:t xml:space="preserve">name, address, phone number, email address, </w:t>
      </w:r>
      <w:r w:rsidR="00A3107E" w:rsidRPr="00710A74">
        <w:rPr>
          <w:iCs/>
        </w:rPr>
        <w:t>w</w:t>
      </w:r>
      <w:r w:rsidRPr="00710A74">
        <w:rPr>
          <w:iCs/>
        </w:rPr>
        <w:t>ebsite</w:t>
      </w:r>
      <w:r>
        <w:t>] and our contact person at that clearing firm is [</w:t>
      </w:r>
      <w:r w:rsidRPr="00710A74">
        <w:rPr>
          <w:iCs/>
        </w:rPr>
        <w:t>name, phone number, email</w:t>
      </w:r>
      <w:r>
        <w:t>].</w:t>
      </w:r>
      <w:r w:rsidR="000C2314">
        <w:t xml:space="preserve"> </w:t>
      </w:r>
      <w:r>
        <w:t xml:space="preserve">Our clearing firm has also given us the following alternative contact in the event </w:t>
      </w:r>
      <w:r w:rsidR="001436C8">
        <w:t>that our primary contact cannot</w:t>
      </w:r>
      <w:r>
        <w:t xml:space="preserve"> be </w:t>
      </w:r>
      <w:proofErr w:type="gramStart"/>
      <w:r>
        <w:t>reached:[</w:t>
      </w:r>
      <w:proofErr w:type="gramEnd"/>
      <w:r w:rsidRPr="00710A74">
        <w:rPr>
          <w:iCs/>
        </w:rPr>
        <w:t xml:space="preserve">name, address, phone number, email address, </w:t>
      </w:r>
      <w:r w:rsidR="00A3107E" w:rsidRPr="00710A74">
        <w:rPr>
          <w:iCs/>
        </w:rPr>
        <w:t>w</w:t>
      </w:r>
      <w:r w:rsidRPr="00710A74">
        <w:rPr>
          <w:iCs/>
        </w:rPr>
        <w:t>ebsite</w:t>
      </w:r>
      <w:r>
        <w:t>]</w:t>
      </w:r>
      <w:r w:rsidR="001436C8">
        <w:t xml:space="preserve">. </w:t>
      </w:r>
    </w:p>
    <w:p w14:paraId="5527E31B" w14:textId="77777777" w:rsidR="00C934ED" w:rsidRDefault="00C934ED">
      <w:pPr>
        <w:pStyle w:val="Header"/>
        <w:tabs>
          <w:tab w:val="clear" w:pos="4320"/>
          <w:tab w:val="clear" w:pos="8640"/>
        </w:tabs>
      </w:pPr>
    </w:p>
    <w:p w14:paraId="76405364" w14:textId="77777777" w:rsidR="00C934ED" w:rsidRDefault="00C934ED" w:rsidP="00046467">
      <w:pPr>
        <w:pStyle w:val="Heading1"/>
        <w:tabs>
          <w:tab w:val="clear" w:pos="360"/>
        </w:tabs>
        <w:ind w:left="720" w:hanging="720"/>
      </w:pPr>
      <w:r>
        <w:t>Office Locations</w:t>
      </w:r>
    </w:p>
    <w:p w14:paraId="1CCC1DEA" w14:textId="44262EC8" w:rsidR="00C934ED" w:rsidRDefault="00C934ED">
      <w:pPr>
        <w:pStyle w:val="BodyText2"/>
        <w:rPr>
          <w:bCs w:val="0"/>
        </w:rPr>
      </w:pPr>
      <w:r>
        <w:rPr>
          <w:bCs w:val="0"/>
        </w:rPr>
        <w:t xml:space="preserve">List the locations of </w:t>
      </w:r>
      <w:proofErr w:type="gramStart"/>
      <w:r>
        <w:rPr>
          <w:bCs w:val="0"/>
        </w:rPr>
        <w:t>all of</w:t>
      </w:r>
      <w:proofErr w:type="gramEnd"/>
      <w:r>
        <w:rPr>
          <w:bCs w:val="0"/>
        </w:rPr>
        <w:t xml:space="preserve"> your offices, registered and unregistered, and state which mission critical systems, as defined below, take place at each location.</w:t>
      </w:r>
    </w:p>
    <w:p w14:paraId="5DA453C7" w14:textId="77777777" w:rsidR="00C934ED" w:rsidRDefault="00C934ED"/>
    <w:p w14:paraId="042ED4DC" w14:textId="77777777" w:rsidR="00C934ED" w:rsidRDefault="00C934ED">
      <w:pPr>
        <w:rPr>
          <w:bCs/>
          <w:i/>
          <w:iCs/>
        </w:rPr>
      </w:pPr>
      <w:r>
        <w:rPr>
          <w:bCs/>
        </w:rPr>
        <w:t>TEXT EXAMPLE:</w:t>
      </w:r>
      <w:r w:rsidR="000C2314">
        <w:rPr>
          <w:bCs/>
        </w:rPr>
        <w:t xml:space="preserve"> </w:t>
      </w:r>
      <w:r>
        <w:rPr>
          <w:bCs/>
          <w:i/>
          <w:iCs/>
        </w:rPr>
        <w:t xml:space="preserve">Our </w:t>
      </w:r>
      <w:r w:rsidR="00A3107E">
        <w:rPr>
          <w:bCs/>
          <w:i/>
          <w:iCs/>
        </w:rPr>
        <w:t>f</w:t>
      </w:r>
      <w:r>
        <w:rPr>
          <w:bCs/>
          <w:i/>
          <w:iCs/>
        </w:rPr>
        <w:t xml:space="preserve">irm has offices located in Location #1 and Location #2.  </w:t>
      </w:r>
    </w:p>
    <w:p w14:paraId="13A8AE0D" w14:textId="77777777" w:rsidR="00C934ED" w:rsidRDefault="00C934ED">
      <w:pPr>
        <w:rPr>
          <w:i/>
          <w:iCs/>
        </w:rPr>
      </w:pPr>
    </w:p>
    <w:p w14:paraId="4929F00E" w14:textId="77777777" w:rsidR="00C934ED" w:rsidRDefault="00C934ED" w:rsidP="00046467">
      <w:pPr>
        <w:pStyle w:val="Heading2"/>
        <w:tabs>
          <w:tab w:val="clear" w:pos="1080"/>
        </w:tabs>
        <w:ind w:left="1440" w:hanging="720"/>
      </w:pPr>
      <w:r>
        <w:t>Office Location #1</w:t>
      </w:r>
    </w:p>
    <w:p w14:paraId="68EB1FED" w14:textId="19FBAD5E" w:rsidR="00C934ED" w:rsidRDefault="00C934ED">
      <w:r>
        <w:t>Our Location #1 Office is located at [</w:t>
      </w:r>
      <w:r w:rsidRPr="00710A74">
        <w:rPr>
          <w:iCs/>
        </w:rPr>
        <w:t>address</w:t>
      </w:r>
      <w:r>
        <w:t>]. Its main phone number is [</w:t>
      </w:r>
      <w:r w:rsidRPr="00710A74">
        <w:rPr>
          <w:iCs/>
        </w:rPr>
        <w:t>insert</w:t>
      </w:r>
      <w:r>
        <w:t>]</w:t>
      </w:r>
      <w:r w:rsidR="00C872C4">
        <w:t xml:space="preserve"> and the [office manager or other point of contact] is [name, </w:t>
      </w:r>
      <w:proofErr w:type="gramStart"/>
      <w:r w:rsidR="00C872C4">
        <w:t>email</w:t>
      </w:r>
      <w:proofErr w:type="gramEnd"/>
      <w:r w:rsidR="00C872C4">
        <w:t xml:space="preserve"> and phone number]</w:t>
      </w:r>
      <w:r>
        <w:t xml:space="preserve">. </w:t>
      </w:r>
      <w:r w:rsidR="001436C8">
        <w:t>[</w:t>
      </w:r>
      <w:r w:rsidRPr="003232AE">
        <w:t xml:space="preserve">Our employees </w:t>
      </w:r>
      <w:r w:rsidR="001436C8" w:rsidRPr="003232AE">
        <w:t>rely on public transportation to travel to the office.</w:t>
      </w:r>
      <w:r w:rsidR="001436C8">
        <w:t>]</w:t>
      </w:r>
      <w:r>
        <w:t xml:space="preserve"> We engage in order taking and entry at this location.</w:t>
      </w:r>
      <w:r w:rsidR="00C872C4">
        <w:t xml:space="preserve"> [The alternate location or back-up location is [</w:t>
      </w:r>
      <w:r w:rsidR="00C872C4" w:rsidRPr="00816230">
        <w:rPr>
          <w:iCs/>
        </w:rPr>
        <w:t>name of firm (if different),</w:t>
      </w:r>
      <w:r w:rsidR="00C872C4" w:rsidRPr="003232AE">
        <w:t xml:space="preserve"> </w:t>
      </w:r>
      <w:r w:rsidR="00C872C4" w:rsidRPr="00816230">
        <w:rPr>
          <w:iCs/>
        </w:rPr>
        <w:t>address, phone number</w:t>
      </w:r>
      <w:r w:rsidR="00C872C4">
        <w:t>].]</w:t>
      </w:r>
      <w:r w:rsidR="00710A74">
        <w:t xml:space="preserve">  I</w:t>
      </w:r>
      <w:r w:rsidR="00710A74" w:rsidRPr="00710A74">
        <w:t xml:space="preserve">n the event that Location #1 Office is </w:t>
      </w:r>
      <w:proofErr w:type="gramStart"/>
      <w:r w:rsidR="00710A74" w:rsidRPr="00710A74">
        <w:t>inaccessible</w:t>
      </w:r>
      <w:proofErr w:type="gramEnd"/>
      <w:r w:rsidR="00710A74" w:rsidRPr="00710A74">
        <w:t xml:space="preserve"> or staff is working remotely due to an SBD, mail will be directed or forwarded to the alternate location or back-up location.</w:t>
      </w:r>
    </w:p>
    <w:p w14:paraId="1F34B4F2" w14:textId="77777777" w:rsidR="00C934ED" w:rsidRDefault="00C934ED"/>
    <w:p w14:paraId="440E6654" w14:textId="77777777" w:rsidR="00C934ED" w:rsidRDefault="00C934ED" w:rsidP="008B6DB0">
      <w:pPr>
        <w:pStyle w:val="Heading2"/>
        <w:tabs>
          <w:tab w:val="clear" w:pos="1080"/>
        </w:tabs>
        <w:ind w:left="1440" w:hanging="720"/>
      </w:pPr>
      <w:r>
        <w:t>Office Location #2</w:t>
      </w:r>
    </w:p>
    <w:p w14:paraId="77788A1E" w14:textId="58BC51F0" w:rsidR="00C934ED" w:rsidRDefault="00C934ED">
      <w:r>
        <w:lastRenderedPageBreak/>
        <w:t>Our Location #2 Office is located at [</w:t>
      </w:r>
      <w:r w:rsidRPr="00710A74">
        <w:rPr>
          <w:iCs/>
        </w:rPr>
        <w:t>address</w:t>
      </w:r>
      <w:r>
        <w:t>].</w:t>
      </w:r>
      <w:r w:rsidR="000C2314">
        <w:t xml:space="preserve"> </w:t>
      </w:r>
      <w:r>
        <w:t>Its main phone number is [</w:t>
      </w:r>
      <w:r w:rsidRPr="00710A74">
        <w:rPr>
          <w:iCs/>
        </w:rPr>
        <w:t>insert</w:t>
      </w:r>
      <w:r>
        <w:t>]</w:t>
      </w:r>
      <w:r w:rsidR="00C872C4" w:rsidRPr="00C872C4">
        <w:t xml:space="preserve"> </w:t>
      </w:r>
      <w:r w:rsidR="00C872C4">
        <w:t xml:space="preserve">and the [office manager or other point of contact] is [name, </w:t>
      </w:r>
      <w:proofErr w:type="gramStart"/>
      <w:r w:rsidR="00C872C4">
        <w:t>email</w:t>
      </w:r>
      <w:proofErr w:type="gramEnd"/>
      <w:r w:rsidR="00C872C4">
        <w:t xml:space="preserve"> and phone number]</w:t>
      </w:r>
      <w:r>
        <w:t xml:space="preserve">. </w:t>
      </w:r>
      <w:r w:rsidR="001436C8">
        <w:t>[Our employees rely on public transportation to travel to the office.]</w:t>
      </w:r>
      <w:r w:rsidR="003232AE">
        <w:t xml:space="preserve"> </w:t>
      </w:r>
      <w:r>
        <w:t>We engage in order taking and entry at this location.</w:t>
      </w:r>
      <w:r w:rsidR="00C872C4">
        <w:t xml:space="preserve"> [The alternate location or back-up location is [</w:t>
      </w:r>
      <w:r w:rsidR="00C872C4" w:rsidRPr="00816230">
        <w:rPr>
          <w:iCs/>
        </w:rPr>
        <w:t>name of firm (if different),</w:t>
      </w:r>
      <w:r w:rsidR="00C872C4" w:rsidRPr="003232AE">
        <w:t xml:space="preserve"> </w:t>
      </w:r>
      <w:r w:rsidR="00C872C4" w:rsidRPr="00816230">
        <w:rPr>
          <w:iCs/>
        </w:rPr>
        <w:t>address, phone number</w:t>
      </w:r>
      <w:r w:rsidR="00C872C4">
        <w:t>].]</w:t>
      </w:r>
      <w:r w:rsidR="00710A74">
        <w:t xml:space="preserve"> </w:t>
      </w:r>
      <w:r w:rsidR="00710A74" w:rsidRPr="00710A74">
        <w:t xml:space="preserve">In the event that Location #2 Office is </w:t>
      </w:r>
      <w:proofErr w:type="gramStart"/>
      <w:r w:rsidR="00710A74" w:rsidRPr="00710A74">
        <w:t>inaccessible</w:t>
      </w:r>
      <w:proofErr w:type="gramEnd"/>
      <w:r w:rsidR="00710A74" w:rsidRPr="00710A74">
        <w:t xml:space="preserve"> or staff is working remotely due to an SBD, mail will be directed or forwarded to the alternate location or back-up location.</w:t>
      </w:r>
    </w:p>
    <w:p w14:paraId="6657866D" w14:textId="77777777" w:rsidR="00C934ED" w:rsidRDefault="00C934ED"/>
    <w:p w14:paraId="46CCE23B" w14:textId="5F64F40C" w:rsidR="00C934ED" w:rsidRDefault="00C934ED" w:rsidP="008B6DB0">
      <w:pPr>
        <w:pStyle w:val="Heading1"/>
        <w:tabs>
          <w:tab w:val="clear" w:pos="360"/>
        </w:tabs>
        <w:ind w:left="720" w:hanging="720"/>
      </w:pPr>
      <w:r>
        <w:t>Alternate Physical Location(s) of Employees</w:t>
      </w:r>
    </w:p>
    <w:p w14:paraId="3D0FDB15" w14:textId="77777777" w:rsidR="00C934ED" w:rsidRDefault="00C934ED">
      <w:pPr>
        <w:pStyle w:val="BodyText2"/>
        <w:rPr>
          <w:bCs w:val="0"/>
        </w:rPr>
      </w:pPr>
      <w:r>
        <w:rPr>
          <w:bCs w:val="0"/>
        </w:rPr>
        <w:t xml:space="preserve">List the alternate physical location(s) your firm will use in the event an SBD affects the operation of your office locations. </w:t>
      </w:r>
    </w:p>
    <w:p w14:paraId="245492D1" w14:textId="77777777" w:rsidR="00C934ED" w:rsidRDefault="00C934ED"/>
    <w:p w14:paraId="755E590E" w14:textId="5D9BB23F" w:rsidR="00A319DB" w:rsidRDefault="00C934ED">
      <w:r>
        <w:rPr>
          <w:bCs/>
        </w:rPr>
        <w:t>TEXT EXAMPLE:</w:t>
      </w:r>
      <w:r w:rsidR="000C2314">
        <w:rPr>
          <w:bCs/>
        </w:rPr>
        <w:t xml:space="preserve"> </w:t>
      </w:r>
      <w:r>
        <w:t xml:space="preserve">In the event </w:t>
      </w:r>
      <w:r w:rsidR="00B92DC5">
        <w:t xml:space="preserve">of an SBD </w:t>
      </w:r>
      <w:r w:rsidR="0065053D">
        <w:t>impacting our ability to operate in a location</w:t>
      </w:r>
      <w:r>
        <w:t xml:space="preserve">, staff </w:t>
      </w:r>
      <w:r w:rsidR="00593A8E">
        <w:t xml:space="preserve">in the affected office(s) will move </w:t>
      </w:r>
      <w:r>
        <w:t xml:space="preserve">to </w:t>
      </w:r>
      <w:r w:rsidR="00E631F4">
        <w:t>[</w:t>
      </w:r>
      <w:r>
        <w:t>the closest of our unaffected office location</w:t>
      </w:r>
      <w:r w:rsidR="00C0367A">
        <w:t>(</w:t>
      </w:r>
      <w:r>
        <w:t>s</w:t>
      </w:r>
      <w:r w:rsidR="00C0367A">
        <w:t>)</w:t>
      </w:r>
      <w:r w:rsidR="00593A8E">
        <w:t xml:space="preserve"> or our back</w:t>
      </w:r>
      <w:r w:rsidR="001D617B">
        <w:t>-</w:t>
      </w:r>
      <w:r w:rsidR="00593A8E">
        <w:t xml:space="preserve">up location at </w:t>
      </w:r>
      <w:r>
        <w:t>[</w:t>
      </w:r>
      <w:r w:rsidRPr="00710A74">
        <w:rPr>
          <w:iCs/>
        </w:rPr>
        <w:t>name of firm (if different),</w:t>
      </w:r>
      <w:r w:rsidRPr="003232AE">
        <w:t xml:space="preserve"> </w:t>
      </w:r>
      <w:r w:rsidRPr="00710A74">
        <w:rPr>
          <w:iCs/>
        </w:rPr>
        <w:t>address</w:t>
      </w:r>
      <w:r w:rsidR="00593A8E" w:rsidRPr="00710A74">
        <w:rPr>
          <w:iCs/>
        </w:rPr>
        <w:t>, phone number</w:t>
      </w:r>
      <w:r>
        <w:t>]</w:t>
      </w:r>
      <w:r w:rsidR="00E631F4">
        <w:t>]</w:t>
      </w:r>
      <w:r>
        <w:t xml:space="preserve">. </w:t>
      </w:r>
    </w:p>
    <w:p w14:paraId="78529A0B" w14:textId="77777777" w:rsidR="00A319DB" w:rsidRDefault="00A319DB"/>
    <w:p w14:paraId="5B911BC3" w14:textId="4C382922" w:rsidR="00C934ED" w:rsidRDefault="00593A8E">
      <w:r>
        <w:t xml:space="preserve">If the </w:t>
      </w:r>
      <w:r w:rsidR="00E631F4">
        <w:t>[</w:t>
      </w:r>
      <w:r>
        <w:t>alternate office location or back</w:t>
      </w:r>
      <w:r w:rsidR="00A33492">
        <w:t>-</w:t>
      </w:r>
      <w:r>
        <w:t>up location</w:t>
      </w:r>
      <w:r w:rsidR="00E631F4">
        <w:t>]</w:t>
      </w:r>
      <w:r>
        <w:t xml:space="preserve"> is unavailable</w:t>
      </w:r>
      <w:r w:rsidR="00A33492">
        <w:t xml:space="preserve"> or infeasible (</w:t>
      </w:r>
      <w:r w:rsidR="00A33492" w:rsidRPr="00710A74">
        <w:rPr>
          <w:i/>
        </w:rPr>
        <w:t>e.g.</w:t>
      </w:r>
      <w:r w:rsidR="00A33492">
        <w:t>, due to the inability to employ social distancing during a pandemic)</w:t>
      </w:r>
      <w:r>
        <w:t xml:space="preserve">, staff may temporarily </w:t>
      </w:r>
      <w:r w:rsidR="00E631F4">
        <w:t>work</w:t>
      </w:r>
      <w:r>
        <w:t xml:space="preserve"> from a remote location (</w:t>
      </w:r>
      <w:r w:rsidRPr="00BF55CF">
        <w:rPr>
          <w:i/>
        </w:rPr>
        <w:t>e.g.</w:t>
      </w:r>
      <w:r>
        <w:t xml:space="preserve">, staff may work from home because of health and safety reasons during a pandemic). </w:t>
      </w:r>
      <w:r w:rsidR="00A33492">
        <w:t xml:space="preserve">In this event, we will maintain a list of </w:t>
      </w:r>
      <w:proofErr w:type="gramStart"/>
      <w:r w:rsidR="00A33492">
        <w:t>employee</w:t>
      </w:r>
      <w:proofErr w:type="gramEnd"/>
      <w:r w:rsidR="00A33492">
        <w:t xml:space="preserve"> working locations and contact information.</w:t>
      </w:r>
    </w:p>
    <w:p w14:paraId="3DA62E98" w14:textId="15F7F90E" w:rsidR="00F05466" w:rsidRDefault="00F05466"/>
    <w:p w14:paraId="651A508C" w14:textId="65F54F0E" w:rsidR="00F05466" w:rsidRDefault="00F05466">
      <w:r w:rsidRPr="00F05466">
        <w:t>The risk of cyber</w:t>
      </w:r>
      <w:r>
        <w:t>security</w:t>
      </w:r>
      <w:r w:rsidRPr="00F05466">
        <w:t xml:space="preserve"> events may be increased due to use of remote o</w:t>
      </w:r>
      <w:r>
        <w:t>ffices or telework arrangements</w:t>
      </w:r>
      <w:r w:rsidRPr="00F05466">
        <w:t xml:space="preserve">. </w:t>
      </w:r>
      <w:r>
        <w:t>We will</w:t>
      </w:r>
      <w:r w:rsidRPr="00F05466">
        <w:t xml:space="preserve"> remain vigilant in </w:t>
      </w:r>
      <w:r>
        <w:t>our</w:t>
      </w:r>
      <w:r w:rsidRPr="00F05466">
        <w:t xml:space="preserve"> surveillance against cyber threats and take steps to reduce the risk of cyber events. </w:t>
      </w:r>
      <w:r>
        <w:t>[</w:t>
      </w:r>
      <w:r w:rsidRPr="00F05466">
        <w:t>These steps may include: (1) ensuring that virtual private networks (VPN) and other remote access systems are properly patched with available security updates; (2) checking that system entitlements are current; (3) employing the use of multi-factor authentication for associated persons who access systems remotely; and (4) reminding associated persons of cyber risks through education and other exercises that promote heightened vigilance.</w:t>
      </w:r>
      <w:r>
        <w:t>]</w:t>
      </w:r>
    </w:p>
    <w:p w14:paraId="68E2FEC0" w14:textId="77777777" w:rsidR="00C934ED" w:rsidRDefault="00C934ED"/>
    <w:p w14:paraId="6753EFB4" w14:textId="77777777" w:rsidR="00C934ED" w:rsidRDefault="00C934ED">
      <w:r>
        <w:rPr>
          <w:i/>
          <w:u w:val="single"/>
        </w:rPr>
        <w:t>Rule:</w:t>
      </w:r>
      <w:r w:rsidR="000C2314">
        <w:rPr>
          <w:i/>
        </w:rPr>
        <w:t xml:space="preserve"> </w:t>
      </w:r>
      <w:r w:rsidR="00FF5384">
        <w:rPr>
          <w:i/>
        </w:rPr>
        <w:t>FINRA Rule 4370(c)(6)</w:t>
      </w:r>
      <w:r>
        <w:rPr>
          <w:i/>
        </w:rPr>
        <w:t>.</w:t>
      </w:r>
    </w:p>
    <w:p w14:paraId="1A1FB212" w14:textId="77777777" w:rsidR="00C934ED" w:rsidRDefault="00C934ED"/>
    <w:p w14:paraId="72E1FAEC" w14:textId="218EE368" w:rsidR="00C934ED" w:rsidRDefault="00C934ED" w:rsidP="00710A74">
      <w:pPr>
        <w:pStyle w:val="Heading1"/>
        <w:tabs>
          <w:tab w:val="clear" w:pos="360"/>
        </w:tabs>
      </w:pPr>
      <w:r w:rsidRPr="006C28C2">
        <w:rPr>
          <w:u w:val="none"/>
        </w:rPr>
        <w:t xml:space="preserve"> </w:t>
      </w:r>
      <w:r>
        <w:t>Customers’ Access to Funds and Securities</w:t>
      </w:r>
    </w:p>
    <w:p w14:paraId="626412CA" w14:textId="5D3F1B86" w:rsidR="00C934ED" w:rsidRDefault="00C934ED">
      <w:pPr>
        <w:pStyle w:val="BodyText2"/>
        <w:rPr>
          <w:bCs w:val="0"/>
        </w:rPr>
      </w:pPr>
      <w:r>
        <w:rPr>
          <w:bCs w:val="0"/>
        </w:rPr>
        <w:t>State that your firm does not maintain custody of customers’ funds or securities and how your firm will make them available to customers in the event of an SBD</w:t>
      </w:r>
      <w:r w:rsidR="005E7116" w:rsidRPr="005E7116">
        <w:rPr>
          <w:bCs w:val="0"/>
        </w:rPr>
        <w:t>, including in the event your firm determines that it is unable to continue its business</w:t>
      </w:r>
      <w:r>
        <w:rPr>
          <w:bCs w:val="0"/>
        </w:rPr>
        <w:t>.</w:t>
      </w:r>
      <w:r w:rsidR="000C2314">
        <w:rPr>
          <w:bCs w:val="0"/>
        </w:rPr>
        <w:t xml:space="preserve"> </w:t>
      </w:r>
      <w:r>
        <w:rPr>
          <w:bCs w:val="0"/>
        </w:rPr>
        <w:t xml:space="preserve">State the entity at which such funds and securities are held and how your firm will facilitate access to them. </w:t>
      </w:r>
    </w:p>
    <w:p w14:paraId="3431AE51" w14:textId="77777777" w:rsidR="00C934ED" w:rsidRDefault="00C934ED"/>
    <w:p w14:paraId="70F93895" w14:textId="6EB60022" w:rsidR="00C934ED" w:rsidRDefault="00C934ED">
      <w:pPr>
        <w:tabs>
          <w:tab w:val="left" w:pos="8280"/>
        </w:tabs>
      </w:pPr>
      <w:r>
        <w:rPr>
          <w:i/>
          <w:iCs/>
        </w:rPr>
        <w:t>TEXT EXAMPLE:</w:t>
      </w:r>
      <w:r w:rsidR="000C2314">
        <w:rPr>
          <w:i/>
          <w:iCs/>
        </w:rPr>
        <w:t xml:space="preserve"> </w:t>
      </w:r>
      <w:r>
        <w:t>Our firm does not maintain custody of customers’ funds or securities</w:t>
      </w:r>
      <w:r w:rsidR="00F46D86">
        <w:t>. O</w:t>
      </w:r>
      <w:r>
        <w:t>ur clearing firm, [</w:t>
      </w:r>
      <w:r w:rsidRPr="00710A74">
        <w:rPr>
          <w:iCs/>
        </w:rPr>
        <w:t>insert name</w:t>
      </w:r>
      <w:r>
        <w:t>]</w:t>
      </w:r>
      <w:r w:rsidR="00F46D86">
        <w:t xml:space="preserve"> maintains custody</w:t>
      </w:r>
      <w:r w:rsidR="00F46D86" w:rsidRPr="00F46D86">
        <w:t xml:space="preserve"> </w:t>
      </w:r>
      <w:r w:rsidR="00F46D86">
        <w:t>of customers’ funds or securities</w:t>
      </w:r>
      <w:r>
        <w:t xml:space="preserve">. </w:t>
      </w:r>
      <w:r w:rsidR="00F46D86">
        <w:t xml:space="preserve">If telephone or internet service is available during an SBD, </w:t>
      </w:r>
      <w:r>
        <w:t xml:space="preserve">our registered persons will take customer orders or instructions </w:t>
      </w:r>
      <w:r w:rsidR="005E7116" w:rsidRPr="005E7116">
        <w:t xml:space="preserve">(including instructions to transfer customer accounts in the event our firm determines that it is unable to continue its business) </w:t>
      </w:r>
      <w:r>
        <w:t>and contact our clearing firm on their behalf</w:t>
      </w:r>
      <w:r w:rsidR="00F46D86">
        <w:t xml:space="preserve">. </w:t>
      </w:r>
      <w:r w:rsidR="00F46D86" w:rsidRPr="00F46D86">
        <w:t xml:space="preserve">If registered </w:t>
      </w:r>
      <w:r w:rsidR="0065053D">
        <w:t>persons</w:t>
      </w:r>
      <w:r w:rsidR="00F46D86" w:rsidRPr="00F46D86">
        <w:t xml:space="preserve"> are una</w:t>
      </w:r>
      <w:r w:rsidR="00F46D86">
        <w:t>ble</w:t>
      </w:r>
      <w:r w:rsidR="00F46D86" w:rsidRPr="00F46D86">
        <w:t xml:space="preserve"> to service customers</w:t>
      </w:r>
      <w:r w:rsidR="0065053D">
        <w:t xml:space="preserve">’ </w:t>
      </w:r>
      <w:r w:rsidR="0065053D" w:rsidRPr="0065053D">
        <w:t xml:space="preserve">orders </w:t>
      </w:r>
      <w:r w:rsidR="0065053D" w:rsidRPr="0065053D">
        <w:lastRenderedPageBreak/>
        <w:t>or instructions</w:t>
      </w:r>
      <w:r w:rsidR="00F46D86" w:rsidRPr="00F46D86">
        <w:t xml:space="preserve">, </w:t>
      </w:r>
      <w:r>
        <w:t xml:space="preserve">our firm will </w:t>
      </w:r>
      <w:r w:rsidR="0002762A">
        <w:t xml:space="preserve">[post on our website or customer portal or send an email to customers notifying customers that they] </w:t>
      </w:r>
      <w:r>
        <w:t>may access their funds and securities by contacting [</w:t>
      </w:r>
      <w:r w:rsidRPr="00710A74">
        <w:rPr>
          <w:iCs/>
        </w:rPr>
        <w:t>insert contact information</w:t>
      </w:r>
      <w:r>
        <w:t xml:space="preserve">]. The firm will make this information available to customers through its disclosure policy.  </w:t>
      </w:r>
    </w:p>
    <w:p w14:paraId="16517A33" w14:textId="77777777" w:rsidR="00C934ED" w:rsidRDefault="00C934ED">
      <w:pPr>
        <w:pStyle w:val="Header"/>
        <w:tabs>
          <w:tab w:val="clear" w:pos="4320"/>
          <w:tab w:val="clear" w:pos="8640"/>
          <w:tab w:val="left" w:pos="8280"/>
        </w:tabs>
      </w:pPr>
    </w:p>
    <w:p w14:paraId="4EC9AA4D" w14:textId="1A994A38" w:rsidR="00C934ED" w:rsidRDefault="00C934ED">
      <w:pPr>
        <w:tabs>
          <w:tab w:val="left" w:pos="8280"/>
        </w:tabs>
      </w:pPr>
      <w:r>
        <w:rPr>
          <w:i/>
          <w:u w:val="single"/>
        </w:rPr>
        <w:t>Rule:</w:t>
      </w:r>
      <w:r w:rsidR="000C2314">
        <w:rPr>
          <w:i/>
        </w:rPr>
        <w:t xml:space="preserve"> </w:t>
      </w:r>
      <w:r w:rsidR="00F17D0A">
        <w:rPr>
          <w:i/>
        </w:rPr>
        <w:t>FINRA Rule 4370(a)</w:t>
      </w:r>
      <w:r>
        <w:rPr>
          <w:bCs/>
        </w:rPr>
        <w:t>.</w:t>
      </w:r>
    </w:p>
    <w:p w14:paraId="29973985" w14:textId="77777777" w:rsidR="00C934ED" w:rsidRDefault="00C934ED"/>
    <w:p w14:paraId="24F2966F" w14:textId="566248CA" w:rsidR="00C934ED" w:rsidRDefault="00C934ED" w:rsidP="00710A74">
      <w:pPr>
        <w:pStyle w:val="Heading1"/>
        <w:tabs>
          <w:tab w:val="clear" w:pos="360"/>
        </w:tabs>
      </w:pPr>
      <w:r>
        <w:t>Data Back-Up and Recovery</w:t>
      </w:r>
    </w:p>
    <w:p w14:paraId="0981DDFE" w14:textId="7B8C5D4A" w:rsidR="00C934ED" w:rsidRDefault="00C934ED">
      <w:r>
        <w:rPr>
          <w:i/>
        </w:rPr>
        <w:t xml:space="preserve">Identify the location of your firm’s primary </w:t>
      </w:r>
      <w:r w:rsidR="00B7569E">
        <w:rPr>
          <w:i/>
        </w:rPr>
        <w:t xml:space="preserve">or original </w:t>
      </w:r>
      <w:r>
        <w:rPr>
          <w:i/>
        </w:rPr>
        <w:t xml:space="preserve">books and records and the location of your firm’s back-up </w:t>
      </w:r>
      <w:r w:rsidR="00B7569E">
        <w:rPr>
          <w:i/>
        </w:rPr>
        <w:t xml:space="preserve">copy of </w:t>
      </w:r>
      <w:r>
        <w:rPr>
          <w:i/>
        </w:rPr>
        <w:t>books and records.</w:t>
      </w:r>
      <w:r w:rsidR="000C2314">
        <w:rPr>
          <w:i/>
        </w:rPr>
        <w:t xml:space="preserve"> </w:t>
      </w:r>
      <w:r>
        <w:rPr>
          <w:i/>
        </w:rPr>
        <w:t>Describe how your firm backs up its data.</w:t>
      </w:r>
      <w:r w:rsidR="000C2314">
        <w:rPr>
          <w:i/>
        </w:rPr>
        <w:t xml:space="preserve"> </w:t>
      </w:r>
      <w:r>
        <w:rPr>
          <w:i/>
        </w:rPr>
        <w:t xml:space="preserve">In addition, describe how your firm will recover data in the event of an SBD.  </w:t>
      </w:r>
    </w:p>
    <w:p w14:paraId="562E1F8E" w14:textId="77777777" w:rsidR="00C934ED" w:rsidRDefault="00C934ED"/>
    <w:p w14:paraId="61B0222E" w14:textId="107B8D5F" w:rsidR="00C934ED" w:rsidRDefault="00C934ED" w:rsidP="00710A74">
      <w:r>
        <w:rPr>
          <w:i/>
        </w:rPr>
        <w:t>TEXT EXAMPLE</w:t>
      </w:r>
      <w:r>
        <w:t xml:space="preserve">: Our firm maintains its primary </w:t>
      </w:r>
      <w:r w:rsidR="00B7569E">
        <w:t xml:space="preserve">or original </w:t>
      </w:r>
      <w:r>
        <w:t>books and records</w:t>
      </w:r>
      <w:r w:rsidR="0008759A">
        <w:t xml:space="preserve"> in [electronic form, </w:t>
      </w:r>
      <w:r w:rsidR="0008759A" w:rsidRPr="0012302F">
        <w:rPr>
          <w:iCs/>
        </w:rPr>
        <w:t>paper</w:t>
      </w:r>
      <w:r w:rsidR="0008759A">
        <w:rPr>
          <w:iCs/>
        </w:rPr>
        <w:t xml:space="preserve"> form or both electronic and paper form</w:t>
      </w:r>
      <w:r w:rsidR="0008759A">
        <w:t>]</w:t>
      </w:r>
      <w:r>
        <w:t xml:space="preserve"> at [</w:t>
      </w:r>
      <w:r w:rsidRPr="00710A74">
        <w:rPr>
          <w:iCs/>
        </w:rPr>
        <w:t>address</w:t>
      </w:r>
      <w:r>
        <w:t>]. [</w:t>
      </w:r>
      <w:r w:rsidRPr="00710A74">
        <w:rPr>
          <w:iCs/>
        </w:rPr>
        <w:t>Name, title, phone number</w:t>
      </w:r>
      <w:r>
        <w:t xml:space="preserve">] is responsible for the maintenance of these books and records. Our firm </w:t>
      </w:r>
      <w:r w:rsidR="00B7569E">
        <w:t xml:space="preserve">exclusively </w:t>
      </w:r>
      <w:r>
        <w:t>maintains the following document types and forms that are not transmitted to our clearing firm: [</w:t>
      </w:r>
      <w:r w:rsidRPr="00710A74">
        <w:rPr>
          <w:iCs/>
        </w:rPr>
        <w:t>List document types and forms, such as new account forms, etc</w:t>
      </w:r>
      <w:r w:rsidRPr="003232AE">
        <w:t>.</w:t>
      </w:r>
      <w:r>
        <w:t>].</w:t>
      </w:r>
    </w:p>
    <w:p w14:paraId="3983CFDC" w14:textId="79F100B7" w:rsidR="0008759A" w:rsidRDefault="00C934ED" w:rsidP="00710A74">
      <w:pPr>
        <w:spacing w:before="240"/>
      </w:pPr>
      <w:r>
        <w:t xml:space="preserve">Our firm maintains its back-up </w:t>
      </w:r>
      <w:r w:rsidR="00B7569E">
        <w:t xml:space="preserve">copy of </w:t>
      </w:r>
      <w:r>
        <w:t xml:space="preserve">books and records </w:t>
      </w:r>
      <w:r w:rsidR="0008759A">
        <w:t xml:space="preserve">in [electronic form, </w:t>
      </w:r>
      <w:r w:rsidR="0008759A" w:rsidRPr="0012302F">
        <w:rPr>
          <w:iCs/>
        </w:rPr>
        <w:t>paper</w:t>
      </w:r>
      <w:r w:rsidR="0008759A">
        <w:rPr>
          <w:iCs/>
        </w:rPr>
        <w:t xml:space="preserve"> form or both electronic and paper form</w:t>
      </w:r>
      <w:r w:rsidR="0008759A">
        <w:t xml:space="preserve">] </w:t>
      </w:r>
      <w:r>
        <w:t>at [</w:t>
      </w:r>
      <w:r w:rsidRPr="00710A74">
        <w:rPr>
          <w:iCs/>
        </w:rPr>
        <w:t>other address</w:t>
      </w:r>
      <w:r>
        <w:t>]. [</w:t>
      </w:r>
      <w:r w:rsidRPr="00710A74">
        <w:rPr>
          <w:iCs/>
        </w:rPr>
        <w:t>Name, title, phone number</w:t>
      </w:r>
      <w:r>
        <w:t xml:space="preserve">] is responsible for the maintenance of the back-up </w:t>
      </w:r>
      <w:r w:rsidR="009350F2">
        <w:t xml:space="preserve">copy of our </w:t>
      </w:r>
      <w:r>
        <w:t>books and records.</w:t>
      </w:r>
    </w:p>
    <w:p w14:paraId="5231D959" w14:textId="77777777" w:rsidR="0008759A" w:rsidRDefault="0008759A"/>
    <w:p w14:paraId="5E1E5C45" w14:textId="4CB04C0B" w:rsidR="00C934ED" w:rsidRDefault="00C934ED">
      <w:r>
        <w:t xml:space="preserve">Our firm backs up its paper </w:t>
      </w:r>
      <w:r w:rsidR="00C63664">
        <w:t xml:space="preserve">books and </w:t>
      </w:r>
      <w:r>
        <w:t xml:space="preserve">records by copying and </w:t>
      </w:r>
      <w:r w:rsidR="0008759A">
        <w:t xml:space="preserve">physically </w:t>
      </w:r>
      <w:r>
        <w:t>taking the</w:t>
      </w:r>
      <w:r w:rsidR="0037784D">
        <w:t xml:space="preserve"> paper copies</w:t>
      </w:r>
      <w:r>
        <w:t xml:space="preserve"> to our back-up site. We back up our </w:t>
      </w:r>
      <w:r w:rsidR="0008759A">
        <w:t xml:space="preserve">paper </w:t>
      </w:r>
      <w:r w:rsidR="00C63664">
        <w:t xml:space="preserve">books and </w:t>
      </w:r>
      <w:r>
        <w:t>records every [</w:t>
      </w:r>
      <w:proofErr w:type="gramStart"/>
      <w:r w:rsidRPr="00710A74">
        <w:rPr>
          <w:iCs/>
        </w:rPr>
        <w:t>time period</w:t>
      </w:r>
      <w:proofErr w:type="gramEnd"/>
      <w:r>
        <w:t>].</w:t>
      </w:r>
      <w:r w:rsidR="00C63664">
        <w:t xml:space="preserve"> </w:t>
      </w:r>
      <w:r>
        <w:t xml:space="preserve">The firm backs up its electronic </w:t>
      </w:r>
      <w:r w:rsidR="00C63664">
        <w:t xml:space="preserve">books and </w:t>
      </w:r>
      <w:r>
        <w:t>records daily [</w:t>
      </w:r>
      <w:r w:rsidRPr="00710A74">
        <w:rPr>
          <w:iCs/>
        </w:rPr>
        <w:t>or other time period</w:t>
      </w:r>
      <w:r w:rsidRPr="003232AE">
        <w:t>]</w:t>
      </w:r>
      <w:r>
        <w:t xml:space="preserve"> by [</w:t>
      </w:r>
      <w:r w:rsidRPr="00710A74">
        <w:rPr>
          <w:iCs/>
        </w:rPr>
        <w:t>describe process</w:t>
      </w:r>
      <w:proofErr w:type="gramStart"/>
      <w:r>
        <w:t>], and</w:t>
      </w:r>
      <w:proofErr w:type="gramEnd"/>
      <w:r>
        <w:t xml:space="preserve"> keeps a</w:t>
      </w:r>
      <w:r w:rsidR="0037784D">
        <w:t>n electronic</w:t>
      </w:r>
      <w:r>
        <w:t xml:space="preserve"> copy at </w:t>
      </w:r>
      <w:r w:rsidR="00C63664">
        <w:t xml:space="preserve">our </w:t>
      </w:r>
      <w:r w:rsidR="00C63664">
        <w:rPr>
          <w:iCs/>
        </w:rPr>
        <w:t>b</w:t>
      </w:r>
      <w:r w:rsidRPr="00710A74">
        <w:rPr>
          <w:iCs/>
        </w:rPr>
        <w:t>ack-up site</w:t>
      </w:r>
      <w:r>
        <w:t>.</w:t>
      </w:r>
    </w:p>
    <w:p w14:paraId="4DC6ADD7" w14:textId="77777777" w:rsidR="00C934ED" w:rsidRDefault="00C934ED"/>
    <w:p w14:paraId="5A07E4B9" w14:textId="0F857119" w:rsidR="00C934ED" w:rsidRDefault="00C934ED">
      <w:r>
        <w:t xml:space="preserve">In the event of an SBD that causes the loss of our </w:t>
      </w:r>
      <w:r w:rsidR="0037784D">
        <w:t xml:space="preserve">primary or original </w:t>
      </w:r>
      <w:r>
        <w:t xml:space="preserve">paper </w:t>
      </w:r>
      <w:r w:rsidR="0037784D">
        <w:t xml:space="preserve">books and </w:t>
      </w:r>
      <w:r>
        <w:t xml:space="preserve">records, we will physically recover </w:t>
      </w:r>
      <w:r w:rsidR="0037784D">
        <w:t xml:space="preserve">paper copies of </w:t>
      </w:r>
      <w:r>
        <w:t xml:space="preserve">them from our back-up site. For the loss of </w:t>
      </w:r>
      <w:r w:rsidR="0037784D">
        <w:t xml:space="preserve">our primary or original </w:t>
      </w:r>
      <w:r>
        <w:t xml:space="preserve">electronic </w:t>
      </w:r>
      <w:r w:rsidR="0037784D">
        <w:t xml:space="preserve">books and </w:t>
      </w:r>
      <w:r>
        <w:t xml:space="preserve">records, we will </w:t>
      </w:r>
      <w:r w:rsidR="0037784D">
        <w:t xml:space="preserve">obtain electronic copies of them from our back-up site or </w:t>
      </w:r>
      <w:r>
        <w:t xml:space="preserve">physically recover the </w:t>
      </w:r>
      <w:r w:rsidR="0037784D">
        <w:t xml:space="preserve">electronic </w:t>
      </w:r>
      <w:r>
        <w:t xml:space="preserve">storage media </w:t>
      </w:r>
      <w:r w:rsidR="0037784D">
        <w:t>from our back-up site</w:t>
      </w:r>
      <w:r>
        <w:t>.</w:t>
      </w:r>
      <w:r w:rsidR="0037784D">
        <w:t xml:space="preserve"> </w:t>
      </w:r>
      <w:r w:rsidR="004F2C24">
        <w:t>[The back-up copy of our books and records is maintained by a recordkeeping service [</w:t>
      </w:r>
      <w:r w:rsidR="004F2C24">
        <w:rPr>
          <w:iCs/>
        </w:rPr>
        <w:t xml:space="preserve">Name, address, </w:t>
      </w:r>
      <w:r w:rsidR="004F2C24" w:rsidRPr="0012302F">
        <w:rPr>
          <w:iCs/>
        </w:rPr>
        <w:t>phone number</w:t>
      </w:r>
      <w:r w:rsidR="004F2C24">
        <w:t xml:space="preserve">]. In the event of an SBD that causes the loss of our primary or original books and records, we will obtain the back-up copy of books and records from that recordkeeping service.] </w:t>
      </w:r>
      <w:r w:rsidR="0037784D">
        <w:t>If our primary site is inoperable, we will continue operations from our back-up site or an alternate location.</w:t>
      </w:r>
    </w:p>
    <w:p w14:paraId="7BDE8251" w14:textId="77777777" w:rsidR="00C934ED" w:rsidRDefault="00C934ED"/>
    <w:p w14:paraId="223A59F5" w14:textId="77777777" w:rsidR="00C934ED" w:rsidRDefault="00C934ED">
      <w:r>
        <w:rPr>
          <w:i/>
          <w:u w:val="single"/>
        </w:rPr>
        <w:t>Rule:</w:t>
      </w:r>
      <w:r w:rsidR="000C2314">
        <w:rPr>
          <w:i/>
        </w:rPr>
        <w:t xml:space="preserve"> </w:t>
      </w:r>
      <w:r w:rsidR="00F17D0A">
        <w:rPr>
          <w:i/>
        </w:rPr>
        <w:t>FINRA Rule 4370(c)(1)</w:t>
      </w:r>
      <w:r>
        <w:rPr>
          <w:i/>
        </w:rPr>
        <w:t>.</w:t>
      </w:r>
    </w:p>
    <w:p w14:paraId="3399E1A6" w14:textId="77777777" w:rsidR="00C934ED" w:rsidRDefault="00C934ED">
      <w:pPr>
        <w:rPr>
          <w:i/>
          <w:u w:val="single"/>
        </w:rPr>
      </w:pPr>
    </w:p>
    <w:p w14:paraId="0D1B5198" w14:textId="73370ECA" w:rsidR="00C934ED" w:rsidRDefault="00C934ED" w:rsidP="00710A74">
      <w:pPr>
        <w:pStyle w:val="Heading1"/>
        <w:tabs>
          <w:tab w:val="clear" w:pos="360"/>
        </w:tabs>
      </w:pPr>
      <w:r>
        <w:t xml:space="preserve">Financial and Operational Assessments </w:t>
      </w:r>
    </w:p>
    <w:p w14:paraId="2043BF61" w14:textId="223F49FB" w:rsidR="00C934ED" w:rsidRDefault="00C934ED">
      <w:pPr>
        <w:rPr>
          <w:i/>
          <w:iCs/>
          <w:color w:val="000000"/>
          <w:sz w:val="22"/>
        </w:rPr>
      </w:pPr>
      <w:r>
        <w:rPr>
          <w:i/>
          <w:iCs/>
        </w:rPr>
        <w:t xml:space="preserve">Describe your firm’s </w:t>
      </w:r>
      <w:r>
        <w:rPr>
          <w:i/>
          <w:iCs/>
          <w:color w:val="000000"/>
        </w:rPr>
        <w:t xml:space="preserve">procedures to identify changes in its operational, financial and credit risk exposures in the event of an SBD. Your firm should periodically assess the changes in these exposures and quickly make such an assessment in connection with an SBD.  </w:t>
      </w:r>
    </w:p>
    <w:p w14:paraId="5D4AD18F" w14:textId="7105D98E" w:rsidR="00C934ED" w:rsidRPr="00710A74" w:rsidRDefault="00C934ED" w:rsidP="006C28C2">
      <w:pPr>
        <w:pStyle w:val="Heading2"/>
        <w:tabs>
          <w:tab w:val="clear" w:pos="1080"/>
        </w:tabs>
        <w:ind w:left="1440" w:hanging="720"/>
        <w:rPr>
          <w:color w:val="000000"/>
        </w:rPr>
      </w:pPr>
      <w:r>
        <w:t>Operational Risk</w:t>
      </w:r>
    </w:p>
    <w:p w14:paraId="1A564653" w14:textId="77777777" w:rsidR="00C934ED" w:rsidRDefault="00C934ED">
      <w:pPr>
        <w:rPr>
          <w:i/>
          <w:iCs/>
          <w:color w:val="000000"/>
        </w:rPr>
      </w:pPr>
      <w:r>
        <w:rPr>
          <w:i/>
          <w:iCs/>
          <w:color w:val="000000"/>
        </w:rPr>
        <w:lastRenderedPageBreak/>
        <w:t xml:space="preserve">Operational risk includes the firm’s ability to maintain communications with customers and to retrieve key activity records through its mission critical systems.  </w:t>
      </w:r>
    </w:p>
    <w:p w14:paraId="7AD49CCA" w14:textId="77777777" w:rsidR="00C934ED" w:rsidRDefault="00C934ED">
      <w:pPr>
        <w:rPr>
          <w:i/>
          <w:iCs/>
          <w:color w:val="000000"/>
        </w:rPr>
      </w:pPr>
    </w:p>
    <w:p w14:paraId="498FEBE4" w14:textId="05BB7AFC" w:rsidR="00C934ED" w:rsidRDefault="00C934ED">
      <w:r>
        <w:rPr>
          <w:i/>
          <w:iCs/>
          <w:color w:val="000000"/>
        </w:rPr>
        <w:t xml:space="preserve">TEXT EXAMPLE: </w:t>
      </w:r>
      <w:r>
        <w:rPr>
          <w:color w:val="000000"/>
        </w:rPr>
        <w:t xml:space="preserve">In the event of an SBD, we will </w:t>
      </w:r>
      <w:r w:rsidR="008F1815">
        <w:rPr>
          <w:color w:val="000000"/>
        </w:rPr>
        <w:t xml:space="preserve">identify whether there are any limitations on our ability </w:t>
      </w:r>
      <w:r>
        <w:rPr>
          <w:color w:val="000000"/>
        </w:rPr>
        <w:t xml:space="preserve">to communicate with our customers, employees, critical business constituents, critical banks, critical </w:t>
      </w:r>
      <w:proofErr w:type="gramStart"/>
      <w:r>
        <w:rPr>
          <w:color w:val="000000"/>
        </w:rPr>
        <w:t>counter-parties</w:t>
      </w:r>
      <w:proofErr w:type="gramEnd"/>
      <w:r>
        <w:rPr>
          <w:color w:val="000000"/>
        </w:rPr>
        <w:t xml:space="preserve"> and regulators. </w:t>
      </w:r>
      <w:r w:rsidR="0018372C">
        <w:rPr>
          <w:color w:val="000000"/>
        </w:rPr>
        <w:t>Depending on the limitat</w:t>
      </w:r>
      <w:r w:rsidR="00BD111B">
        <w:rPr>
          <w:color w:val="000000"/>
        </w:rPr>
        <w:t>ions, we will employ alternate</w:t>
      </w:r>
      <w:r w:rsidR="0018372C">
        <w:rPr>
          <w:color w:val="000000"/>
        </w:rPr>
        <w:t xml:space="preserve"> modes of communic</w:t>
      </w:r>
      <w:r w:rsidR="00194FB0">
        <w:rPr>
          <w:color w:val="000000"/>
        </w:rPr>
        <w:t xml:space="preserve">ation, including [our website, </w:t>
      </w:r>
      <w:r w:rsidR="0018372C">
        <w:rPr>
          <w:color w:val="000000"/>
        </w:rPr>
        <w:t xml:space="preserve">phone or email], to communicate with customers, employees, critical business constituents, critical banks, critical </w:t>
      </w:r>
      <w:proofErr w:type="gramStart"/>
      <w:r w:rsidR="0018372C">
        <w:rPr>
          <w:color w:val="000000"/>
        </w:rPr>
        <w:t>counter-parties</w:t>
      </w:r>
      <w:proofErr w:type="gramEnd"/>
      <w:r w:rsidR="0018372C">
        <w:rPr>
          <w:color w:val="000000"/>
        </w:rPr>
        <w:t xml:space="preserve"> and regulators. </w:t>
      </w:r>
      <w:r w:rsidR="0018372C" w:rsidRPr="00F46D86">
        <w:t xml:space="preserve">If registered </w:t>
      </w:r>
      <w:r w:rsidR="00ED59AA">
        <w:t>persons</w:t>
      </w:r>
      <w:r w:rsidR="0018372C" w:rsidRPr="00F46D86">
        <w:t xml:space="preserve"> are una</w:t>
      </w:r>
      <w:r w:rsidR="0018372C">
        <w:t>ble</w:t>
      </w:r>
      <w:r w:rsidR="0018372C" w:rsidRPr="00F46D86">
        <w:t xml:space="preserve"> to service customers, </w:t>
      </w:r>
      <w:r w:rsidR="0018372C">
        <w:t xml:space="preserve">our firm will </w:t>
      </w:r>
      <w:r w:rsidR="0002762A">
        <w:t>[</w:t>
      </w:r>
      <w:r w:rsidR="0018372C">
        <w:t>post on our website</w:t>
      </w:r>
      <w:r w:rsidR="0002762A">
        <w:t xml:space="preserve"> or customer portal or send an email to customers notifying customers that they]</w:t>
      </w:r>
      <w:r w:rsidR="0018372C">
        <w:t xml:space="preserve"> may access their funds and securities by contacting [</w:t>
      </w:r>
      <w:r w:rsidR="0018372C" w:rsidRPr="00710A74">
        <w:rPr>
          <w:iCs/>
        </w:rPr>
        <w:t>insert contact information</w:t>
      </w:r>
      <w:r w:rsidR="0018372C">
        <w:t xml:space="preserve">]. </w:t>
      </w:r>
      <w:r>
        <w:rPr>
          <w:color w:val="000000"/>
        </w:rPr>
        <w:t xml:space="preserve">In addition, we will retrieve our key activity records as described in the section </w:t>
      </w:r>
      <w:r>
        <w:t>above, Data Back-Up and Recovery.</w:t>
      </w:r>
    </w:p>
    <w:p w14:paraId="31596312" w14:textId="77777777" w:rsidR="00C934ED" w:rsidRDefault="00C934ED"/>
    <w:p w14:paraId="4D3A69D4" w14:textId="109DC278" w:rsidR="00C934ED" w:rsidRDefault="00C934ED">
      <w:pPr>
        <w:rPr>
          <w:color w:val="000000"/>
        </w:rPr>
      </w:pPr>
      <w:r>
        <w:rPr>
          <w:i/>
          <w:u w:val="single"/>
        </w:rPr>
        <w:t>Rule:</w:t>
      </w:r>
      <w:r>
        <w:rPr>
          <w:i/>
        </w:rPr>
        <w:t xml:space="preserve">  </w:t>
      </w:r>
      <w:r w:rsidR="00BE771E">
        <w:rPr>
          <w:i/>
        </w:rPr>
        <w:t>FINRA Rules 4370(c)(3</w:t>
      </w:r>
      <w:proofErr w:type="gramStart"/>
      <w:r w:rsidR="00BE771E">
        <w:rPr>
          <w:i/>
        </w:rPr>
        <w:t>),</w:t>
      </w:r>
      <w:r w:rsidR="000245ED">
        <w:rPr>
          <w:i/>
        </w:rPr>
        <w:t>(</w:t>
      </w:r>
      <w:proofErr w:type="gramEnd"/>
      <w:r w:rsidR="000245ED">
        <w:rPr>
          <w:i/>
        </w:rPr>
        <w:t xml:space="preserve">c)(4), </w:t>
      </w:r>
      <w:r w:rsidR="00BE771E">
        <w:rPr>
          <w:i/>
        </w:rPr>
        <w:t>(c)(5), (c)(7)</w:t>
      </w:r>
      <w:r w:rsidR="00DE5179">
        <w:rPr>
          <w:i/>
        </w:rPr>
        <w:t xml:space="preserve">, </w:t>
      </w:r>
      <w:r w:rsidR="00BE771E">
        <w:rPr>
          <w:i/>
        </w:rPr>
        <w:t>(c)(9</w:t>
      </w:r>
      <w:r w:rsidR="008F1815">
        <w:rPr>
          <w:i/>
        </w:rPr>
        <w:t>)</w:t>
      </w:r>
      <w:r w:rsidR="00DE5179">
        <w:rPr>
          <w:i/>
        </w:rPr>
        <w:t xml:space="preserve"> </w:t>
      </w:r>
      <w:r w:rsidR="008F1815">
        <w:rPr>
          <w:i/>
        </w:rPr>
        <w:t>and</w:t>
      </w:r>
      <w:r w:rsidR="00DE5179">
        <w:rPr>
          <w:i/>
        </w:rPr>
        <w:t xml:space="preserve"> (</w:t>
      </w:r>
      <w:r w:rsidR="003D3DE2">
        <w:rPr>
          <w:i/>
        </w:rPr>
        <w:t>g</w:t>
      </w:r>
      <w:r w:rsidR="00DE5179">
        <w:rPr>
          <w:i/>
        </w:rPr>
        <w:t>)(2)</w:t>
      </w:r>
      <w:r>
        <w:rPr>
          <w:i/>
        </w:rPr>
        <w:t>.</w:t>
      </w:r>
    </w:p>
    <w:p w14:paraId="54FABE02" w14:textId="77777777" w:rsidR="00C934ED" w:rsidRDefault="00C934ED">
      <w:pPr>
        <w:rPr>
          <w:color w:val="000000"/>
        </w:rPr>
      </w:pPr>
    </w:p>
    <w:p w14:paraId="7F41BF59" w14:textId="0F3A42C6" w:rsidR="00C934ED" w:rsidRPr="00710A74" w:rsidRDefault="00C934ED" w:rsidP="006C28C2">
      <w:pPr>
        <w:pStyle w:val="Heading2"/>
        <w:tabs>
          <w:tab w:val="clear" w:pos="1080"/>
        </w:tabs>
        <w:rPr>
          <w:b/>
          <w:bCs w:val="0"/>
          <w:color w:val="000000"/>
        </w:rPr>
      </w:pPr>
      <w:r>
        <w:t>Financial and Credit Risk</w:t>
      </w:r>
    </w:p>
    <w:p w14:paraId="1856B711" w14:textId="77777777" w:rsidR="00C934ED" w:rsidRDefault="00C934ED">
      <w:pPr>
        <w:rPr>
          <w:i/>
          <w:iCs/>
          <w:color w:val="000000"/>
        </w:rPr>
      </w:pPr>
      <w:r>
        <w:rPr>
          <w:i/>
          <w:iCs/>
          <w:color w:val="000000"/>
        </w:rPr>
        <w:t xml:space="preserve">Financial risk involves the firm’s ability to fund operations and maintain adequate financing and sufficient capital. The firm also may face credit risk (where its investments may erode from the lack of liquidity in the broader market), which would also hinder the ability of the firm’s counterparties to fulfill their obligations.  </w:t>
      </w:r>
    </w:p>
    <w:p w14:paraId="51B9B2DC" w14:textId="77777777" w:rsidR="00C934ED" w:rsidRDefault="00C934ED">
      <w:pPr>
        <w:rPr>
          <w:i/>
          <w:iCs/>
          <w:color w:val="000000"/>
        </w:rPr>
      </w:pPr>
    </w:p>
    <w:p w14:paraId="5C0F77CA" w14:textId="0AB285B1" w:rsidR="00C934ED" w:rsidRDefault="00C934ED">
      <w:pPr>
        <w:rPr>
          <w:color w:val="000000"/>
        </w:rPr>
      </w:pPr>
      <w:r>
        <w:rPr>
          <w:i/>
          <w:iCs/>
          <w:color w:val="000000"/>
        </w:rPr>
        <w:t>TEXT EXAMPLE:</w:t>
      </w:r>
      <w:r w:rsidR="000C2314">
        <w:rPr>
          <w:color w:val="000000"/>
        </w:rPr>
        <w:t xml:space="preserve"> </w:t>
      </w:r>
      <w:r>
        <w:rPr>
          <w:color w:val="000000"/>
        </w:rPr>
        <w:t>In the event of an SBD</w:t>
      </w:r>
      <w:r w:rsidR="00ED59AA">
        <w:rPr>
          <w:color w:val="000000"/>
        </w:rPr>
        <w:t xml:space="preserve"> impacting our financial position</w:t>
      </w:r>
      <w:r>
        <w:rPr>
          <w:color w:val="000000"/>
        </w:rPr>
        <w:t xml:space="preserve">, we will determine the value and liquidity of our investments and other assets to evaluate our ability to continue to fund our operations and remain in capital compliance. We will contact our clearing firm, critical </w:t>
      </w:r>
      <w:proofErr w:type="gramStart"/>
      <w:r>
        <w:rPr>
          <w:color w:val="000000"/>
        </w:rPr>
        <w:t>banks</w:t>
      </w:r>
      <w:proofErr w:type="gramEnd"/>
      <w:r>
        <w:rPr>
          <w:color w:val="000000"/>
        </w:rPr>
        <w:t xml:space="preserve"> and investors to apprise them of our financial status. If we determine that we may be unable to meet our obligations to those </w:t>
      </w:r>
      <w:proofErr w:type="gramStart"/>
      <w:r>
        <w:rPr>
          <w:color w:val="000000"/>
        </w:rPr>
        <w:t>counter-parties</w:t>
      </w:r>
      <w:proofErr w:type="gramEnd"/>
      <w:r>
        <w:rPr>
          <w:color w:val="000000"/>
        </w:rPr>
        <w:t xml:space="preserve"> or otherwise continue to fund our operations, we will request additional financing from our bank or other credit sources to fulfill our obligations to our customers and clients. If we cannot remedy a capital deficiency, we will file appropriate notices with our regulators and immediately take appropriate steps, including [</w:t>
      </w:r>
      <w:r w:rsidRPr="00710A74">
        <w:rPr>
          <w:iCs/>
          <w:color w:val="000000"/>
        </w:rPr>
        <w:t>insert procedures</w:t>
      </w:r>
      <w:r>
        <w:rPr>
          <w:color w:val="000000"/>
        </w:rPr>
        <w:t>].</w:t>
      </w:r>
    </w:p>
    <w:p w14:paraId="5873605D" w14:textId="77777777" w:rsidR="00C934ED" w:rsidRDefault="00C934ED">
      <w:pPr>
        <w:rPr>
          <w:color w:val="000000"/>
        </w:rPr>
      </w:pPr>
    </w:p>
    <w:p w14:paraId="5D44C3C6" w14:textId="7996F680" w:rsidR="00C934ED" w:rsidRDefault="00C934ED">
      <w:pPr>
        <w:rPr>
          <w:color w:val="000000"/>
        </w:rPr>
      </w:pPr>
      <w:r>
        <w:rPr>
          <w:i/>
          <w:u w:val="single"/>
        </w:rPr>
        <w:t>Rule:</w:t>
      </w:r>
      <w:r w:rsidR="000C2314">
        <w:rPr>
          <w:i/>
        </w:rPr>
        <w:t xml:space="preserve"> </w:t>
      </w:r>
      <w:r w:rsidR="00BE771E">
        <w:rPr>
          <w:i/>
        </w:rPr>
        <w:t>FINRA Rules 4370(c)(3)</w:t>
      </w:r>
      <w:r w:rsidR="00DE5179">
        <w:rPr>
          <w:i/>
        </w:rPr>
        <w:t xml:space="preserve">, (c)(8) </w:t>
      </w:r>
      <w:r w:rsidR="009E1218">
        <w:rPr>
          <w:i/>
        </w:rPr>
        <w:t>and</w:t>
      </w:r>
      <w:r w:rsidR="00DE5179">
        <w:rPr>
          <w:i/>
        </w:rPr>
        <w:t xml:space="preserve"> (</w:t>
      </w:r>
      <w:r w:rsidR="003D3DE2">
        <w:rPr>
          <w:i/>
        </w:rPr>
        <w:t>g</w:t>
      </w:r>
      <w:r w:rsidR="00DE5179">
        <w:rPr>
          <w:i/>
        </w:rPr>
        <w:t>)</w:t>
      </w:r>
      <w:r w:rsidR="000F3F22">
        <w:rPr>
          <w:i/>
        </w:rPr>
        <w:t>(</w:t>
      </w:r>
      <w:r w:rsidR="00DE5179">
        <w:rPr>
          <w:i/>
        </w:rPr>
        <w:t>2</w:t>
      </w:r>
      <w:r w:rsidR="000F3F22">
        <w:rPr>
          <w:i/>
        </w:rPr>
        <w:t>)</w:t>
      </w:r>
      <w:r>
        <w:rPr>
          <w:i/>
        </w:rPr>
        <w:t>.</w:t>
      </w:r>
    </w:p>
    <w:p w14:paraId="321763AA" w14:textId="77777777" w:rsidR="00C934ED" w:rsidRDefault="00C934ED">
      <w:pPr>
        <w:rPr>
          <w:i/>
        </w:rPr>
      </w:pPr>
    </w:p>
    <w:p w14:paraId="1AF2E27E" w14:textId="2F7B8E80" w:rsidR="00C934ED" w:rsidRDefault="00C934ED" w:rsidP="00710A74">
      <w:pPr>
        <w:pStyle w:val="Heading1"/>
        <w:tabs>
          <w:tab w:val="clear" w:pos="360"/>
        </w:tabs>
      </w:pPr>
      <w:r>
        <w:rPr>
          <w:bCs w:val="0"/>
        </w:rPr>
        <w:t>Mission Critical Systems</w:t>
      </w:r>
    </w:p>
    <w:p w14:paraId="72E7C619" w14:textId="3216A409" w:rsidR="00C934ED" w:rsidRDefault="00C934ED">
      <w:pPr>
        <w:pStyle w:val="BodyText2"/>
        <w:rPr>
          <w:bCs w:val="0"/>
        </w:rPr>
      </w:pPr>
      <w:r>
        <w:rPr>
          <w:bCs w:val="0"/>
        </w:rPr>
        <w:t>Describe your firm’s mission critical systems</w:t>
      </w:r>
      <w:r w:rsidR="00B01A0B">
        <w:rPr>
          <w:bCs w:val="0"/>
        </w:rPr>
        <w:t>. If your firm relies on the clearing firm for any mission critical system,</w:t>
      </w:r>
      <w:r>
        <w:rPr>
          <w:bCs w:val="0"/>
        </w:rPr>
        <w:t xml:space="preserve"> </w:t>
      </w:r>
      <w:r w:rsidR="00B01A0B">
        <w:rPr>
          <w:bCs w:val="0"/>
        </w:rPr>
        <w:t>describe</w:t>
      </w:r>
      <w:r>
        <w:rPr>
          <w:bCs w:val="0"/>
        </w:rPr>
        <w:t xml:space="preserve"> </w:t>
      </w:r>
      <w:r w:rsidR="00D86B58">
        <w:rPr>
          <w:bCs w:val="0"/>
        </w:rPr>
        <w:t xml:space="preserve">your firm’s </w:t>
      </w:r>
      <w:r>
        <w:rPr>
          <w:bCs w:val="0"/>
        </w:rPr>
        <w:t xml:space="preserve">review </w:t>
      </w:r>
      <w:r w:rsidR="00D86B58">
        <w:rPr>
          <w:bCs w:val="0"/>
        </w:rPr>
        <w:t>of its</w:t>
      </w:r>
      <w:r>
        <w:rPr>
          <w:bCs w:val="0"/>
        </w:rPr>
        <w:t xml:space="preserve"> clearing firm’s capabilities to perform mission critical functions for your firm.</w:t>
      </w:r>
    </w:p>
    <w:p w14:paraId="40A7B47A" w14:textId="77777777" w:rsidR="00C934ED" w:rsidRDefault="00C934ED"/>
    <w:p w14:paraId="7CC38ED9" w14:textId="0CAF1AB7" w:rsidR="00C934ED" w:rsidRDefault="00C934ED">
      <w:r>
        <w:rPr>
          <w:i/>
          <w:iCs/>
          <w:color w:val="000000"/>
        </w:rPr>
        <w:t>TEXT EXAMPLE:</w:t>
      </w:r>
      <w:r w:rsidR="000C2314">
        <w:rPr>
          <w:color w:val="000000"/>
        </w:rPr>
        <w:t xml:space="preserve"> </w:t>
      </w:r>
      <w:r>
        <w:t xml:space="preserve">Our firm’s “mission critical systems” are those that ensure prompt and accurate processing of securities transactions, including order taking, entry, execution, comparison, allocation, clearance and settlement of securities transactions, the maintenance of customer accounts, access to customer accounts and the delivery of funds and securities. More specifically, these systems include: </w:t>
      </w:r>
    </w:p>
    <w:p w14:paraId="2645E924" w14:textId="5A258083" w:rsidR="00C872C4" w:rsidRDefault="00C872C4"/>
    <w:tbl>
      <w:tblPr>
        <w:tblStyle w:val="TableGrid"/>
        <w:tblW w:w="0" w:type="auto"/>
        <w:tblInd w:w="0" w:type="dxa"/>
        <w:tblLook w:val="04A0" w:firstRow="1" w:lastRow="0" w:firstColumn="1" w:lastColumn="0" w:noHBand="0" w:noVBand="1"/>
      </w:tblPr>
      <w:tblGrid>
        <w:gridCol w:w="2188"/>
        <w:gridCol w:w="2208"/>
        <w:gridCol w:w="2325"/>
        <w:gridCol w:w="1909"/>
      </w:tblGrid>
      <w:tr w:rsidR="00C872C4" w14:paraId="4F1C2F5C" w14:textId="586F4064" w:rsidTr="00710A74">
        <w:tc>
          <w:tcPr>
            <w:tcW w:w="2188" w:type="dxa"/>
            <w:shd w:val="clear" w:color="auto" w:fill="C6D9F1" w:themeFill="text2" w:themeFillTint="33"/>
            <w:vAlign w:val="bottom"/>
          </w:tcPr>
          <w:p w14:paraId="7872E6F2" w14:textId="42A0EDF9" w:rsidR="00C872C4" w:rsidRPr="00710A74" w:rsidRDefault="00C872C4">
            <w:pPr>
              <w:rPr>
                <w:b/>
              </w:rPr>
            </w:pPr>
            <w:r w:rsidRPr="00710A74">
              <w:rPr>
                <w:b/>
              </w:rPr>
              <w:lastRenderedPageBreak/>
              <w:t>Mission Critical System</w:t>
            </w:r>
          </w:p>
        </w:tc>
        <w:tc>
          <w:tcPr>
            <w:tcW w:w="2208" w:type="dxa"/>
            <w:shd w:val="clear" w:color="auto" w:fill="C6D9F1" w:themeFill="text2" w:themeFillTint="33"/>
            <w:vAlign w:val="bottom"/>
          </w:tcPr>
          <w:p w14:paraId="6B12BA23" w14:textId="5DD9E601" w:rsidR="00C872C4" w:rsidRPr="00710A74" w:rsidRDefault="00C872C4" w:rsidP="00C872C4">
            <w:pPr>
              <w:rPr>
                <w:b/>
              </w:rPr>
            </w:pPr>
            <w:r w:rsidRPr="00816230">
              <w:rPr>
                <w:b/>
              </w:rPr>
              <w:t>Function</w:t>
            </w:r>
            <w:r w:rsidRPr="00710A74">
              <w:rPr>
                <w:b/>
              </w:rPr>
              <w:t xml:space="preserve"> </w:t>
            </w:r>
          </w:p>
        </w:tc>
        <w:tc>
          <w:tcPr>
            <w:tcW w:w="2325" w:type="dxa"/>
            <w:shd w:val="clear" w:color="auto" w:fill="C6D9F1" w:themeFill="text2" w:themeFillTint="33"/>
            <w:vAlign w:val="bottom"/>
          </w:tcPr>
          <w:p w14:paraId="487BC408" w14:textId="30D716AE" w:rsidR="00C872C4" w:rsidRPr="00710A74" w:rsidRDefault="00C872C4" w:rsidP="00C872C4">
            <w:pPr>
              <w:rPr>
                <w:b/>
              </w:rPr>
            </w:pPr>
            <w:r w:rsidRPr="00816230">
              <w:rPr>
                <w:b/>
              </w:rPr>
              <w:t xml:space="preserve">Provider </w:t>
            </w:r>
          </w:p>
        </w:tc>
        <w:tc>
          <w:tcPr>
            <w:tcW w:w="1909" w:type="dxa"/>
            <w:shd w:val="clear" w:color="auto" w:fill="C6D9F1" w:themeFill="text2" w:themeFillTint="33"/>
            <w:vAlign w:val="bottom"/>
          </w:tcPr>
          <w:p w14:paraId="3F061FE9" w14:textId="6E988403" w:rsidR="00C872C4" w:rsidRPr="00710A74" w:rsidRDefault="00C872C4">
            <w:pPr>
              <w:rPr>
                <w:b/>
              </w:rPr>
            </w:pPr>
            <w:r w:rsidRPr="00816230">
              <w:rPr>
                <w:b/>
              </w:rPr>
              <w:t>Contact Information</w:t>
            </w:r>
          </w:p>
        </w:tc>
      </w:tr>
      <w:tr w:rsidR="00C872C4" w14:paraId="720ED606" w14:textId="6902F07A" w:rsidTr="00710A74">
        <w:tc>
          <w:tcPr>
            <w:tcW w:w="2188" w:type="dxa"/>
          </w:tcPr>
          <w:p w14:paraId="0751CF11" w14:textId="77777777" w:rsidR="00C872C4" w:rsidRDefault="00C872C4"/>
        </w:tc>
        <w:tc>
          <w:tcPr>
            <w:tcW w:w="2208" w:type="dxa"/>
          </w:tcPr>
          <w:p w14:paraId="68816F34" w14:textId="77777777" w:rsidR="00C872C4" w:rsidRDefault="00C872C4"/>
        </w:tc>
        <w:tc>
          <w:tcPr>
            <w:tcW w:w="2325" w:type="dxa"/>
          </w:tcPr>
          <w:p w14:paraId="4894084A" w14:textId="77777777" w:rsidR="00C872C4" w:rsidRDefault="00C872C4"/>
        </w:tc>
        <w:tc>
          <w:tcPr>
            <w:tcW w:w="1909" w:type="dxa"/>
          </w:tcPr>
          <w:p w14:paraId="30D0796C" w14:textId="77777777" w:rsidR="00C872C4" w:rsidRDefault="00C872C4"/>
        </w:tc>
      </w:tr>
      <w:tr w:rsidR="00C872C4" w14:paraId="7134373A" w14:textId="48CEFCCD" w:rsidTr="00710A74">
        <w:tc>
          <w:tcPr>
            <w:tcW w:w="2188" w:type="dxa"/>
          </w:tcPr>
          <w:p w14:paraId="3E358789" w14:textId="77777777" w:rsidR="00C872C4" w:rsidRDefault="00C872C4"/>
        </w:tc>
        <w:tc>
          <w:tcPr>
            <w:tcW w:w="2208" w:type="dxa"/>
          </w:tcPr>
          <w:p w14:paraId="269D6737" w14:textId="77777777" w:rsidR="00C872C4" w:rsidRDefault="00C872C4"/>
        </w:tc>
        <w:tc>
          <w:tcPr>
            <w:tcW w:w="2325" w:type="dxa"/>
          </w:tcPr>
          <w:p w14:paraId="7F8D77A7" w14:textId="77777777" w:rsidR="00C872C4" w:rsidRDefault="00C872C4"/>
        </w:tc>
        <w:tc>
          <w:tcPr>
            <w:tcW w:w="1909" w:type="dxa"/>
          </w:tcPr>
          <w:p w14:paraId="47C512C6" w14:textId="77777777" w:rsidR="00C872C4" w:rsidRDefault="00C872C4"/>
        </w:tc>
      </w:tr>
      <w:tr w:rsidR="00C872C4" w14:paraId="6A3CF252" w14:textId="6E6E08A6" w:rsidTr="00710A74">
        <w:tc>
          <w:tcPr>
            <w:tcW w:w="2188" w:type="dxa"/>
          </w:tcPr>
          <w:p w14:paraId="7B37AC1F" w14:textId="77777777" w:rsidR="00C872C4" w:rsidRDefault="00C872C4"/>
        </w:tc>
        <w:tc>
          <w:tcPr>
            <w:tcW w:w="2208" w:type="dxa"/>
          </w:tcPr>
          <w:p w14:paraId="21D30B70" w14:textId="77777777" w:rsidR="00C872C4" w:rsidRDefault="00C872C4"/>
        </w:tc>
        <w:tc>
          <w:tcPr>
            <w:tcW w:w="2325" w:type="dxa"/>
          </w:tcPr>
          <w:p w14:paraId="386A8A00" w14:textId="77777777" w:rsidR="00C872C4" w:rsidRDefault="00C872C4"/>
        </w:tc>
        <w:tc>
          <w:tcPr>
            <w:tcW w:w="1909" w:type="dxa"/>
          </w:tcPr>
          <w:p w14:paraId="0E4EB687" w14:textId="77777777" w:rsidR="00C872C4" w:rsidRDefault="00C872C4"/>
        </w:tc>
      </w:tr>
      <w:tr w:rsidR="00C872C4" w14:paraId="2A06925D" w14:textId="7CBD1402" w:rsidTr="00710A74">
        <w:tc>
          <w:tcPr>
            <w:tcW w:w="2188" w:type="dxa"/>
          </w:tcPr>
          <w:p w14:paraId="3F292934" w14:textId="77777777" w:rsidR="00C872C4" w:rsidRDefault="00C872C4"/>
        </w:tc>
        <w:tc>
          <w:tcPr>
            <w:tcW w:w="2208" w:type="dxa"/>
          </w:tcPr>
          <w:p w14:paraId="291E7B92" w14:textId="77777777" w:rsidR="00C872C4" w:rsidRDefault="00C872C4"/>
        </w:tc>
        <w:tc>
          <w:tcPr>
            <w:tcW w:w="2325" w:type="dxa"/>
          </w:tcPr>
          <w:p w14:paraId="1177550D" w14:textId="77777777" w:rsidR="00C872C4" w:rsidRDefault="00C872C4"/>
        </w:tc>
        <w:tc>
          <w:tcPr>
            <w:tcW w:w="1909" w:type="dxa"/>
          </w:tcPr>
          <w:p w14:paraId="7CB58F0D" w14:textId="77777777" w:rsidR="00C872C4" w:rsidRDefault="00C872C4"/>
        </w:tc>
      </w:tr>
      <w:tr w:rsidR="00C872C4" w14:paraId="338B8E51" w14:textId="5C3DEF84" w:rsidTr="00710A74">
        <w:tc>
          <w:tcPr>
            <w:tcW w:w="2188" w:type="dxa"/>
          </w:tcPr>
          <w:p w14:paraId="5929CDEE" w14:textId="77777777" w:rsidR="00C872C4" w:rsidRDefault="00C872C4"/>
        </w:tc>
        <w:tc>
          <w:tcPr>
            <w:tcW w:w="2208" w:type="dxa"/>
          </w:tcPr>
          <w:p w14:paraId="33CDFCA0" w14:textId="77777777" w:rsidR="00C872C4" w:rsidRDefault="00C872C4"/>
        </w:tc>
        <w:tc>
          <w:tcPr>
            <w:tcW w:w="2325" w:type="dxa"/>
          </w:tcPr>
          <w:p w14:paraId="006165D0" w14:textId="77777777" w:rsidR="00C872C4" w:rsidRDefault="00C872C4"/>
        </w:tc>
        <w:tc>
          <w:tcPr>
            <w:tcW w:w="1909" w:type="dxa"/>
          </w:tcPr>
          <w:p w14:paraId="4F1A764A" w14:textId="77777777" w:rsidR="00C872C4" w:rsidRDefault="00C872C4"/>
        </w:tc>
      </w:tr>
    </w:tbl>
    <w:p w14:paraId="754C1590" w14:textId="77777777" w:rsidR="00C934ED" w:rsidRDefault="00C934ED"/>
    <w:p w14:paraId="02E42389" w14:textId="53CF59B3" w:rsidR="00C934ED" w:rsidRDefault="00B01A0B">
      <w:r>
        <w:t>Our firm</w:t>
      </w:r>
      <w:r w:rsidR="00C934ED">
        <w:t xml:space="preserve"> </w:t>
      </w:r>
      <w:r>
        <w:t xml:space="preserve">establishes </w:t>
      </w:r>
      <w:r w:rsidR="00C934ED">
        <w:t xml:space="preserve">and </w:t>
      </w:r>
      <w:r>
        <w:t xml:space="preserve">maintains </w:t>
      </w:r>
      <w:r w:rsidR="00C934ED">
        <w:t xml:space="preserve">our business relationships with our customers and </w:t>
      </w:r>
      <w:r w:rsidR="007C47EE">
        <w:t>performs the</w:t>
      </w:r>
      <w:r w:rsidR="00C934ED">
        <w:t xml:space="preserve"> mission critical functions of order taking [</w:t>
      </w:r>
      <w:r w:rsidR="00C934ED" w:rsidRPr="003232AE">
        <w:t>and]</w:t>
      </w:r>
      <w:r w:rsidR="00C934ED">
        <w:t xml:space="preserve"> entry [</w:t>
      </w:r>
      <w:r w:rsidR="00C934ED" w:rsidRPr="003232AE">
        <w:t>and execution</w:t>
      </w:r>
      <w:r w:rsidR="00C934ED">
        <w:t>]. Our clearing firm provides, through contract, the [</w:t>
      </w:r>
      <w:r w:rsidR="00C934ED" w:rsidRPr="003232AE">
        <w:t>execution,</w:t>
      </w:r>
      <w:r w:rsidR="00C934ED">
        <w:t xml:space="preserve">] comparison, allocation, clearance and settlement of securities transactions, maintenance of customer accounts, access to customer accounts and the delivery of funds and securities.  </w:t>
      </w:r>
    </w:p>
    <w:p w14:paraId="0533F9BE" w14:textId="77777777" w:rsidR="00C934ED" w:rsidRDefault="00C934ED"/>
    <w:p w14:paraId="46E06D03" w14:textId="57B07F8A" w:rsidR="007C47EE" w:rsidRDefault="007C47EE">
      <w:r>
        <w:t>[</w:t>
      </w:r>
      <w:r w:rsidRPr="003232AE">
        <w:t>In the event that our firm’s BCP is executed, our clearing firm contract provides that our clearing firm will [provide a description of any services that will be provided by the clearing firm when the BCP is executed, such as calls from customers to the firm’s main office will instead be directed to the clearing firm</w:t>
      </w:r>
      <w:r w:rsidR="002021F4" w:rsidRPr="003232AE">
        <w:t xml:space="preserve"> or customers will be instructed to place orders directly with the clearing firm</w:t>
      </w:r>
      <w:r>
        <w:t>.]</w:t>
      </w:r>
    </w:p>
    <w:p w14:paraId="39277AB2" w14:textId="77777777" w:rsidR="007C47EE" w:rsidRDefault="007C47EE"/>
    <w:p w14:paraId="36009FA1" w14:textId="246B014A" w:rsidR="00C934ED" w:rsidRDefault="00C934ED">
      <w:r>
        <w:t>Our clearing firm contract provides that our clearing firm will maintain a business continuity plan and the capacity to execute that plan. Our clearing firm represents that it will advise us of any material changes to its plan that might affect our business</w:t>
      </w:r>
      <w:r w:rsidR="002021F4">
        <w:t xml:space="preserve"> or customers</w:t>
      </w:r>
      <w:r>
        <w:t xml:space="preserve"> [</w:t>
      </w:r>
      <w:r w:rsidRPr="003232AE">
        <w:t xml:space="preserve">and </w:t>
      </w:r>
      <w:r w:rsidR="00FA02F4" w:rsidRPr="003232AE">
        <w:t xml:space="preserve">has </w:t>
      </w:r>
      <w:r w:rsidRPr="003232AE">
        <w:t>presented us with an executive summary of its plan, which is attached</w:t>
      </w:r>
      <w:r>
        <w:t>].</w:t>
      </w:r>
      <w:r w:rsidR="000C2314">
        <w:t xml:space="preserve"> </w:t>
      </w:r>
      <w:r>
        <w:t xml:space="preserve">In the event our clearing firm executes its plan, it represents that it will notify us of such execution and provide us equal access to services as its other customers. If we reasonably determine that our clearing firm has not or cannot put its plan in place quickly enough to meet our </w:t>
      </w:r>
      <w:proofErr w:type="gramStart"/>
      <w:r>
        <w:t>needs, or</w:t>
      </w:r>
      <w:proofErr w:type="gramEnd"/>
      <w:r>
        <w:t xml:space="preserve"> is otherwise unable to provide access to such services, our clearing firm represents that it will assist us in seeking services from an alternative source.  </w:t>
      </w:r>
    </w:p>
    <w:p w14:paraId="50F8B766" w14:textId="77777777" w:rsidR="00C934ED" w:rsidRDefault="00C934ED"/>
    <w:p w14:paraId="70A09F64" w14:textId="77777777" w:rsidR="00C934ED" w:rsidRDefault="00C934ED">
      <w:pPr>
        <w:rPr>
          <w:i/>
          <w:iCs/>
        </w:rPr>
      </w:pPr>
      <w:r>
        <w:t>Our clearing firm represents that it backs up our records at a remote [</w:t>
      </w:r>
      <w:r w:rsidRPr="003232AE">
        <w:t xml:space="preserve">or, </w:t>
      </w:r>
      <w:r w:rsidRPr="00710A74">
        <w:rPr>
          <w:iCs/>
        </w:rPr>
        <w:t>preferably,</w:t>
      </w:r>
      <w:r w:rsidRPr="003232AE">
        <w:t xml:space="preserve"> out of region</w:t>
      </w:r>
      <w:r>
        <w:t xml:space="preserve">] site. Our clearing firm represents that it operates a back-up operating facility in a geographically separate area with the capability to conduct the same volume of business as its primary site. Our clearing firm has also confirmed the effectiveness of its back-up arrangements to recover from a wide scale disruption by </w:t>
      </w:r>
      <w:proofErr w:type="gramStart"/>
      <w:r>
        <w:t>testing[</w:t>
      </w:r>
      <w:proofErr w:type="gramEnd"/>
      <w:r>
        <w:t>, and it has confirmed that it tests its back-up arrangements every</w:t>
      </w:r>
      <w:r>
        <w:rPr>
          <w:i/>
          <w:iCs/>
        </w:rPr>
        <w:t xml:space="preserve"> </w:t>
      </w:r>
      <w:r w:rsidRPr="00710A74">
        <w:rPr>
          <w:iCs/>
        </w:rPr>
        <w:t>time period</w:t>
      </w:r>
      <w:r w:rsidR="005B6425" w:rsidRPr="005B6425">
        <w:rPr>
          <w:iCs/>
        </w:rPr>
        <w:t>]</w:t>
      </w:r>
      <w:r>
        <w:rPr>
          <w:i/>
          <w:iCs/>
        </w:rPr>
        <w:t xml:space="preserve">. </w:t>
      </w:r>
    </w:p>
    <w:p w14:paraId="5D0FA946" w14:textId="77777777" w:rsidR="00C934ED" w:rsidRDefault="00C934ED">
      <w:pPr>
        <w:rPr>
          <w:i/>
          <w:iCs/>
        </w:rPr>
      </w:pPr>
    </w:p>
    <w:p w14:paraId="3CDDDCA3" w14:textId="77777777" w:rsidR="00C934ED" w:rsidRDefault="00C934ED">
      <w:pPr>
        <w:rPr>
          <w:color w:val="454545"/>
          <w:szCs w:val="20"/>
        </w:rPr>
      </w:pPr>
      <w:r>
        <w:t xml:space="preserve">Recovery-time objectives provide concrete goals to plan for and test against. They are not, however, hard and fast deadlines that must be met in every </w:t>
      </w:r>
      <w:proofErr w:type="gramStart"/>
      <w:r>
        <w:t>emergency situation</w:t>
      </w:r>
      <w:proofErr w:type="gramEnd"/>
      <w:r>
        <w:t xml:space="preserve">, and various external factors surrounding a disruption, such as time of day, scope of disruption and status of critical infrastructure—particularly telecommunications—can affect actual recovery times. Recovery refers to the restoration of clearing and settlement activities after a wide-scale disruption; resumption refers to the capacity to accept and process new transactions and payments after a wide-scale disruption. Our clearing firm has the </w:t>
      </w:r>
      <w:r>
        <w:lastRenderedPageBreak/>
        <w:t xml:space="preserve">following SBD recovery time and resumption objectives: recovery </w:t>
      </w:r>
      <w:proofErr w:type="gramStart"/>
      <w:r>
        <w:t>time period</w:t>
      </w:r>
      <w:proofErr w:type="gramEnd"/>
      <w:r>
        <w:t xml:space="preserve"> of </w:t>
      </w:r>
      <w:r w:rsidR="00515C0A">
        <w:rPr>
          <w:iCs/>
        </w:rPr>
        <w:t>[</w:t>
      </w:r>
      <w:r>
        <w:rPr>
          <w:i/>
          <w:iCs/>
        </w:rPr>
        <w:t xml:space="preserve">e.g., </w:t>
      </w:r>
      <w:r w:rsidRPr="00710A74">
        <w:rPr>
          <w:iCs/>
        </w:rPr>
        <w:t>within 4 hours</w:t>
      </w:r>
      <w:r w:rsidR="00515C0A">
        <w:rPr>
          <w:iCs/>
        </w:rPr>
        <w:t>]</w:t>
      </w:r>
      <w:r>
        <w:rPr>
          <w:i/>
          <w:iCs/>
        </w:rPr>
        <w:t xml:space="preserve">; </w:t>
      </w:r>
      <w:r>
        <w:t xml:space="preserve">and resumption time of </w:t>
      </w:r>
      <w:r w:rsidR="00515C0A">
        <w:rPr>
          <w:iCs/>
        </w:rPr>
        <w:t>[</w:t>
      </w:r>
      <w:r>
        <w:rPr>
          <w:i/>
          <w:iCs/>
        </w:rPr>
        <w:t xml:space="preserve">e.g., </w:t>
      </w:r>
      <w:r w:rsidRPr="00710A74">
        <w:rPr>
          <w:iCs/>
        </w:rPr>
        <w:t>within the same business day</w:t>
      </w:r>
      <w:r w:rsidRPr="003232AE">
        <w:t>].</w:t>
      </w:r>
      <w:r>
        <w:t xml:space="preserve"> </w:t>
      </w:r>
    </w:p>
    <w:p w14:paraId="26663CDF" w14:textId="77777777" w:rsidR="00C934ED" w:rsidRDefault="00C934ED"/>
    <w:p w14:paraId="3B3A00D1" w14:textId="77777777" w:rsidR="00D86B58" w:rsidRPr="00EE28B0" w:rsidRDefault="00D86B58" w:rsidP="00D86B58">
      <w:r>
        <w:t>[</w:t>
      </w:r>
      <w:r w:rsidRPr="00710A74">
        <w:t>Name</w:t>
      </w:r>
      <w:r>
        <w:t>] will periodically review our clearing firm’s capabilities to perform the mission critical functions the clearing firm has contracted to perform for our firm</w:t>
      </w:r>
      <w:r w:rsidR="00A0743D">
        <w:t>.</w:t>
      </w:r>
    </w:p>
    <w:p w14:paraId="5AA6356F" w14:textId="77777777" w:rsidR="00D86B58" w:rsidRDefault="00D86B58"/>
    <w:p w14:paraId="355CD478" w14:textId="531697E2" w:rsidR="00C934ED" w:rsidRDefault="00C934ED" w:rsidP="00027FC7">
      <w:pPr>
        <w:pStyle w:val="Heading2"/>
        <w:numPr>
          <w:ilvl w:val="1"/>
          <w:numId w:val="2"/>
        </w:numPr>
        <w:tabs>
          <w:tab w:val="clear" w:pos="1080"/>
        </w:tabs>
        <w:spacing w:after="0"/>
        <w:ind w:left="1440" w:hanging="720"/>
      </w:pPr>
      <w:r>
        <w:t>Our Firm’s Mission Critical Systems</w:t>
      </w:r>
    </w:p>
    <w:p w14:paraId="24CD938B" w14:textId="77777777" w:rsidR="00027FC7" w:rsidRPr="00027FC7" w:rsidRDefault="00027FC7" w:rsidP="00027FC7">
      <w:pPr>
        <w:pStyle w:val="Heading2"/>
        <w:numPr>
          <w:ilvl w:val="0"/>
          <w:numId w:val="0"/>
        </w:numPr>
        <w:spacing w:after="0"/>
        <w:ind w:left="1440"/>
        <w:rPr>
          <w:sz w:val="24"/>
          <w:szCs w:val="24"/>
        </w:rPr>
      </w:pPr>
    </w:p>
    <w:p w14:paraId="454FBDB6" w14:textId="7DCC504E" w:rsidR="00C934ED" w:rsidRPr="00027FC7" w:rsidRDefault="00C934ED" w:rsidP="00027FC7">
      <w:pPr>
        <w:pStyle w:val="Heading3"/>
        <w:tabs>
          <w:tab w:val="clear" w:pos="1800"/>
        </w:tabs>
        <w:spacing w:after="0"/>
        <w:ind w:left="2160" w:hanging="720"/>
        <w:rPr>
          <w:b w:val="0"/>
          <w:bCs w:val="0"/>
        </w:rPr>
      </w:pPr>
      <w:r>
        <w:t>Order Taking</w:t>
      </w:r>
    </w:p>
    <w:p w14:paraId="2231C7A9" w14:textId="77777777" w:rsidR="00027FC7" w:rsidRPr="00027FC7" w:rsidRDefault="00027FC7" w:rsidP="00027FC7">
      <w:pPr>
        <w:pStyle w:val="Heading3"/>
        <w:numPr>
          <w:ilvl w:val="0"/>
          <w:numId w:val="0"/>
        </w:numPr>
        <w:spacing w:after="0"/>
        <w:ind w:left="2160"/>
        <w:rPr>
          <w:b w:val="0"/>
          <w:bCs w:val="0"/>
        </w:rPr>
      </w:pPr>
    </w:p>
    <w:p w14:paraId="1F2DB8D9" w14:textId="381D3DFD" w:rsidR="00C934ED" w:rsidRDefault="00C934ED">
      <w:pPr>
        <w:rPr>
          <w:bCs/>
          <w:i/>
          <w:iCs/>
        </w:rPr>
      </w:pPr>
      <w:r>
        <w:rPr>
          <w:bCs/>
          <w:i/>
          <w:iCs/>
        </w:rPr>
        <w:t>Describe how your firm will handle order taking in the event of an SBD.</w:t>
      </w:r>
    </w:p>
    <w:p w14:paraId="38192C7B" w14:textId="77777777" w:rsidR="00C934ED" w:rsidRDefault="00C934ED">
      <w:pPr>
        <w:rPr>
          <w:bCs/>
          <w:i/>
          <w:iCs/>
        </w:rPr>
      </w:pPr>
    </w:p>
    <w:p w14:paraId="38CC47BF" w14:textId="6F2D5BB3" w:rsidR="00C934ED" w:rsidRDefault="00C934ED">
      <w:pPr>
        <w:rPr>
          <w:bCs/>
        </w:rPr>
      </w:pPr>
      <w:r>
        <w:rPr>
          <w:bCs/>
          <w:i/>
        </w:rPr>
        <w:t>TEXT EXAMPLE</w:t>
      </w:r>
      <w:r>
        <w:rPr>
          <w:bCs/>
        </w:rPr>
        <w:t>:</w:t>
      </w:r>
      <w:r w:rsidR="000C2314">
        <w:rPr>
          <w:bCs/>
        </w:rPr>
        <w:t xml:space="preserve"> </w:t>
      </w:r>
      <w:r>
        <w:rPr>
          <w:bCs/>
        </w:rPr>
        <w:t>Currently, our firm receives orders from customers via [</w:t>
      </w:r>
      <w:r w:rsidRPr="00710A74">
        <w:rPr>
          <w:bCs/>
          <w:iCs/>
        </w:rPr>
        <w:t>insert all that apply</w:t>
      </w:r>
      <w:r w:rsidR="00A0743D" w:rsidRPr="00710A74">
        <w:rPr>
          <w:bCs/>
          <w:iCs/>
        </w:rPr>
        <w:t xml:space="preserve"> </w:t>
      </w:r>
      <w:r w:rsidR="00FA02F4" w:rsidRPr="00710A74">
        <w:rPr>
          <w:bCs/>
        </w:rPr>
        <w:t>(</w:t>
      </w:r>
      <w:r w:rsidR="00FA02F4" w:rsidRPr="003232AE">
        <w:rPr>
          <w:bCs/>
          <w:i/>
        </w:rPr>
        <w:t>e.g.</w:t>
      </w:r>
      <w:r w:rsidR="00FA02F4" w:rsidRPr="00710A74">
        <w:rPr>
          <w:bCs/>
        </w:rPr>
        <w:t>,</w:t>
      </w:r>
      <w:r w:rsidR="005B6425" w:rsidRPr="00710A74">
        <w:rPr>
          <w:bCs/>
        </w:rPr>
        <w:t xml:space="preserve"> phone</w:t>
      </w:r>
      <w:r w:rsidR="00FA02F4" w:rsidRPr="00710A74">
        <w:rPr>
          <w:bCs/>
        </w:rPr>
        <w:t xml:space="preserve">, </w:t>
      </w:r>
      <w:r w:rsidR="005B6425" w:rsidRPr="00710A74">
        <w:rPr>
          <w:bCs/>
        </w:rPr>
        <w:t>fax</w:t>
      </w:r>
      <w:r w:rsidR="00FA02F4" w:rsidRPr="00710A74">
        <w:rPr>
          <w:bCs/>
        </w:rPr>
        <w:t xml:space="preserve">, </w:t>
      </w:r>
      <w:r w:rsidR="005B6425" w:rsidRPr="00710A74">
        <w:rPr>
          <w:bCs/>
        </w:rPr>
        <w:t>email</w:t>
      </w:r>
      <w:r w:rsidR="00FA02F4" w:rsidRPr="00710A74">
        <w:rPr>
          <w:bCs/>
        </w:rPr>
        <w:t xml:space="preserve">, </w:t>
      </w:r>
      <w:r w:rsidR="00A3107E" w:rsidRPr="00710A74">
        <w:rPr>
          <w:bCs/>
        </w:rPr>
        <w:t>w</w:t>
      </w:r>
      <w:r w:rsidR="005B6425" w:rsidRPr="00710A74">
        <w:rPr>
          <w:bCs/>
        </w:rPr>
        <w:t>ebsite at [</w:t>
      </w:r>
      <w:r w:rsidRPr="00710A74">
        <w:rPr>
          <w:bCs/>
          <w:iCs/>
        </w:rPr>
        <w:t>insert URL</w:t>
      </w:r>
      <w:r w:rsidR="005B6425" w:rsidRPr="00710A74">
        <w:rPr>
          <w:bCs/>
        </w:rPr>
        <w:t>]</w:t>
      </w:r>
      <w:r w:rsidR="00FA02F4" w:rsidRPr="00710A74">
        <w:rPr>
          <w:bCs/>
        </w:rPr>
        <w:t xml:space="preserve">, </w:t>
      </w:r>
      <w:r w:rsidR="005B6425" w:rsidRPr="00710A74">
        <w:rPr>
          <w:bCs/>
        </w:rPr>
        <w:t>in</w:t>
      </w:r>
      <w:r w:rsidR="00FA02F4" w:rsidRPr="00710A74">
        <w:rPr>
          <w:bCs/>
        </w:rPr>
        <w:t>-</w:t>
      </w:r>
      <w:r w:rsidR="005B6425" w:rsidRPr="00710A74">
        <w:rPr>
          <w:bCs/>
        </w:rPr>
        <w:t>person visits by the customer</w:t>
      </w:r>
      <w:r w:rsidR="00FA02F4" w:rsidRPr="00710A74">
        <w:rPr>
          <w:bCs/>
        </w:rPr>
        <w:t>, etc.)</w:t>
      </w:r>
      <w:r w:rsidR="008641D3">
        <w:rPr>
          <w:bCs/>
        </w:rPr>
        <w:t>]</w:t>
      </w:r>
      <w:r>
        <w:rPr>
          <w:bCs/>
        </w:rPr>
        <w:t>.</w:t>
      </w:r>
      <w:r w:rsidR="000C2314">
        <w:rPr>
          <w:bCs/>
        </w:rPr>
        <w:t xml:space="preserve"> </w:t>
      </w:r>
      <w:r>
        <w:rPr>
          <w:bCs/>
        </w:rPr>
        <w:t>During an SBD, we will continue to take orders through any of these methods that are available and reliable</w:t>
      </w:r>
      <w:r w:rsidR="00CA081F">
        <w:rPr>
          <w:bCs/>
        </w:rPr>
        <w:t>.</w:t>
      </w:r>
      <w:r>
        <w:rPr>
          <w:bCs/>
        </w:rPr>
        <w:t xml:space="preserve"> </w:t>
      </w:r>
      <w:r w:rsidR="00CA081F">
        <w:rPr>
          <w:bCs/>
        </w:rPr>
        <w:t>A</w:t>
      </w:r>
      <w:r>
        <w:rPr>
          <w:bCs/>
        </w:rPr>
        <w:t>s communications permit, we will inform our customers what alternative</w:t>
      </w:r>
      <w:r w:rsidR="00CA081F">
        <w:rPr>
          <w:bCs/>
        </w:rPr>
        <w:t xml:space="preserve"> methods are available for sending orders</w:t>
      </w:r>
      <w:r>
        <w:rPr>
          <w:bCs/>
        </w:rPr>
        <w:t>.</w:t>
      </w:r>
      <w:r w:rsidR="000C2314">
        <w:rPr>
          <w:bCs/>
        </w:rPr>
        <w:t xml:space="preserve"> </w:t>
      </w:r>
      <w:r>
        <w:rPr>
          <w:bCs/>
        </w:rPr>
        <w:t>Customers will be informed of alternatives by [</w:t>
      </w:r>
      <w:r w:rsidR="004A2D04" w:rsidRPr="003232AE">
        <w:rPr>
          <w:bCs/>
        </w:rPr>
        <w:t>phone, email or posting on the firm’s website</w:t>
      </w:r>
      <w:r>
        <w:rPr>
          <w:bCs/>
        </w:rPr>
        <w:t>].</w:t>
      </w:r>
      <w:r w:rsidR="000C2314">
        <w:rPr>
          <w:bCs/>
        </w:rPr>
        <w:t xml:space="preserve"> </w:t>
      </w:r>
      <w:r>
        <w:rPr>
          <w:bCs/>
        </w:rPr>
        <w:t>If necessary, we will advise our customers to place orders directly with our clearing firm at [</w:t>
      </w:r>
      <w:r w:rsidRPr="00710A74">
        <w:rPr>
          <w:bCs/>
          <w:iCs/>
        </w:rPr>
        <w:t>insert</w:t>
      </w:r>
      <w:r w:rsidR="000A24FF" w:rsidRPr="00710A74">
        <w:rPr>
          <w:bCs/>
          <w:iCs/>
        </w:rPr>
        <w:t xml:space="preserve"> </w:t>
      </w:r>
      <w:r w:rsidR="00EA2C4A" w:rsidRPr="00710A74">
        <w:rPr>
          <w:bCs/>
          <w:iCs/>
        </w:rPr>
        <w:t>clearing firm contact information</w:t>
      </w:r>
      <w:r>
        <w:rPr>
          <w:bCs/>
        </w:rPr>
        <w:t>].</w:t>
      </w:r>
    </w:p>
    <w:p w14:paraId="0FE934CB" w14:textId="77777777" w:rsidR="00C934ED" w:rsidRPr="00027FC7" w:rsidRDefault="00C934ED">
      <w:pPr>
        <w:rPr>
          <w:bCs/>
        </w:rPr>
      </w:pPr>
    </w:p>
    <w:p w14:paraId="009B1163" w14:textId="603E67F0" w:rsidR="00C934ED" w:rsidRDefault="00C934ED" w:rsidP="006C28C2">
      <w:pPr>
        <w:pStyle w:val="Heading3"/>
        <w:tabs>
          <w:tab w:val="clear" w:pos="1800"/>
        </w:tabs>
        <w:ind w:left="2160" w:hanging="720"/>
        <w:rPr>
          <w:bCs w:val="0"/>
        </w:rPr>
      </w:pPr>
      <w:r>
        <w:t>Order Entry</w:t>
      </w:r>
    </w:p>
    <w:p w14:paraId="57F6BAEF" w14:textId="37834296" w:rsidR="00C934ED" w:rsidRDefault="00C934ED">
      <w:pPr>
        <w:rPr>
          <w:bCs/>
          <w:i/>
          <w:iCs/>
        </w:rPr>
      </w:pPr>
      <w:r>
        <w:rPr>
          <w:bCs/>
          <w:i/>
          <w:iCs/>
        </w:rPr>
        <w:t>Describe your firm’s procedures if an SBD prevents it from entering orders received from customers.</w:t>
      </w:r>
    </w:p>
    <w:p w14:paraId="2F6E56F7" w14:textId="77777777" w:rsidR="00C934ED" w:rsidRDefault="00C934ED" w:rsidP="00027FC7">
      <w:pPr>
        <w:rPr>
          <w:bCs/>
        </w:rPr>
      </w:pPr>
    </w:p>
    <w:p w14:paraId="370B1580" w14:textId="08F5FF57" w:rsidR="00C934ED" w:rsidRDefault="00C934ED">
      <w:pPr>
        <w:rPr>
          <w:bCs/>
          <w:i/>
          <w:iCs/>
        </w:rPr>
      </w:pPr>
      <w:r>
        <w:rPr>
          <w:bCs/>
          <w:i/>
        </w:rPr>
        <w:t>TEXT EXAMPLE</w:t>
      </w:r>
      <w:r>
        <w:rPr>
          <w:bCs/>
        </w:rPr>
        <w:t>:</w:t>
      </w:r>
      <w:r w:rsidR="000C2314">
        <w:rPr>
          <w:bCs/>
        </w:rPr>
        <w:t xml:space="preserve"> </w:t>
      </w:r>
      <w:r>
        <w:rPr>
          <w:bCs/>
        </w:rPr>
        <w:t xml:space="preserve">Currently, our firm </w:t>
      </w:r>
      <w:r w:rsidR="007624FB">
        <w:rPr>
          <w:bCs/>
        </w:rPr>
        <w:t>[</w:t>
      </w:r>
      <w:r w:rsidR="007624FB" w:rsidRPr="003232AE">
        <w:rPr>
          <w:bCs/>
        </w:rPr>
        <w:t>places</w:t>
      </w:r>
      <w:r w:rsidR="008A5564" w:rsidRPr="003232AE">
        <w:rPr>
          <w:bCs/>
        </w:rPr>
        <w:t xml:space="preserve"> customer orders through [insert name of system]</w:t>
      </w:r>
      <w:r w:rsidR="007624FB" w:rsidRPr="003232AE">
        <w:rPr>
          <w:bCs/>
        </w:rPr>
        <w:t xml:space="preserve"> or </w:t>
      </w:r>
      <w:r w:rsidR="008A5564" w:rsidRPr="003232AE">
        <w:rPr>
          <w:bCs/>
        </w:rPr>
        <w:t>records customer orders [</w:t>
      </w:r>
      <w:r w:rsidRPr="003232AE">
        <w:rPr>
          <w:bCs/>
        </w:rPr>
        <w:t xml:space="preserve">on paper </w:t>
      </w:r>
      <w:r w:rsidR="008A5564" w:rsidRPr="003232AE">
        <w:rPr>
          <w:bCs/>
        </w:rPr>
        <w:t xml:space="preserve">or </w:t>
      </w:r>
      <w:r w:rsidRPr="003232AE">
        <w:rPr>
          <w:bCs/>
        </w:rPr>
        <w:t>electronically</w:t>
      </w:r>
      <w:r w:rsidR="008A5564" w:rsidRPr="003232AE">
        <w:rPr>
          <w:bCs/>
        </w:rPr>
        <w:t>]</w:t>
      </w:r>
      <w:r w:rsidRPr="003232AE">
        <w:rPr>
          <w:bCs/>
        </w:rPr>
        <w:t xml:space="preserve"> and </w:t>
      </w:r>
      <w:r w:rsidR="008A5564" w:rsidRPr="003232AE">
        <w:rPr>
          <w:bCs/>
        </w:rPr>
        <w:t xml:space="preserve">sends </w:t>
      </w:r>
      <w:r w:rsidRPr="003232AE">
        <w:rPr>
          <w:bCs/>
        </w:rPr>
        <w:t xml:space="preserve">them to our clearing firm </w:t>
      </w:r>
      <w:r w:rsidR="008A5564" w:rsidRPr="003232AE">
        <w:rPr>
          <w:bCs/>
        </w:rPr>
        <w:t>[</w:t>
      </w:r>
      <w:r w:rsidRPr="003232AE">
        <w:rPr>
          <w:bCs/>
        </w:rPr>
        <w:t>electronically or telephonically</w:t>
      </w:r>
      <w:r w:rsidR="008A5564" w:rsidRPr="003232AE">
        <w:rPr>
          <w:bCs/>
        </w:rPr>
        <w:t>]</w:t>
      </w:r>
      <w:r w:rsidR="007624FB">
        <w:rPr>
          <w:bCs/>
        </w:rPr>
        <w:t>]</w:t>
      </w:r>
      <w:r>
        <w:rPr>
          <w:bCs/>
        </w:rPr>
        <w:t>.</w:t>
      </w:r>
      <w:r w:rsidR="000C2314">
        <w:rPr>
          <w:bCs/>
        </w:rPr>
        <w:t xml:space="preserve"> </w:t>
      </w:r>
      <w:r>
        <w:rPr>
          <w:bCs/>
        </w:rPr>
        <w:t xml:space="preserve">We have contacted </w:t>
      </w:r>
      <w:r w:rsidR="00515C0A">
        <w:rPr>
          <w:bCs/>
          <w:iCs/>
        </w:rPr>
        <w:t>[</w:t>
      </w:r>
      <w:r w:rsidRPr="00710A74">
        <w:rPr>
          <w:bCs/>
          <w:iCs/>
        </w:rPr>
        <w:t xml:space="preserve">name of </w:t>
      </w:r>
      <w:r w:rsidR="008A5564" w:rsidRPr="00710A74">
        <w:rPr>
          <w:bCs/>
          <w:iCs/>
        </w:rPr>
        <w:t xml:space="preserve">customer order </w:t>
      </w:r>
      <w:r w:rsidRPr="00710A74">
        <w:rPr>
          <w:bCs/>
          <w:iCs/>
        </w:rPr>
        <w:t>system(s)</w:t>
      </w:r>
      <w:r w:rsidR="00515C0A">
        <w:rPr>
          <w:bCs/>
          <w:iCs/>
        </w:rPr>
        <w:t>]</w:t>
      </w:r>
      <w:r>
        <w:rPr>
          <w:bCs/>
        </w:rPr>
        <w:t xml:space="preserve"> and were told that, under its BCP, we can expect </w:t>
      </w:r>
      <w:r w:rsidR="00515C0A">
        <w:rPr>
          <w:bCs/>
          <w:iCs/>
        </w:rPr>
        <w:t>[</w:t>
      </w:r>
      <w:r w:rsidRPr="00710A74">
        <w:rPr>
          <w:bCs/>
          <w:iCs/>
        </w:rPr>
        <w:t>services</w:t>
      </w:r>
      <w:r w:rsidR="00515C0A">
        <w:rPr>
          <w:bCs/>
          <w:iCs/>
        </w:rPr>
        <w:t>]</w:t>
      </w:r>
      <w:r>
        <w:rPr>
          <w:bCs/>
        </w:rPr>
        <w:t xml:space="preserve"> within </w:t>
      </w:r>
      <w:r w:rsidR="00515C0A">
        <w:rPr>
          <w:bCs/>
          <w:iCs/>
        </w:rPr>
        <w:t>[</w:t>
      </w:r>
      <w:r w:rsidRPr="00710A74">
        <w:rPr>
          <w:bCs/>
          <w:iCs/>
        </w:rPr>
        <w:t>time</w:t>
      </w:r>
      <w:r w:rsidR="00515C0A">
        <w:rPr>
          <w:bCs/>
          <w:iCs/>
        </w:rPr>
        <w:t>]</w:t>
      </w:r>
      <w:r>
        <w:rPr>
          <w:bCs/>
          <w:i/>
          <w:iCs/>
        </w:rPr>
        <w:t>.</w:t>
      </w:r>
    </w:p>
    <w:p w14:paraId="3F44AC30" w14:textId="77777777" w:rsidR="00C934ED" w:rsidRDefault="00C934ED">
      <w:pPr>
        <w:rPr>
          <w:bCs/>
        </w:rPr>
      </w:pPr>
    </w:p>
    <w:p w14:paraId="488E7B5D" w14:textId="2254398B" w:rsidR="00C934ED" w:rsidRDefault="00C934ED">
      <w:pPr>
        <w:rPr>
          <w:bCs/>
        </w:rPr>
      </w:pPr>
      <w:r>
        <w:rPr>
          <w:bCs/>
        </w:rPr>
        <w:t>In the event of an SBD</w:t>
      </w:r>
      <w:r w:rsidR="008A5564">
        <w:rPr>
          <w:bCs/>
        </w:rPr>
        <w:t xml:space="preserve"> impacting order entry</w:t>
      </w:r>
      <w:r>
        <w:rPr>
          <w:bCs/>
        </w:rPr>
        <w:t xml:space="preserve">, we will enter and send </w:t>
      </w:r>
      <w:r w:rsidR="008A5564">
        <w:rPr>
          <w:bCs/>
        </w:rPr>
        <w:t xml:space="preserve">orders </w:t>
      </w:r>
      <w:r>
        <w:rPr>
          <w:bCs/>
        </w:rPr>
        <w:t>to our clearing firm by the fastest alternative means available, which include [</w:t>
      </w:r>
      <w:r w:rsidRPr="00710A74">
        <w:rPr>
          <w:bCs/>
          <w:iCs/>
        </w:rPr>
        <w:t>inser</w:t>
      </w:r>
      <w:r w:rsidR="00EA2C4A" w:rsidRPr="00710A74">
        <w:rPr>
          <w:bCs/>
          <w:iCs/>
        </w:rPr>
        <w:t>t means you</w:t>
      </w:r>
      <w:r w:rsidR="0043338D" w:rsidRPr="00710A74">
        <w:rPr>
          <w:bCs/>
          <w:iCs/>
        </w:rPr>
        <w:t>r firm</w:t>
      </w:r>
      <w:r w:rsidR="00EA2C4A" w:rsidRPr="00710A74">
        <w:rPr>
          <w:bCs/>
          <w:iCs/>
        </w:rPr>
        <w:t xml:space="preserve"> will use</w:t>
      </w:r>
      <w:r>
        <w:rPr>
          <w:bCs/>
        </w:rPr>
        <w:t xml:space="preserve">]. In the event of </w:t>
      </w:r>
      <w:r w:rsidR="008A5564">
        <w:rPr>
          <w:bCs/>
        </w:rPr>
        <w:t>our clearing firm experiences a</w:t>
      </w:r>
      <w:r w:rsidR="00194FB0">
        <w:rPr>
          <w:bCs/>
        </w:rPr>
        <w:t>n</w:t>
      </w:r>
      <w:r w:rsidR="008A5564">
        <w:rPr>
          <w:bCs/>
        </w:rPr>
        <w:t xml:space="preserve"> SBD impacting order entry, </w:t>
      </w:r>
      <w:r>
        <w:rPr>
          <w:bCs/>
        </w:rPr>
        <w:t xml:space="preserve">we will maintain the order in </w:t>
      </w:r>
      <w:r w:rsidR="008A5564">
        <w:rPr>
          <w:bCs/>
        </w:rPr>
        <w:t>[</w:t>
      </w:r>
      <w:r w:rsidRPr="003232AE">
        <w:rPr>
          <w:bCs/>
        </w:rPr>
        <w:t>electronic or paper format</w:t>
      </w:r>
      <w:r w:rsidR="008A5564">
        <w:rPr>
          <w:bCs/>
        </w:rPr>
        <w:t>]</w:t>
      </w:r>
      <w:r>
        <w:rPr>
          <w:bCs/>
        </w:rPr>
        <w:t xml:space="preserve"> and deliver the order to the clearing firm by the fastest means available when it resumes operations. In addition, </w:t>
      </w:r>
      <w:r w:rsidR="00915C28">
        <w:rPr>
          <w:bCs/>
        </w:rPr>
        <w:t xml:space="preserve">our contract with the clearing firm provides that customers may be referred to the </w:t>
      </w:r>
      <w:r>
        <w:rPr>
          <w:bCs/>
        </w:rPr>
        <w:t xml:space="preserve">clearing firm for </w:t>
      </w:r>
      <w:r w:rsidR="00B10CCC">
        <w:rPr>
          <w:bCs/>
        </w:rPr>
        <w:t xml:space="preserve">direct </w:t>
      </w:r>
      <w:r>
        <w:rPr>
          <w:bCs/>
        </w:rPr>
        <w:t xml:space="preserve">order entry.  </w:t>
      </w:r>
    </w:p>
    <w:p w14:paraId="1D1F7508" w14:textId="77777777" w:rsidR="00C934ED" w:rsidRDefault="00C934ED">
      <w:pPr>
        <w:rPr>
          <w:b/>
        </w:rPr>
      </w:pPr>
    </w:p>
    <w:p w14:paraId="5AD96A01" w14:textId="77777777" w:rsidR="00C934ED" w:rsidRDefault="00C934ED" w:rsidP="006C28C2">
      <w:pPr>
        <w:pStyle w:val="Heading3"/>
        <w:tabs>
          <w:tab w:val="clear" w:pos="1800"/>
        </w:tabs>
        <w:ind w:left="2160" w:hanging="720"/>
      </w:pPr>
      <w:r>
        <w:t>Order Execution</w:t>
      </w:r>
    </w:p>
    <w:p w14:paraId="61C487BF" w14:textId="77777777" w:rsidR="00C934ED" w:rsidRDefault="00C934ED">
      <w:pPr>
        <w:rPr>
          <w:i/>
          <w:iCs/>
        </w:rPr>
      </w:pPr>
      <w:r>
        <w:rPr>
          <w:i/>
          <w:iCs/>
        </w:rPr>
        <w:t xml:space="preserve">If your firm executes orders, describe your procedures if an SBD prevents your firm from executing orders received from customers. If your firm does not execute orders, include order execution in the list of mission critical systems that your clearing firm provides to your firm in the next section, Mission Critical Systems Provided by Our Clearing Firm.  </w:t>
      </w:r>
    </w:p>
    <w:p w14:paraId="4B988CFE" w14:textId="77777777" w:rsidR="00C934ED" w:rsidRDefault="00C934ED">
      <w:pPr>
        <w:rPr>
          <w:i/>
          <w:iCs/>
        </w:rPr>
      </w:pPr>
    </w:p>
    <w:p w14:paraId="3665C79D" w14:textId="13433944" w:rsidR="00C934ED" w:rsidRDefault="00C934ED">
      <w:pPr>
        <w:rPr>
          <w:bCs/>
        </w:rPr>
      </w:pPr>
      <w:r>
        <w:rPr>
          <w:bCs/>
          <w:i/>
        </w:rPr>
        <w:lastRenderedPageBreak/>
        <w:t>TEXT EXAMPLE</w:t>
      </w:r>
      <w:r>
        <w:rPr>
          <w:bCs/>
        </w:rPr>
        <w:t>:</w:t>
      </w:r>
      <w:r w:rsidR="000C2314">
        <w:rPr>
          <w:bCs/>
        </w:rPr>
        <w:t xml:space="preserve"> </w:t>
      </w:r>
      <w:r>
        <w:rPr>
          <w:bCs/>
        </w:rPr>
        <w:t>We currently execute orders by [</w:t>
      </w:r>
      <w:r w:rsidRPr="00710A74">
        <w:rPr>
          <w:bCs/>
          <w:iCs/>
        </w:rPr>
        <w:t>describe current execution procedures</w:t>
      </w:r>
      <w:r>
        <w:rPr>
          <w:bCs/>
        </w:rPr>
        <w:t>].</w:t>
      </w:r>
      <w:r w:rsidR="000C2314">
        <w:rPr>
          <w:bCs/>
        </w:rPr>
        <w:t xml:space="preserve"> </w:t>
      </w:r>
      <w:r>
        <w:rPr>
          <w:bCs/>
        </w:rPr>
        <w:t>In the event of an SBD, we would [</w:t>
      </w:r>
      <w:r w:rsidRPr="00710A74">
        <w:rPr>
          <w:bCs/>
          <w:iCs/>
        </w:rPr>
        <w:t>describe your execution procedures in the event of an SBD</w:t>
      </w:r>
      <w:r>
        <w:rPr>
          <w:bCs/>
        </w:rPr>
        <w:t xml:space="preserve">]. </w:t>
      </w:r>
    </w:p>
    <w:p w14:paraId="79A7959E" w14:textId="77777777" w:rsidR="00C934ED" w:rsidRDefault="00C934ED">
      <w:pPr>
        <w:rPr>
          <w:b/>
          <w:bCs/>
          <w:i/>
          <w:iCs/>
        </w:rPr>
      </w:pPr>
    </w:p>
    <w:p w14:paraId="2D23C875" w14:textId="77777777" w:rsidR="00C934ED" w:rsidRDefault="00C934ED" w:rsidP="006C28C2">
      <w:pPr>
        <w:pStyle w:val="Heading3"/>
        <w:tabs>
          <w:tab w:val="clear" w:pos="1800"/>
        </w:tabs>
        <w:ind w:left="2160" w:hanging="720"/>
        <w:rPr>
          <w:bCs w:val="0"/>
        </w:rPr>
      </w:pPr>
      <w:r>
        <w:t>Other Services Currently Provided to Customers</w:t>
      </w:r>
    </w:p>
    <w:p w14:paraId="50CE064C" w14:textId="475ACB62" w:rsidR="00C934ED" w:rsidRDefault="00C934ED">
      <w:pPr>
        <w:rPr>
          <w:bCs/>
        </w:rPr>
      </w:pPr>
      <w:r>
        <w:rPr>
          <w:bCs/>
          <w:i/>
        </w:rPr>
        <w:t>TEXT EXAMPLE</w:t>
      </w:r>
      <w:r>
        <w:rPr>
          <w:bCs/>
        </w:rPr>
        <w:t>:</w:t>
      </w:r>
      <w:r w:rsidR="000C2314">
        <w:rPr>
          <w:bCs/>
        </w:rPr>
        <w:t xml:space="preserve"> </w:t>
      </w:r>
      <w:r>
        <w:rPr>
          <w:bCs/>
        </w:rPr>
        <w:t>In addition to those services listed above in this section</w:t>
      </w:r>
      <w:r w:rsidR="006761F2">
        <w:rPr>
          <w:bCs/>
        </w:rPr>
        <w:t>,</w:t>
      </w:r>
      <w:r>
        <w:rPr>
          <w:bCs/>
        </w:rPr>
        <w:t xml:space="preserve"> we also [</w:t>
      </w:r>
      <w:r w:rsidRPr="00710A74">
        <w:rPr>
          <w:bCs/>
          <w:iCs/>
        </w:rPr>
        <w:t>describe any other services you provide customers</w:t>
      </w:r>
      <w:r>
        <w:rPr>
          <w:bCs/>
        </w:rPr>
        <w:t>]. In the event of an SBD, we would [</w:t>
      </w:r>
      <w:r w:rsidRPr="00710A74">
        <w:rPr>
          <w:bCs/>
          <w:iCs/>
        </w:rPr>
        <w:t>describe how you would provide those services in the event of an SBD</w:t>
      </w:r>
      <w:r>
        <w:rPr>
          <w:bCs/>
        </w:rPr>
        <w:t xml:space="preserve">]. </w:t>
      </w:r>
    </w:p>
    <w:p w14:paraId="0AD46AA1" w14:textId="77777777" w:rsidR="00C934ED" w:rsidRDefault="00C934ED">
      <w:pPr>
        <w:rPr>
          <w:bCs/>
          <w:i/>
        </w:rPr>
      </w:pPr>
    </w:p>
    <w:p w14:paraId="120B4DE0" w14:textId="77777777" w:rsidR="00C934ED" w:rsidRDefault="00C934ED" w:rsidP="00CD189C">
      <w:pPr>
        <w:pStyle w:val="Heading2"/>
        <w:tabs>
          <w:tab w:val="clear" w:pos="1080"/>
        </w:tabs>
        <w:ind w:left="1440" w:hanging="720"/>
      </w:pPr>
      <w:r>
        <w:t>Mission Critical Systems Provided by Our Clearing Firm</w:t>
      </w:r>
    </w:p>
    <w:p w14:paraId="56B7445E" w14:textId="77777777" w:rsidR="00C934ED" w:rsidRDefault="00C934ED">
      <w:pPr>
        <w:pStyle w:val="BodyText2"/>
        <w:rPr>
          <w:bCs w:val="0"/>
        </w:rPr>
      </w:pPr>
      <w:r>
        <w:rPr>
          <w:bCs w:val="0"/>
        </w:rPr>
        <w:t>Describe the arrangements you have with your clearing firm to provide other mission critical systems.</w:t>
      </w:r>
    </w:p>
    <w:p w14:paraId="4FC6BA9D" w14:textId="77777777" w:rsidR="00C934ED" w:rsidRDefault="00C934ED"/>
    <w:p w14:paraId="15F20B87" w14:textId="3C87639D" w:rsidR="00C934ED" w:rsidRDefault="00C934ED">
      <w:pPr>
        <w:rPr>
          <w:highlight w:val="yellow"/>
        </w:rPr>
      </w:pPr>
      <w:r>
        <w:rPr>
          <w:bCs/>
          <w:i/>
        </w:rPr>
        <w:t>TEXT EXAMPLE</w:t>
      </w:r>
      <w:r>
        <w:rPr>
          <w:bCs/>
        </w:rPr>
        <w:t>:</w:t>
      </w:r>
      <w:r w:rsidR="000C2314">
        <w:rPr>
          <w:bCs/>
        </w:rPr>
        <w:t xml:space="preserve"> </w:t>
      </w:r>
      <w:r>
        <w:t xml:space="preserve">Our firm </w:t>
      </w:r>
      <w:r w:rsidR="00710A74">
        <w:t xml:space="preserve">has </w:t>
      </w:r>
      <w:r>
        <w:t>contract</w:t>
      </w:r>
      <w:r w:rsidR="00710A74">
        <w:t>ed with</w:t>
      </w:r>
      <w:r>
        <w:t xml:space="preserve"> our clearing firm to provide [</w:t>
      </w:r>
      <w:r w:rsidRPr="003232AE">
        <w:t>order execution</w:t>
      </w:r>
      <w:r>
        <w:t>], order comparison, order allocation, customer account</w:t>
      </w:r>
      <w:r w:rsidR="008641D3">
        <w:t xml:space="preserve"> maintenance or acces</w:t>
      </w:r>
      <w:r>
        <w:t>s</w:t>
      </w:r>
      <w:r w:rsidR="008641D3">
        <w:t xml:space="preserve"> and</w:t>
      </w:r>
      <w:r>
        <w:t xml:space="preserve"> delivery of funds and securities.  </w:t>
      </w:r>
    </w:p>
    <w:p w14:paraId="01B10281" w14:textId="77777777" w:rsidR="00C934ED" w:rsidRDefault="00C934ED"/>
    <w:p w14:paraId="7EB9B4C6" w14:textId="43BA1405" w:rsidR="00C934ED" w:rsidRDefault="00C934ED">
      <w:pPr>
        <w:rPr>
          <w:i/>
        </w:rPr>
      </w:pPr>
      <w:r>
        <w:rPr>
          <w:i/>
          <w:u w:val="single"/>
        </w:rPr>
        <w:t>Rule:</w:t>
      </w:r>
      <w:r w:rsidR="000C2314">
        <w:rPr>
          <w:i/>
        </w:rPr>
        <w:t xml:space="preserve"> </w:t>
      </w:r>
      <w:r w:rsidR="000F3F22">
        <w:rPr>
          <w:i/>
        </w:rPr>
        <w:t xml:space="preserve">FINRA Rules </w:t>
      </w:r>
      <w:r w:rsidR="00F558C3">
        <w:rPr>
          <w:i/>
        </w:rPr>
        <w:t>4370</w:t>
      </w:r>
      <w:r w:rsidR="000F3F22">
        <w:rPr>
          <w:i/>
        </w:rPr>
        <w:t xml:space="preserve">(c)(2) </w:t>
      </w:r>
      <w:r w:rsidR="00F558C3">
        <w:rPr>
          <w:i/>
        </w:rPr>
        <w:t>and</w:t>
      </w:r>
      <w:r w:rsidR="000F3F22">
        <w:rPr>
          <w:i/>
        </w:rPr>
        <w:t xml:space="preserve"> (g</w:t>
      </w:r>
      <w:r w:rsidR="00DE5179">
        <w:rPr>
          <w:i/>
        </w:rPr>
        <w:t>)(1)</w:t>
      </w:r>
      <w:r>
        <w:rPr>
          <w:i/>
        </w:rPr>
        <w:t>.</w:t>
      </w:r>
    </w:p>
    <w:p w14:paraId="35590CB0" w14:textId="77777777" w:rsidR="00C934ED" w:rsidRDefault="00C934ED"/>
    <w:p w14:paraId="344896FA" w14:textId="31055960" w:rsidR="00C934ED" w:rsidRDefault="00C934ED" w:rsidP="00FD3267">
      <w:pPr>
        <w:pStyle w:val="Heading1"/>
        <w:tabs>
          <w:tab w:val="clear" w:pos="360"/>
        </w:tabs>
        <w:ind w:left="720" w:hanging="720"/>
      </w:pPr>
      <w:r>
        <w:t>Alternate Communications Between the Firm and Customers, Employees and Regulators</w:t>
      </w:r>
    </w:p>
    <w:p w14:paraId="5FD4C2E5" w14:textId="77777777" w:rsidR="00C934ED" w:rsidRDefault="00C934ED">
      <w:pPr>
        <w:rPr>
          <w:color w:val="000000"/>
        </w:rPr>
      </w:pPr>
    </w:p>
    <w:p w14:paraId="0045AF60" w14:textId="6BAC0E9E" w:rsidR="00C934ED" w:rsidRDefault="00C934ED" w:rsidP="00CD189C">
      <w:pPr>
        <w:ind w:left="1440" w:hanging="720"/>
        <w:rPr>
          <w:color w:val="000000"/>
          <w:sz w:val="28"/>
        </w:rPr>
      </w:pPr>
      <w:r>
        <w:rPr>
          <w:color w:val="000000"/>
          <w:sz w:val="28"/>
        </w:rPr>
        <w:t>A.</w:t>
      </w:r>
      <w:r w:rsidR="00CD189C">
        <w:rPr>
          <w:color w:val="000000"/>
          <w:sz w:val="28"/>
        </w:rPr>
        <w:tab/>
      </w:r>
      <w:r>
        <w:rPr>
          <w:color w:val="000000"/>
          <w:sz w:val="28"/>
          <w:u w:val="single"/>
        </w:rPr>
        <w:t>Customers</w:t>
      </w:r>
    </w:p>
    <w:p w14:paraId="0C65A3BC" w14:textId="77777777" w:rsidR="00C934ED" w:rsidRDefault="00C934ED" w:rsidP="00710A74">
      <w:pPr>
        <w:rPr>
          <w:color w:val="000000"/>
          <w:sz w:val="28"/>
        </w:rPr>
      </w:pPr>
    </w:p>
    <w:p w14:paraId="32471D12" w14:textId="42B9C241" w:rsidR="00C934ED" w:rsidRDefault="00C934ED">
      <w:pPr>
        <w:rPr>
          <w:i/>
          <w:iCs/>
          <w:color w:val="000000"/>
        </w:rPr>
      </w:pPr>
      <w:r>
        <w:rPr>
          <w:i/>
          <w:iCs/>
          <w:color w:val="000000"/>
        </w:rPr>
        <w:t>Describe the alternate means of communications that your firm will use to communicate with its customers</w:t>
      </w:r>
      <w:r>
        <w:rPr>
          <w:bCs/>
          <w:i/>
          <w:iCs/>
        </w:rPr>
        <w:t xml:space="preserve"> in the event of an SBD</w:t>
      </w:r>
      <w:r>
        <w:rPr>
          <w:i/>
          <w:iCs/>
          <w:color w:val="000000"/>
        </w:rPr>
        <w:t>.</w:t>
      </w:r>
    </w:p>
    <w:p w14:paraId="6D32FF1D" w14:textId="77777777" w:rsidR="00C934ED" w:rsidRDefault="00C934ED">
      <w:pPr>
        <w:rPr>
          <w:i/>
          <w:iCs/>
          <w:color w:val="000000"/>
        </w:rPr>
      </w:pPr>
    </w:p>
    <w:p w14:paraId="5871E658" w14:textId="14FA49A3" w:rsidR="00C934ED" w:rsidRPr="00710A74" w:rsidRDefault="00C934ED">
      <w:pPr>
        <w:rPr>
          <w:color w:val="000000"/>
        </w:rPr>
      </w:pPr>
      <w:r>
        <w:rPr>
          <w:i/>
          <w:iCs/>
        </w:rPr>
        <w:t>TEXT EXAMPLE:</w:t>
      </w:r>
      <w:r w:rsidR="00034153">
        <w:t xml:space="preserve"> </w:t>
      </w:r>
      <w:r>
        <w:t xml:space="preserve">In the event of an SBD, we will </w:t>
      </w:r>
      <w:r w:rsidR="00F558C3">
        <w:t xml:space="preserve">identify whether there are any limitations on our ability to communicate with customers. </w:t>
      </w:r>
      <w:r w:rsidR="00F558C3">
        <w:rPr>
          <w:color w:val="000000"/>
        </w:rPr>
        <w:t>Depending on the limitat</w:t>
      </w:r>
      <w:r w:rsidR="00BD111B">
        <w:rPr>
          <w:color w:val="000000"/>
        </w:rPr>
        <w:t>ions, we will employ alternate</w:t>
      </w:r>
      <w:r w:rsidR="00F558C3">
        <w:rPr>
          <w:color w:val="000000"/>
        </w:rPr>
        <w:t xml:space="preserve"> modes of communication, including [</w:t>
      </w:r>
      <w:r w:rsidR="00F558C3" w:rsidRPr="003232AE">
        <w:rPr>
          <w:color w:val="000000"/>
        </w:rPr>
        <w:t xml:space="preserve">our website, </w:t>
      </w:r>
      <w:proofErr w:type="gramStart"/>
      <w:r w:rsidR="00F558C3" w:rsidRPr="003232AE">
        <w:rPr>
          <w:color w:val="000000"/>
        </w:rPr>
        <w:t>phone</w:t>
      </w:r>
      <w:proofErr w:type="gramEnd"/>
      <w:r w:rsidR="00F558C3" w:rsidRPr="003232AE">
        <w:rPr>
          <w:color w:val="000000"/>
        </w:rPr>
        <w:t xml:space="preserve"> or email</w:t>
      </w:r>
      <w:r w:rsidR="00F558C3">
        <w:rPr>
          <w:color w:val="000000"/>
        </w:rPr>
        <w:t xml:space="preserve">], to communicate with customers. </w:t>
      </w:r>
      <w:r w:rsidR="00A33492">
        <w:rPr>
          <w:color w:val="000000"/>
        </w:rPr>
        <w:t xml:space="preserve">When an alternate mode of communication is </w:t>
      </w:r>
      <w:proofErr w:type="gramStart"/>
      <w:r w:rsidR="00A33492">
        <w:rPr>
          <w:color w:val="000000"/>
        </w:rPr>
        <w:t>used</w:t>
      </w:r>
      <w:proofErr w:type="gramEnd"/>
      <w:r w:rsidR="00A33492">
        <w:rPr>
          <w:color w:val="000000"/>
        </w:rPr>
        <w:t xml:space="preserve"> we will consider any increased </w:t>
      </w:r>
      <w:r w:rsidR="00FD3267">
        <w:rPr>
          <w:color w:val="000000"/>
        </w:rPr>
        <w:t>risk</w:t>
      </w:r>
      <w:r w:rsidR="00A33492">
        <w:rPr>
          <w:color w:val="000000"/>
        </w:rPr>
        <w:t xml:space="preserve"> of cybersecurity events stemming from the alternate mode.</w:t>
      </w:r>
      <w:r w:rsidR="00290990">
        <w:rPr>
          <w:color w:val="000000"/>
        </w:rPr>
        <w:t xml:space="preserve">  </w:t>
      </w:r>
    </w:p>
    <w:p w14:paraId="249EA84B" w14:textId="77777777" w:rsidR="00C934ED" w:rsidRDefault="00C934ED"/>
    <w:p w14:paraId="75AB156B" w14:textId="7722809E" w:rsidR="00C934ED" w:rsidRDefault="00C934ED">
      <w:r>
        <w:rPr>
          <w:i/>
          <w:u w:val="single"/>
        </w:rPr>
        <w:t>Rule:</w:t>
      </w:r>
      <w:r w:rsidR="00034153">
        <w:rPr>
          <w:i/>
        </w:rPr>
        <w:t xml:space="preserve"> </w:t>
      </w:r>
      <w:r w:rsidR="000245ED">
        <w:rPr>
          <w:i/>
        </w:rPr>
        <w:t>FINRA Rule 4370(c)(4)</w:t>
      </w:r>
      <w:r w:rsidR="00A319DB">
        <w:rPr>
          <w:i/>
        </w:rPr>
        <w:t xml:space="preserve"> and (e)</w:t>
      </w:r>
      <w:r>
        <w:rPr>
          <w:i/>
        </w:rPr>
        <w:t>.</w:t>
      </w:r>
    </w:p>
    <w:p w14:paraId="3F619159" w14:textId="77777777" w:rsidR="00C934ED" w:rsidRDefault="00C934ED"/>
    <w:p w14:paraId="1D11D754" w14:textId="60E7A3D1" w:rsidR="00C934ED" w:rsidRDefault="00C934ED" w:rsidP="00CD189C">
      <w:pPr>
        <w:ind w:left="1440" w:hanging="720"/>
        <w:rPr>
          <w:sz w:val="28"/>
          <w:u w:val="single"/>
        </w:rPr>
      </w:pPr>
      <w:r>
        <w:rPr>
          <w:sz w:val="28"/>
        </w:rPr>
        <w:t>B.</w:t>
      </w:r>
      <w:r w:rsidR="00CD189C">
        <w:rPr>
          <w:sz w:val="28"/>
        </w:rPr>
        <w:tab/>
      </w:r>
      <w:r>
        <w:rPr>
          <w:sz w:val="28"/>
          <w:u w:val="single"/>
        </w:rPr>
        <w:t>Employees</w:t>
      </w:r>
    </w:p>
    <w:p w14:paraId="507E7CBE" w14:textId="77777777" w:rsidR="00C934ED" w:rsidRDefault="00C934ED"/>
    <w:p w14:paraId="1F846CF4" w14:textId="77777777" w:rsidR="00C934ED" w:rsidRDefault="00C934ED">
      <w:pPr>
        <w:rPr>
          <w:i/>
          <w:iCs/>
        </w:rPr>
      </w:pPr>
      <w:r>
        <w:rPr>
          <w:i/>
          <w:iCs/>
          <w:color w:val="000000"/>
        </w:rPr>
        <w:t xml:space="preserve">Describe the alternate means of communications that your firm will use to communicate with its employees </w:t>
      </w:r>
      <w:r>
        <w:rPr>
          <w:bCs/>
          <w:i/>
          <w:iCs/>
        </w:rPr>
        <w:t>in the event of an SBD</w:t>
      </w:r>
      <w:r>
        <w:rPr>
          <w:i/>
          <w:iCs/>
          <w:color w:val="000000"/>
        </w:rPr>
        <w:t>.</w:t>
      </w:r>
    </w:p>
    <w:p w14:paraId="36547DA5" w14:textId="77777777" w:rsidR="00C934ED" w:rsidRDefault="00C934ED">
      <w:pPr>
        <w:rPr>
          <w:i/>
          <w:iCs/>
        </w:rPr>
      </w:pPr>
    </w:p>
    <w:p w14:paraId="2D44D2CA" w14:textId="31846C35" w:rsidR="00A33492" w:rsidRDefault="00C934ED" w:rsidP="008C200D">
      <w:pPr>
        <w:rPr>
          <w:color w:val="000000"/>
        </w:rPr>
      </w:pPr>
      <w:r>
        <w:rPr>
          <w:i/>
          <w:iCs/>
        </w:rPr>
        <w:t>TEXT EXAMPLE:</w:t>
      </w:r>
      <w:r w:rsidR="00034153">
        <w:rPr>
          <w:i/>
          <w:iCs/>
        </w:rPr>
        <w:t xml:space="preserve"> </w:t>
      </w:r>
      <w:r w:rsidR="008C200D">
        <w:t xml:space="preserve">In the event of an SBD, we will identify whether there are any limitations on our ability to communicate with employees. </w:t>
      </w:r>
      <w:r w:rsidR="008C200D">
        <w:rPr>
          <w:color w:val="000000"/>
        </w:rPr>
        <w:t>Depending on the limitat</w:t>
      </w:r>
      <w:r w:rsidR="00BD111B">
        <w:rPr>
          <w:color w:val="000000"/>
        </w:rPr>
        <w:t>ions, we will employ alternate</w:t>
      </w:r>
      <w:r w:rsidR="008C200D">
        <w:rPr>
          <w:color w:val="000000"/>
        </w:rPr>
        <w:t xml:space="preserve"> modes of communication, including [</w:t>
      </w:r>
      <w:r w:rsidR="008C200D" w:rsidRPr="00FD3267">
        <w:rPr>
          <w:color w:val="000000"/>
        </w:rPr>
        <w:t xml:space="preserve">our website, </w:t>
      </w:r>
      <w:proofErr w:type="gramStart"/>
      <w:r w:rsidR="008C200D" w:rsidRPr="00FD3267">
        <w:rPr>
          <w:color w:val="000000"/>
        </w:rPr>
        <w:t>phone</w:t>
      </w:r>
      <w:proofErr w:type="gramEnd"/>
      <w:r w:rsidR="008C200D" w:rsidRPr="00FD3267">
        <w:rPr>
          <w:color w:val="000000"/>
        </w:rPr>
        <w:t xml:space="preserve"> or </w:t>
      </w:r>
      <w:r w:rsidR="008C200D" w:rsidRPr="00FD3267">
        <w:rPr>
          <w:color w:val="000000"/>
        </w:rPr>
        <w:lastRenderedPageBreak/>
        <w:t>email</w:t>
      </w:r>
      <w:r w:rsidR="008C200D">
        <w:rPr>
          <w:color w:val="000000"/>
        </w:rPr>
        <w:t xml:space="preserve">], to communicate with employees. </w:t>
      </w:r>
      <w:r w:rsidR="00A33492">
        <w:rPr>
          <w:color w:val="000000"/>
        </w:rPr>
        <w:t xml:space="preserve">When an alternate mode of communication is </w:t>
      </w:r>
      <w:proofErr w:type="gramStart"/>
      <w:r w:rsidR="00A33492">
        <w:rPr>
          <w:color w:val="000000"/>
        </w:rPr>
        <w:t>used</w:t>
      </w:r>
      <w:proofErr w:type="gramEnd"/>
      <w:r w:rsidR="00A33492">
        <w:rPr>
          <w:color w:val="000000"/>
        </w:rPr>
        <w:t xml:space="preserve"> we will consider any increased </w:t>
      </w:r>
      <w:r w:rsidR="00FD3267">
        <w:rPr>
          <w:color w:val="000000"/>
        </w:rPr>
        <w:t>risk</w:t>
      </w:r>
      <w:r w:rsidR="00A33492">
        <w:rPr>
          <w:color w:val="000000"/>
        </w:rPr>
        <w:t xml:space="preserve"> of cybersecurity events stemming from the alternate mode.</w:t>
      </w:r>
    </w:p>
    <w:p w14:paraId="02BDE078" w14:textId="77777777" w:rsidR="00FD3267" w:rsidRDefault="00FD3267"/>
    <w:p w14:paraId="741D1054" w14:textId="494173D6" w:rsidR="00C872C4" w:rsidRDefault="00023487" w:rsidP="008C200D">
      <w:r w:rsidRPr="00023487">
        <w:t xml:space="preserve">Consistent with FINRA Rule 4511 (General Requirements), </w:t>
      </w:r>
      <w:r>
        <w:t>w</w:t>
      </w:r>
      <w:r w:rsidR="00C934ED">
        <w:t xml:space="preserve">e will also employ </w:t>
      </w:r>
      <w:r w:rsidR="00902724">
        <w:t xml:space="preserve">the </w:t>
      </w:r>
      <w:r w:rsidR="008C200D">
        <w:t>use of [firm-wide or office</w:t>
      </w:r>
      <w:r w:rsidR="0064534D">
        <w:t xml:space="preserve">-wide emails or text messages </w:t>
      </w:r>
      <w:r w:rsidR="00902724">
        <w:t xml:space="preserve">or notifications, </w:t>
      </w:r>
      <w:r w:rsidR="0064534D">
        <w:t>or a call tree</w:t>
      </w:r>
      <w:r w:rsidR="008C200D">
        <w:t xml:space="preserve">] </w:t>
      </w:r>
      <w:r w:rsidR="00C934ED">
        <w:t>so that senior management can reach all employees quickly during an SBD.</w:t>
      </w:r>
      <w:r w:rsidR="00034153">
        <w:t xml:space="preserve"> </w:t>
      </w:r>
      <w:r w:rsidR="00794799">
        <w:t xml:space="preserve">In addition, </w:t>
      </w:r>
      <w:proofErr w:type="gramStart"/>
      <w:r w:rsidR="00794799">
        <w:t>in the event that</w:t>
      </w:r>
      <w:proofErr w:type="gramEnd"/>
      <w:r w:rsidR="00794799">
        <w:t xml:space="preserve"> employees move to a back-up location or remote location for an extended period of time (</w:t>
      </w:r>
      <w:r w:rsidR="00794799" w:rsidRPr="00710A74">
        <w:rPr>
          <w:i/>
        </w:rPr>
        <w:t>e.g.</w:t>
      </w:r>
      <w:r w:rsidR="00794799">
        <w:t>, due to a pandemic), we will circulate updated employee contact information within the firm to maintain service.</w:t>
      </w:r>
    </w:p>
    <w:p w14:paraId="5881F722" w14:textId="77777777" w:rsidR="00A23FC1" w:rsidRDefault="00A23FC1"/>
    <w:p w14:paraId="7DCED57E" w14:textId="25087C2A" w:rsidR="00C934ED" w:rsidRDefault="00C872C4">
      <w:r>
        <w:t xml:space="preserve">We also have a call tree, which </w:t>
      </w:r>
      <w:r w:rsidR="00C934ED">
        <w:t xml:space="preserve">includes all staff </w:t>
      </w:r>
      <w:r w:rsidR="00902724">
        <w:t xml:space="preserve">personal </w:t>
      </w:r>
      <w:r w:rsidR="00C934ED">
        <w:t>and office phone numbers.</w:t>
      </w:r>
      <w:r w:rsidR="00034153">
        <w:t xml:space="preserve"> </w:t>
      </w:r>
      <w:r w:rsidR="00C934ED">
        <w:t>The person to invoke use of the call tree is: [</w:t>
      </w:r>
      <w:r w:rsidR="00C934ED">
        <w:rPr>
          <w:i/>
          <w:iCs/>
        </w:rPr>
        <w:t>insert name</w:t>
      </w:r>
      <w:r w:rsidR="00C934ED">
        <w:t>]</w:t>
      </w:r>
    </w:p>
    <w:p w14:paraId="02E13604" w14:textId="21DA6760" w:rsidR="00C934ED" w:rsidRDefault="00C934ED"/>
    <w:tbl>
      <w:tblPr>
        <w:tblW w:w="8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9"/>
        <w:gridCol w:w="4581"/>
      </w:tblGrid>
      <w:tr w:rsidR="00C934ED" w14:paraId="6EEF9230" w14:textId="373151FC" w:rsidTr="00710A74">
        <w:tc>
          <w:tcPr>
            <w:tcW w:w="3699" w:type="dxa"/>
            <w:shd w:val="clear" w:color="auto" w:fill="C6D9F1" w:themeFill="text2" w:themeFillTint="33"/>
          </w:tcPr>
          <w:p w14:paraId="14E1F905" w14:textId="52BC8F70" w:rsidR="00C934ED" w:rsidRPr="00710A74" w:rsidRDefault="00C934ED" w:rsidP="00710A74">
            <w:pPr>
              <w:rPr>
                <w:b/>
              </w:rPr>
            </w:pPr>
            <w:r w:rsidRPr="00710A74">
              <w:rPr>
                <w:b/>
              </w:rPr>
              <w:t>Caller</w:t>
            </w:r>
          </w:p>
        </w:tc>
        <w:tc>
          <w:tcPr>
            <w:tcW w:w="4581" w:type="dxa"/>
            <w:shd w:val="clear" w:color="auto" w:fill="C6D9F1" w:themeFill="text2" w:themeFillTint="33"/>
          </w:tcPr>
          <w:p w14:paraId="3C1AE5D3" w14:textId="26D7930E" w:rsidR="00C934ED" w:rsidRPr="00710A74" w:rsidRDefault="00C934ED" w:rsidP="00710A74">
            <w:pPr>
              <w:rPr>
                <w:b/>
              </w:rPr>
            </w:pPr>
            <w:r w:rsidRPr="00710A74">
              <w:rPr>
                <w:b/>
              </w:rPr>
              <w:t>Call Recipients</w:t>
            </w:r>
          </w:p>
        </w:tc>
      </w:tr>
      <w:tr w:rsidR="00C934ED" w14:paraId="566D6BF2" w14:textId="5522EFCF">
        <w:tc>
          <w:tcPr>
            <w:tcW w:w="3699" w:type="dxa"/>
          </w:tcPr>
          <w:p w14:paraId="77C820AA" w14:textId="51902662" w:rsidR="00C934ED" w:rsidRDefault="00C934ED" w:rsidP="00710A74">
            <w:pPr>
              <w:rPr>
                <w:i/>
                <w:iCs/>
              </w:rPr>
            </w:pPr>
          </w:p>
        </w:tc>
        <w:tc>
          <w:tcPr>
            <w:tcW w:w="4581" w:type="dxa"/>
          </w:tcPr>
          <w:p w14:paraId="539A02E2" w14:textId="221D5040" w:rsidR="00C934ED" w:rsidRDefault="00C934ED">
            <w:pPr>
              <w:rPr>
                <w:i/>
                <w:iCs/>
              </w:rPr>
            </w:pPr>
          </w:p>
        </w:tc>
      </w:tr>
      <w:tr w:rsidR="00C934ED" w14:paraId="351EAD16" w14:textId="795FEE5D">
        <w:tc>
          <w:tcPr>
            <w:tcW w:w="3699" w:type="dxa"/>
          </w:tcPr>
          <w:p w14:paraId="3ED30692" w14:textId="599C6823" w:rsidR="00C934ED" w:rsidRDefault="00C934ED" w:rsidP="00710A74">
            <w:pPr>
              <w:rPr>
                <w:i/>
                <w:iCs/>
              </w:rPr>
            </w:pPr>
          </w:p>
        </w:tc>
        <w:tc>
          <w:tcPr>
            <w:tcW w:w="4581" w:type="dxa"/>
          </w:tcPr>
          <w:p w14:paraId="40AFD8D8" w14:textId="6053EC17" w:rsidR="00C934ED" w:rsidRDefault="00C934ED">
            <w:pPr>
              <w:rPr>
                <w:i/>
                <w:iCs/>
              </w:rPr>
            </w:pPr>
          </w:p>
        </w:tc>
      </w:tr>
      <w:tr w:rsidR="00C934ED" w14:paraId="50CFEC93" w14:textId="37C7B622">
        <w:tc>
          <w:tcPr>
            <w:tcW w:w="3699" w:type="dxa"/>
          </w:tcPr>
          <w:p w14:paraId="74E2FDEE" w14:textId="704866CF" w:rsidR="00C934ED" w:rsidRDefault="00C934ED" w:rsidP="008C200D">
            <w:pPr>
              <w:rPr>
                <w:rFonts w:ascii="Arial" w:hAnsi="Arial" w:cs="Arial"/>
              </w:rPr>
            </w:pPr>
          </w:p>
        </w:tc>
        <w:tc>
          <w:tcPr>
            <w:tcW w:w="4581" w:type="dxa"/>
          </w:tcPr>
          <w:p w14:paraId="4334849A" w14:textId="249D0B50" w:rsidR="00C934ED" w:rsidRDefault="00C934ED" w:rsidP="00710A74">
            <w:pPr>
              <w:rPr>
                <w:rFonts w:ascii="Arial" w:hAnsi="Arial" w:cs="Arial"/>
              </w:rPr>
            </w:pPr>
          </w:p>
        </w:tc>
      </w:tr>
      <w:tr w:rsidR="00C934ED" w14:paraId="3239C9BA" w14:textId="37310B24">
        <w:tc>
          <w:tcPr>
            <w:tcW w:w="3699" w:type="dxa"/>
          </w:tcPr>
          <w:p w14:paraId="53B39B11" w14:textId="03A3076E" w:rsidR="00C934ED" w:rsidRDefault="00C934ED" w:rsidP="00710A74">
            <w:pPr>
              <w:rPr>
                <w:rFonts w:ascii="Arial" w:hAnsi="Arial" w:cs="Arial"/>
                <w:bCs/>
              </w:rPr>
            </w:pPr>
          </w:p>
        </w:tc>
        <w:tc>
          <w:tcPr>
            <w:tcW w:w="4581" w:type="dxa"/>
          </w:tcPr>
          <w:p w14:paraId="2C50C8F2" w14:textId="2060A89B" w:rsidR="00C934ED" w:rsidRDefault="00C934ED" w:rsidP="00710A74">
            <w:pPr>
              <w:rPr>
                <w:rFonts w:cs="Arial"/>
                <w:bCs/>
              </w:rPr>
            </w:pPr>
          </w:p>
        </w:tc>
      </w:tr>
      <w:tr w:rsidR="00C934ED" w14:paraId="2CAC7B45" w14:textId="56C75A77">
        <w:tc>
          <w:tcPr>
            <w:tcW w:w="3699" w:type="dxa"/>
          </w:tcPr>
          <w:p w14:paraId="6DFCA7EE" w14:textId="6F852CD5" w:rsidR="00C934ED" w:rsidRDefault="00C934ED" w:rsidP="00710A74">
            <w:pPr>
              <w:rPr>
                <w:rFonts w:ascii="Arial" w:hAnsi="Arial" w:cs="Arial"/>
                <w:bCs/>
              </w:rPr>
            </w:pPr>
          </w:p>
        </w:tc>
        <w:tc>
          <w:tcPr>
            <w:tcW w:w="4581" w:type="dxa"/>
          </w:tcPr>
          <w:p w14:paraId="10C33A9E" w14:textId="6315CF87" w:rsidR="00C934ED" w:rsidRDefault="00C934ED" w:rsidP="00710A74">
            <w:pPr>
              <w:rPr>
                <w:rFonts w:ascii="Arial" w:hAnsi="Arial" w:cs="Arial"/>
              </w:rPr>
            </w:pPr>
          </w:p>
        </w:tc>
      </w:tr>
    </w:tbl>
    <w:p w14:paraId="2D8846BB" w14:textId="34B8AA3D" w:rsidR="00C934ED" w:rsidRDefault="00C934ED"/>
    <w:p w14:paraId="600E35CB" w14:textId="77777777" w:rsidR="00C934ED" w:rsidRDefault="00C934ED">
      <w:r>
        <w:rPr>
          <w:i/>
          <w:u w:val="single"/>
        </w:rPr>
        <w:t>Rule:</w:t>
      </w:r>
      <w:r>
        <w:rPr>
          <w:i/>
        </w:rPr>
        <w:t xml:space="preserve"> </w:t>
      </w:r>
      <w:r w:rsidR="000245ED">
        <w:rPr>
          <w:i/>
        </w:rPr>
        <w:t>FINRA Rule 4370</w:t>
      </w:r>
      <w:r>
        <w:rPr>
          <w:i/>
        </w:rPr>
        <w:t>(c)(5).</w:t>
      </w:r>
    </w:p>
    <w:p w14:paraId="1C329FFD" w14:textId="77777777" w:rsidR="00C934ED" w:rsidRDefault="00C934ED"/>
    <w:p w14:paraId="5D306E52" w14:textId="0E952558" w:rsidR="00C934ED" w:rsidRDefault="00C934ED" w:rsidP="00CD189C">
      <w:pPr>
        <w:ind w:left="1440" w:hanging="720"/>
        <w:rPr>
          <w:sz w:val="28"/>
        </w:rPr>
      </w:pPr>
      <w:r>
        <w:rPr>
          <w:sz w:val="28"/>
        </w:rPr>
        <w:t>C.</w:t>
      </w:r>
      <w:r w:rsidR="00CD189C">
        <w:rPr>
          <w:sz w:val="28"/>
        </w:rPr>
        <w:tab/>
      </w:r>
      <w:r w:rsidR="005B6425" w:rsidRPr="005B6425">
        <w:rPr>
          <w:sz w:val="28"/>
          <w:u w:val="single"/>
        </w:rPr>
        <w:t>Regulators</w:t>
      </w:r>
    </w:p>
    <w:p w14:paraId="26052F95" w14:textId="77777777" w:rsidR="00C934ED" w:rsidRDefault="00C934ED">
      <w:pPr>
        <w:rPr>
          <w:sz w:val="28"/>
        </w:rPr>
      </w:pPr>
    </w:p>
    <w:p w14:paraId="2FFF4145" w14:textId="0AC66588" w:rsidR="00C934ED" w:rsidRDefault="00C934ED">
      <w:pPr>
        <w:rPr>
          <w:i/>
          <w:iCs/>
          <w:color w:val="000000"/>
        </w:rPr>
      </w:pPr>
      <w:r>
        <w:rPr>
          <w:i/>
          <w:iCs/>
          <w:color w:val="000000"/>
        </w:rPr>
        <w:t xml:space="preserve">Describe the alternate means of communications that your firm will use to communicate with its regulators </w:t>
      </w:r>
      <w:r>
        <w:rPr>
          <w:bCs/>
          <w:i/>
          <w:iCs/>
        </w:rPr>
        <w:t>in the event of an SBD</w:t>
      </w:r>
      <w:r>
        <w:rPr>
          <w:i/>
          <w:iCs/>
          <w:color w:val="000000"/>
        </w:rPr>
        <w:t>.</w:t>
      </w:r>
    </w:p>
    <w:p w14:paraId="6E77BB3F" w14:textId="77777777" w:rsidR="00C934ED" w:rsidRDefault="00C934ED">
      <w:pPr>
        <w:rPr>
          <w:i/>
          <w:iCs/>
          <w:color w:val="000000"/>
        </w:rPr>
      </w:pPr>
    </w:p>
    <w:p w14:paraId="0B5FCE40" w14:textId="78FDEDE0" w:rsidR="00A23FC1" w:rsidRPr="00A23FC1" w:rsidRDefault="00C934ED">
      <w:pPr>
        <w:rPr>
          <w:iCs/>
        </w:rPr>
      </w:pPr>
      <w:r>
        <w:rPr>
          <w:i/>
          <w:iCs/>
        </w:rPr>
        <w:t xml:space="preserve">TEXT EXAMPLE: </w:t>
      </w:r>
      <w:r>
        <w:t>We are currently members of the following</w:t>
      </w:r>
      <w:r w:rsidR="0082363A">
        <w:t xml:space="preserve"> self-regulatory organizations</w:t>
      </w:r>
      <w:r>
        <w:t xml:space="preserve"> </w:t>
      </w:r>
      <w:r w:rsidR="0082363A">
        <w:t>(</w:t>
      </w:r>
      <w:r>
        <w:t>SROs</w:t>
      </w:r>
      <w:proofErr w:type="gramStart"/>
      <w:r w:rsidR="0082363A">
        <w:t>), and</w:t>
      </w:r>
      <w:proofErr w:type="gramEnd"/>
      <w:r w:rsidR="0082363A">
        <w:t xml:space="preserve"> are also regulated by</w:t>
      </w:r>
      <w:r>
        <w:t>:</w:t>
      </w:r>
      <w:r>
        <w:rPr>
          <w:i/>
          <w:iCs/>
        </w:rPr>
        <w:t xml:space="preserve"> </w:t>
      </w:r>
      <w:r w:rsidR="009F1DE6" w:rsidRPr="00515C0A">
        <w:t>[</w:t>
      </w:r>
      <w:r w:rsidRPr="00710A74">
        <w:rPr>
          <w:iCs/>
        </w:rPr>
        <w:t>insert list</w:t>
      </w:r>
      <w:r w:rsidR="0082363A" w:rsidRPr="00710A74">
        <w:rPr>
          <w:iCs/>
        </w:rPr>
        <w:t xml:space="preserve"> of applicable SRO, federal and state securities regulators</w:t>
      </w:r>
      <w:r w:rsidR="005B6425" w:rsidRPr="005B6425">
        <w:rPr>
          <w:iCs/>
        </w:rPr>
        <w:t>]</w:t>
      </w:r>
      <w:r>
        <w:rPr>
          <w:i/>
          <w:iCs/>
        </w:rPr>
        <w:t xml:space="preserve">. </w:t>
      </w:r>
      <w:r w:rsidR="00A23FC1">
        <w:rPr>
          <w:iCs/>
        </w:rPr>
        <w:t xml:space="preserve">Contact information for these regulators is below in </w:t>
      </w:r>
      <w:r w:rsidR="00347CCD">
        <w:rPr>
          <w:iCs/>
        </w:rPr>
        <w:t>Section XII, Regulatory Reporting.</w:t>
      </w:r>
    </w:p>
    <w:p w14:paraId="3EDA63C6" w14:textId="77777777" w:rsidR="00A23FC1" w:rsidRDefault="00A23FC1">
      <w:pPr>
        <w:rPr>
          <w:iCs/>
        </w:rPr>
      </w:pPr>
    </w:p>
    <w:p w14:paraId="02574F29" w14:textId="609F15EB" w:rsidR="00C934ED" w:rsidRDefault="00A877A6">
      <w:r w:rsidRPr="00710A74">
        <w:rPr>
          <w:iCs/>
        </w:rPr>
        <w:t>In the event of an SBD, we will identify whether there are any limitations on o</w:t>
      </w:r>
      <w:r w:rsidR="00BF017F" w:rsidRPr="00BF017F">
        <w:rPr>
          <w:iCs/>
        </w:rPr>
        <w:t>ur ability to communicate with regulators</w:t>
      </w:r>
      <w:r w:rsidRPr="00710A74">
        <w:rPr>
          <w:iCs/>
        </w:rPr>
        <w:t xml:space="preserve">. Depending on the limitations, we will employ alternative modes of communication, including [our website, </w:t>
      </w:r>
      <w:proofErr w:type="gramStart"/>
      <w:r w:rsidRPr="00710A74">
        <w:rPr>
          <w:iCs/>
        </w:rPr>
        <w:t>phone</w:t>
      </w:r>
      <w:proofErr w:type="gramEnd"/>
      <w:r w:rsidRPr="00710A74">
        <w:rPr>
          <w:iCs/>
        </w:rPr>
        <w:t xml:space="preserve"> or email], to communicate with </w:t>
      </w:r>
      <w:r w:rsidR="00BF017F">
        <w:rPr>
          <w:iCs/>
        </w:rPr>
        <w:t>regulators</w:t>
      </w:r>
      <w:r w:rsidRPr="00710A74">
        <w:rPr>
          <w:iCs/>
        </w:rPr>
        <w:t>.</w:t>
      </w:r>
      <w:r w:rsidRPr="00A877A6">
        <w:rPr>
          <w:i/>
          <w:iCs/>
        </w:rPr>
        <w:t xml:space="preserve"> </w:t>
      </w:r>
      <w:r w:rsidR="00A33492">
        <w:rPr>
          <w:color w:val="000000"/>
        </w:rPr>
        <w:t xml:space="preserve">When an alternate mode of communication is </w:t>
      </w:r>
      <w:proofErr w:type="gramStart"/>
      <w:r w:rsidR="00A33492">
        <w:rPr>
          <w:color w:val="000000"/>
        </w:rPr>
        <w:t>used</w:t>
      </w:r>
      <w:proofErr w:type="gramEnd"/>
      <w:r w:rsidR="00A33492">
        <w:rPr>
          <w:color w:val="000000"/>
        </w:rPr>
        <w:t xml:space="preserve"> we will consider any increased </w:t>
      </w:r>
      <w:r w:rsidR="00FD3267">
        <w:rPr>
          <w:color w:val="000000"/>
        </w:rPr>
        <w:t>risk</w:t>
      </w:r>
      <w:r w:rsidR="00A33492">
        <w:rPr>
          <w:color w:val="000000"/>
        </w:rPr>
        <w:t xml:space="preserve"> of cybersecurity events stemming from the alternate mode.</w:t>
      </w:r>
    </w:p>
    <w:p w14:paraId="6A848154" w14:textId="17300E8C" w:rsidR="00C934ED" w:rsidRDefault="00C934ED"/>
    <w:p w14:paraId="29AAD0B4" w14:textId="07EB22CB" w:rsidR="00AA6D58" w:rsidRDefault="00AA6D58">
      <w:proofErr w:type="gramStart"/>
      <w:r>
        <w:t>In the event that</w:t>
      </w:r>
      <w:proofErr w:type="gramEnd"/>
      <w:r>
        <w:t xml:space="preserve"> we have relied on any guidance or temporary regulatory relief from a regulator during an SBD, we will document our reliance.</w:t>
      </w:r>
    </w:p>
    <w:p w14:paraId="62A273E6" w14:textId="1FAAD8A6" w:rsidR="00AA6D58" w:rsidRDefault="00AA6D58"/>
    <w:tbl>
      <w:tblPr>
        <w:tblStyle w:val="TableGrid"/>
        <w:tblW w:w="0" w:type="auto"/>
        <w:tblInd w:w="0" w:type="dxa"/>
        <w:tblLook w:val="04A0" w:firstRow="1" w:lastRow="0" w:firstColumn="1" w:lastColumn="0" w:noHBand="0" w:noVBand="1"/>
      </w:tblPr>
      <w:tblGrid>
        <w:gridCol w:w="2157"/>
        <w:gridCol w:w="2157"/>
        <w:gridCol w:w="2158"/>
        <w:gridCol w:w="2158"/>
      </w:tblGrid>
      <w:tr w:rsidR="00AA6D58" w14:paraId="2BC7EE60" w14:textId="77777777" w:rsidTr="00710A74">
        <w:tc>
          <w:tcPr>
            <w:tcW w:w="2157" w:type="dxa"/>
            <w:shd w:val="clear" w:color="auto" w:fill="C6D9F1" w:themeFill="text2" w:themeFillTint="33"/>
            <w:vAlign w:val="bottom"/>
          </w:tcPr>
          <w:p w14:paraId="5CC8A35B" w14:textId="6AEF79DE" w:rsidR="00AA6D58" w:rsidRPr="00710A74" w:rsidRDefault="00AA6D58">
            <w:pPr>
              <w:rPr>
                <w:b/>
              </w:rPr>
            </w:pPr>
            <w:r w:rsidRPr="00710A74">
              <w:rPr>
                <w:b/>
              </w:rPr>
              <w:t>Regulator</w:t>
            </w:r>
          </w:p>
        </w:tc>
        <w:tc>
          <w:tcPr>
            <w:tcW w:w="2157" w:type="dxa"/>
            <w:shd w:val="clear" w:color="auto" w:fill="C6D9F1" w:themeFill="text2" w:themeFillTint="33"/>
            <w:vAlign w:val="bottom"/>
          </w:tcPr>
          <w:p w14:paraId="182FD133" w14:textId="364319E8" w:rsidR="00AA6D58" w:rsidRPr="00710A74" w:rsidRDefault="00AA6D58">
            <w:pPr>
              <w:rPr>
                <w:b/>
              </w:rPr>
            </w:pPr>
            <w:r w:rsidRPr="00710A74">
              <w:rPr>
                <w:b/>
              </w:rPr>
              <w:t>Guidance or Temporary Regulatory Relief</w:t>
            </w:r>
            <w:r w:rsidR="005A60E9">
              <w:rPr>
                <w:b/>
              </w:rPr>
              <w:t xml:space="preserve"> </w:t>
            </w:r>
            <w:r w:rsidR="005A60E9" w:rsidRPr="005A60E9">
              <w:rPr>
                <w:b/>
              </w:rPr>
              <w:lastRenderedPageBreak/>
              <w:t>and Any Condition(s)</w:t>
            </w:r>
          </w:p>
        </w:tc>
        <w:tc>
          <w:tcPr>
            <w:tcW w:w="2158" w:type="dxa"/>
            <w:shd w:val="clear" w:color="auto" w:fill="C6D9F1" w:themeFill="text2" w:themeFillTint="33"/>
            <w:vAlign w:val="bottom"/>
          </w:tcPr>
          <w:p w14:paraId="7D793DA8" w14:textId="784357D0" w:rsidR="00AA6D58" w:rsidRPr="00710A74" w:rsidRDefault="00AA6D58">
            <w:pPr>
              <w:rPr>
                <w:b/>
              </w:rPr>
            </w:pPr>
            <w:r w:rsidRPr="00710A74">
              <w:rPr>
                <w:b/>
              </w:rPr>
              <w:lastRenderedPageBreak/>
              <w:t>Actions in Reliance</w:t>
            </w:r>
          </w:p>
        </w:tc>
        <w:tc>
          <w:tcPr>
            <w:tcW w:w="2158" w:type="dxa"/>
            <w:shd w:val="clear" w:color="auto" w:fill="C6D9F1" w:themeFill="text2" w:themeFillTint="33"/>
            <w:vAlign w:val="bottom"/>
          </w:tcPr>
          <w:p w14:paraId="2F3F55B6" w14:textId="6A6B3065" w:rsidR="00AA6D58" w:rsidRPr="00710A74" w:rsidRDefault="00AA6D58">
            <w:pPr>
              <w:rPr>
                <w:b/>
              </w:rPr>
            </w:pPr>
            <w:r w:rsidRPr="00710A74">
              <w:rPr>
                <w:b/>
              </w:rPr>
              <w:t>Date(s)</w:t>
            </w:r>
          </w:p>
        </w:tc>
      </w:tr>
      <w:tr w:rsidR="00AA6D58" w14:paraId="7EADF305" w14:textId="77777777" w:rsidTr="00AA6D58">
        <w:tc>
          <w:tcPr>
            <w:tcW w:w="2157" w:type="dxa"/>
          </w:tcPr>
          <w:p w14:paraId="3010A8C0" w14:textId="77777777" w:rsidR="00AA6D58" w:rsidRDefault="00AA6D58"/>
        </w:tc>
        <w:tc>
          <w:tcPr>
            <w:tcW w:w="2157" w:type="dxa"/>
          </w:tcPr>
          <w:p w14:paraId="0A26995B" w14:textId="77777777" w:rsidR="00AA6D58" w:rsidRDefault="00AA6D58"/>
        </w:tc>
        <w:tc>
          <w:tcPr>
            <w:tcW w:w="2158" w:type="dxa"/>
          </w:tcPr>
          <w:p w14:paraId="05D5F61A" w14:textId="77777777" w:rsidR="00AA6D58" w:rsidRDefault="00AA6D58"/>
        </w:tc>
        <w:tc>
          <w:tcPr>
            <w:tcW w:w="2158" w:type="dxa"/>
          </w:tcPr>
          <w:p w14:paraId="7C4F0634" w14:textId="77777777" w:rsidR="00AA6D58" w:rsidRDefault="00AA6D58"/>
        </w:tc>
      </w:tr>
      <w:tr w:rsidR="00AA6D58" w14:paraId="64226DC8" w14:textId="77777777" w:rsidTr="00AA6D58">
        <w:tc>
          <w:tcPr>
            <w:tcW w:w="2157" w:type="dxa"/>
          </w:tcPr>
          <w:p w14:paraId="72510A03" w14:textId="77777777" w:rsidR="00AA6D58" w:rsidRDefault="00AA6D58"/>
        </w:tc>
        <w:tc>
          <w:tcPr>
            <w:tcW w:w="2157" w:type="dxa"/>
          </w:tcPr>
          <w:p w14:paraId="29FA1764" w14:textId="77777777" w:rsidR="00AA6D58" w:rsidRDefault="00AA6D58"/>
        </w:tc>
        <w:tc>
          <w:tcPr>
            <w:tcW w:w="2158" w:type="dxa"/>
          </w:tcPr>
          <w:p w14:paraId="7A602C5E" w14:textId="77777777" w:rsidR="00AA6D58" w:rsidRDefault="00AA6D58"/>
        </w:tc>
        <w:tc>
          <w:tcPr>
            <w:tcW w:w="2158" w:type="dxa"/>
          </w:tcPr>
          <w:p w14:paraId="56931892" w14:textId="77777777" w:rsidR="00AA6D58" w:rsidRDefault="00AA6D58"/>
        </w:tc>
      </w:tr>
      <w:tr w:rsidR="00AA6D58" w14:paraId="5861C5AB" w14:textId="77777777" w:rsidTr="00AA6D58">
        <w:tc>
          <w:tcPr>
            <w:tcW w:w="2157" w:type="dxa"/>
          </w:tcPr>
          <w:p w14:paraId="17DA7C35" w14:textId="77777777" w:rsidR="00AA6D58" w:rsidRDefault="00AA6D58"/>
        </w:tc>
        <w:tc>
          <w:tcPr>
            <w:tcW w:w="2157" w:type="dxa"/>
          </w:tcPr>
          <w:p w14:paraId="33DBBBF8" w14:textId="77777777" w:rsidR="00AA6D58" w:rsidRDefault="00AA6D58"/>
        </w:tc>
        <w:tc>
          <w:tcPr>
            <w:tcW w:w="2158" w:type="dxa"/>
          </w:tcPr>
          <w:p w14:paraId="0FC6F436" w14:textId="77777777" w:rsidR="00AA6D58" w:rsidRDefault="00AA6D58"/>
        </w:tc>
        <w:tc>
          <w:tcPr>
            <w:tcW w:w="2158" w:type="dxa"/>
          </w:tcPr>
          <w:p w14:paraId="5E936A4C" w14:textId="77777777" w:rsidR="00AA6D58" w:rsidRDefault="00AA6D58"/>
        </w:tc>
      </w:tr>
    </w:tbl>
    <w:p w14:paraId="78461452" w14:textId="77777777" w:rsidR="00AA6D58" w:rsidRDefault="00AA6D58"/>
    <w:p w14:paraId="4D062DC2" w14:textId="77777777" w:rsidR="00AA6D58" w:rsidRDefault="00AA6D58"/>
    <w:p w14:paraId="78625E83" w14:textId="77777777" w:rsidR="00C934ED" w:rsidRDefault="00C934ED">
      <w:r>
        <w:rPr>
          <w:i/>
          <w:u w:val="single"/>
        </w:rPr>
        <w:t>Rule:</w:t>
      </w:r>
      <w:r w:rsidR="00034153">
        <w:rPr>
          <w:i/>
        </w:rPr>
        <w:t xml:space="preserve"> </w:t>
      </w:r>
      <w:r w:rsidR="000245ED">
        <w:rPr>
          <w:i/>
        </w:rPr>
        <w:t>FINRA Rule 4370</w:t>
      </w:r>
      <w:r>
        <w:rPr>
          <w:i/>
        </w:rPr>
        <w:t>(c)(9).</w:t>
      </w:r>
    </w:p>
    <w:p w14:paraId="70D0C71D" w14:textId="77777777" w:rsidR="00C934ED" w:rsidRDefault="00C934ED"/>
    <w:p w14:paraId="1473A9BC" w14:textId="35427B76" w:rsidR="00C934ED" w:rsidRDefault="00C934ED" w:rsidP="00CD189C">
      <w:pPr>
        <w:pStyle w:val="Heading1"/>
        <w:tabs>
          <w:tab w:val="clear" w:pos="360"/>
        </w:tabs>
        <w:ind w:left="720" w:hanging="720"/>
        <w:rPr>
          <w:bCs w:val="0"/>
        </w:rPr>
      </w:pPr>
      <w:r>
        <w:rPr>
          <w:bCs w:val="0"/>
        </w:rPr>
        <w:t xml:space="preserve">Critical Business Constituents, Banks and </w:t>
      </w:r>
      <w:proofErr w:type="gramStart"/>
      <w:r>
        <w:rPr>
          <w:bCs w:val="0"/>
        </w:rPr>
        <w:t>Counter</w:t>
      </w:r>
      <w:r w:rsidRPr="00710A74">
        <w:rPr>
          <w:bCs w:val="0"/>
        </w:rPr>
        <w:t>-</w:t>
      </w:r>
      <w:r>
        <w:rPr>
          <w:bCs w:val="0"/>
        </w:rPr>
        <w:t>Parties</w:t>
      </w:r>
      <w:proofErr w:type="gramEnd"/>
      <w:r>
        <w:rPr>
          <w:bCs w:val="0"/>
        </w:rPr>
        <w:t xml:space="preserve"> </w:t>
      </w:r>
    </w:p>
    <w:p w14:paraId="34435110" w14:textId="77777777" w:rsidR="00C934ED" w:rsidRDefault="00C934ED"/>
    <w:p w14:paraId="15899C65" w14:textId="182916EA" w:rsidR="00C934ED" w:rsidRDefault="00C934ED">
      <w:pPr>
        <w:rPr>
          <w:i/>
          <w:iCs/>
          <w:color w:val="000000"/>
        </w:rPr>
      </w:pPr>
      <w:r>
        <w:rPr>
          <w:i/>
          <w:iCs/>
        </w:rPr>
        <w:t xml:space="preserve">Describe your firm’s </w:t>
      </w:r>
      <w:r>
        <w:rPr>
          <w:i/>
          <w:iCs/>
          <w:color w:val="000000"/>
        </w:rPr>
        <w:t xml:space="preserve">procedures to identify changes in the impact an SBD </w:t>
      </w:r>
      <w:r w:rsidR="007C3D02">
        <w:rPr>
          <w:i/>
          <w:iCs/>
          <w:color w:val="000000"/>
        </w:rPr>
        <w:t xml:space="preserve">may </w:t>
      </w:r>
      <w:r>
        <w:rPr>
          <w:i/>
          <w:iCs/>
          <w:color w:val="000000"/>
        </w:rPr>
        <w:t xml:space="preserve">have on its relationship with its critical business constituents, banks, and </w:t>
      </w:r>
      <w:proofErr w:type="gramStart"/>
      <w:r>
        <w:rPr>
          <w:i/>
          <w:iCs/>
          <w:color w:val="000000"/>
        </w:rPr>
        <w:t>counter</w:t>
      </w:r>
      <w:r w:rsidRPr="00710A74">
        <w:rPr>
          <w:i/>
          <w:iCs/>
          <w:color w:val="000000"/>
        </w:rPr>
        <w:t>-</w:t>
      </w:r>
      <w:r>
        <w:rPr>
          <w:i/>
          <w:iCs/>
          <w:color w:val="000000"/>
        </w:rPr>
        <w:t>parties</w:t>
      </w:r>
      <w:proofErr w:type="gramEnd"/>
      <w:r>
        <w:rPr>
          <w:i/>
          <w:iCs/>
          <w:color w:val="000000"/>
        </w:rPr>
        <w:t>, and how it will deal with those impacts.</w:t>
      </w:r>
    </w:p>
    <w:p w14:paraId="5B419067" w14:textId="77777777" w:rsidR="00C934ED" w:rsidRDefault="00C934ED">
      <w:pPr>
        <w:rPr>
          <w:i/>
          <w:u w:val="single"/>
        </w:rPr>
      </w:pPr>
    </w:p>
    <w:p w14:paraId="7D4DA4B8" w14:textId="7B60C255" w:rsidR="00C934ED" w:rsidRDefault="00C934ED" w:rsidP="00CD189C">
      <w:pPr>
        <w:pStyle w:val="Heading2"/>
        <w:tabs>
          <w:tab w:val="clear" w:pos="1080"/>
        </w:tabs>
        <w:ind w:left="1440" w:hanging="720"/>
      </w:pPr>
      <w:r>
        <w:t xml:space="preserve">Business </w:t>
      </w:r>
      <w:r w:rsidR="00CD189C">
        <w:t>C</w:t>
      </w:r>
      <w:r>
        <w:t>onstituents</w:t>
      </w:r>
    </w:p>
    <w:p w14:paraId="26B516DD" w14:textId="77777777" w:rsidR="00C934ED" w:rsidRDefault="00C934ED">
      <w:pPr>
        <w:rPr>
          <w:color w:val="000000"/>
        </w:rPr>
      </w:pPr>
    </w:p>
    <w:p w14:paraId="50858632" w14:textId="6E140982" w:rsidR="00C23236" w:rsidRDefault="00C934ED">
      <w:pPr>
        <w:pStyle w:val="BodyText2"/>
        <w:rPr>
          <w:i w:val="0"/>
          <w:iCs w:val="0"/>
        </w:rPr>
      </w:pPr>
      <w:r>
        <w:rPr>
          <w:i w:val="0"/>
          <w:iCs w:val="0"/>
        </w:rPr>
        <w:t xml:space="preserve">TEXT EXAMPLE: </w:t>
      </w:r>
      <w:r w:rsidR="001C0FA5" w:rsidRPr="001C0FA5">
        <w:rPr>
          <w:i w:val="0"/>
          <w:iCs w:val="0"/>
        </w:rPr>
        <w:t xml:space="preserve">In the event of an SBD </w:t>
      </w:r>
      <w:r w:rsidR="001C0FA5">
        <w:rPr>
          <w:i w:val="0"/>
          <w:iCs w:val="0"/>
        </w:rPr>
        <w:t>related to</w:t>
      </w:r>
      <w:r w:rsidR="001C0FA5" w:rsidRPr="001C0FA5">
        <w:rPr>
          <w:i w:val="0"/>
          <w:iCs w:val="0"/>
        </w:rPr>
        <w:t xml:space="preserve"> our </w:t>
      </w:r>
      <w:r w:rsidR="001C0FA5">
        <w:rPr>
          <w:i w:val="0"/>
          <w:iCs w:val="0"/>
        </w:rPr>
        <w:t>critical business constituents (businesses with which we have an ongoing commercial relationship in support of our operating activities, such as vendors providing us critical services)</w:t>
      </w:r>
      <w:r w:rsidR="001C0FA5" w:rsidRPr="001C0FA5">
        <w:rPr>
          <w:i w:val="0"/>
          <w:iCs w:val="0"/>
        </w:rPr>
        <w:t xml:space="preserve">, </w:t>
      </w:r>
      <w:r w:rsidR="001C0FA5">
        <w:rPr>
          <w:i w:val="0"/>
          <w:iCs w:val="0"/>
        </w:rPr>
        <w:t>we will contact</w:t>
      </w:r>
      <w:r>
        <w:rPr>
          <w:i w:val="0"/>
          <w:iCs w:val="0"/>
        </w:rPr>
        <w:t xml:space="preserve"> our critical business constituents and determine the extent to which we can continue our business relationship with them </w:t>
      </w:r>
      <w:proofErr w:type="gramStart"/>
      <w:r>
        <w:rPr>
          <w:i w:val="0"/>
          <w:iCs w:val="0"/>
        </w:rPr>
        <w:t>in light of</w:t>
      </w:r>
      <w:proofErr w:type="gramEnd"/>
      <w:r>
        <w:rPr>
          <w:i w:val="0"/>
          <w:iCs w:val="0"/>
        </w:rPr>
        <w:t xml:space="preserve"> the SBD.</w:t>
      </w:r>
      <w:r w:rsidR="00034153">
        <w:rPr>
          <w:i w:val="0"/>
          <w:iCs w:val="0"/>
        </w:rPr>
        <w:t xml:space="preserve"> </w:t>
      </w:r>
      <w:r w:rsidR="00C23236">
        <w:rPr>
          <w:i w:val="0"/>
          <w:iCs w:val="0"/>
        </w:rPr>
        <w:t xml:space="preserve">Our critical business constituents are: </w:t>
      </w:r>
    </w:p>
    <w:tbl>
      <w:tblPr>
        <w:tblStyle w:val="TableGrid"/>
        <w:tblW w:w="8635" w:type="dxa"/>
        <w:tblInd w:w="0" w:type="dxa"/>
        <w:tblLook w:val="04A0" w:firstRow="1" w:lastRow="0" w:firstColumn="1" w:lastColumn="0" w:noHBand="0" w:noVBand="1"/>
      </w:tblPr>
      <w:tblGrid>
        <w:gridCol w:w="2157"/>
        <w:gridCol w:w="3058"/>
        <w:gridCol w:w="3420"/>
      </w:tblGrid>
      <w:tr w:rsidR="00710A74" w14:paraId="38F18541" w14:textId="77777777" w:rsidTr="002918DD">
        <w:tc>
          <w:tcPr>
            <w:tcW w:w="2157" w:type="dxa"/>
            <w:tcBorders>
              <w:top w:val="single" w:sz="4" w:space="0" w:color="auto"/>
              <w:left w:val="single" w:sz="4" w:space="0" w:color="auto"/>
              <w:bottom w:val="single" w:sz="4" w:space="0" w:color="auto"/>
              <w:right w:val="single" w:sz="4" w:space="0" w:color="auto"/>
            </w:tcBorders>
            <w:hideMark/>
          </w:tcPr>
          <w:p w14:paraId="638F1602" w14:textId="77777777" w:rsidR="00710A74" w:rsidRDefault="00710A74">
            <w:pPr>
              <w:pStyle w:val="BodyText2"/>
              <w:rPr>
                <w:i w:val="0"/>
                <w:iCs w:val="0"/>
              </w:rPr>
            </w:pPr>
            <w:r>
              <w:rPr>
                <w:i w:val="0"/>
              </w:rPr>
              <w:t>Service/Product</w:t>
            </w:r>
          </w:p>
        </w:tc>
        <w:tc>
          <w:tcPr>
            <w:tcW w:w="3058" w:type="dxa"/>
            <w:tcBorders>
              <w:top w:val="single" w:sz="4" w:space="0" w:color="auto"/>
              <w:left w:val="single" w:sz="4" w:space="0" w:color="auto"/>
              <w:bottom w:val="single" w:sz="4" w:space="0" w:color="auto"/>
              <w:right w:val="single" w:sz="4" w:space="0" w:color="auto"/>
            </w:tcBorders>
            <w:hideMark/>
          </w:tcPr>
          <w:p w14:paraId="034C2385" w14:textId="77777777" w:rsidR="00710A74" w:rsidRDefault="00710A74">
            <w:pPr>
              <w:pStyle w:val="BodyText2"/>
              <w:rPr>
                <w:i w:val="0"/>
                <w:iCs w:val="0"/>
              </w:rPr>
            </w:pPr>
            <w:r>
              <w:rPr>
                <w:i w:val="0"/>
              </w:rPr>
              <w:t xml:space="preserve">Supplier’s Name, Address and Phone Number </w:t>
            </w:r>
          </w:p>
        </w:tc>
        <w:tc>
          <w:tcPr>
            <w:tcW w:w="3420" w:type="dxa"/>
            <w:tcBorders>
              <w:top w:val="single" w:sz="4" w:space="0" w:color="auto"/>
              <w:left w:val="single" w:sz="4" w:space="0" w:color="auto"/>
              <w:bottom w:val="single" w:sz="4" w:space="0" w:color="auto"/>
              <w:right w:val="single" w:sz="4" w:space="0" w:color="auto"/>
            </w:tcBorders>
            <w:hideMark/>
          </w:tcPr>
          <w:p w14:paraId="1AFB6229" w14:textId="595F300B" w:rsidR="00710A74" w:rsidRDefault="00710A74">
            <w:pPr>
              <w:pStyle w:val="BodyText2"/>
              <w:rPr>
                <w:i w:val="0"/>
                <w:iCs w:val="0"/>
              </w:rPr>
            </w:pPr>
            <w:r>
              <w:rPr>
                <w:i w:val="0"/>
              </w:rPr>
              <w:t>Any Alternate Supplier’s Name, Address, and Phone Number</w:t>
            </w:r>
          </w:p>
        </w:tc>
      </w:tr>
      <w:tr w:rsidR="00710A74" w14:paraId="20AF167F" w14:textId="77777777" w:rsidTr="002918DD">
        <w:tc>
          <w:tcPr>
            <w:tcW w:w="2157" w:type="dxa"/>
            <w:tcBorders>
              <w:top w:val="single" w:sz="4" w:space="0" w:color="auto"/>
              <w:left w:val="single" w:sz="4" w:space="0" w:color="auto"/>
              <w:bottom w:val="single" w:sz="4" w:space="0" w:color="auto"/>
              <w:right w:val="single" w:sz="4" w:space="0" w:color="auto"/>
            </w:tcBorders>
          </w:tcPr>
          <w:p w14:paraId="2491EE99"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0D7B3136"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4A1B9EFC" w14:textId="77777777" w:rsidR="00710A74" w:rsidRDefault="00710A74">
            <w:pPr>
              <w:pStyle w:val="BodyText2"/>
              <w:rPr>
                <w:i w:val="0"/>
                <w:iCs w:val="0"/>
              </w:rPr>
            </w:pPr>
          </w:p>
        </w:tc>
      </w:tr>
      <w:tr w:rsidR="00710A74" w14:paraId="39A96E9E" w14:textId="77777777" w:rsidTr="002918DD">
        <w:tc>
          <w:tcPr>
            <w:tcW w:w="2157" w:type="dxa"/>
            <w:tcBorders>
              <w:top w:val="single" w:sz="4" w:space="0" w:color="auto"/>
              <w:left w:val="single" w:sz="4" w:space="0" w:color="auto"/>
              <w:bottom w:val="single" w:sz="4" w:space="0" w:color="auto"/>
              <w:right w:val="single" w:sz="4" w:space="0" w:color="auto"/>
            </w:tcBorders>
          </w:tcPr>
          <w:p w14:paraId="77FEBDA8"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02BEC6BA"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6BDA883D" w14:textId="77777777" w:rsidR="00710A74" w:rsidRDefault="00710A74">
            <w:pPr>
              <w:pStyle w:val="BodyText2"/>
              <w:rPr>
                <w:i w:val="0"/>
                <w:iCs w:val="0"/>
              </w:rPr>
            </w:pPr>
          </w:p>
        </w:tc>
      </w:tr>
      <w:tr w:rsidR="00710A74" w14:paraId="0DBBD296" w14:textId="77777777" w:rsidTr="002918DD">
        <w:tc>
          <w:tcPr>
            <w:tcW w:w="2157" w:type="dxa"/>
            <w:tcBorders>
              <w:top w:val="single" w:sz="4" w:space="0" w:color="auto"/>
              <w:left w:val="single" w:sz="4" w:space="0" w:color="auto"/>
              <w:bottom w:val="single" w:sz="4" w:space="0" w:color="auto"/>
              <w:right w:val="single" w:sz="4" w:space="0" w:color="auto"/>
            </w:tcBorders>
          </w:tcPr>
          <w:p w14:paraId="340587E1" w14:textId="77777777" w:rsidR="00710A74" w:rsidRDefault="00710A74">
            <w:pPr>
              <w:pStyle w:val="BodyText2"/>
              <w:rPr>
                <w:i w:val="0"/>
                <w:iCs w:val="0"/>
              </w:rPr>
            </w:pPr>
          </w:p>
        </w:tc>
        <w:tc>
          <w:tcPr>
            <w:tcW w:w="3058" w:type="dxa"/>
            <w:tcBorders>
              <w:top w:val="single" w:sz="4" w:space="0" w:color="auto"/>
              <w:left w:val="single" w:sz="4" w:space="0" w:color="auto"/>
              <w:bottom w:val="single" w:sz="4" w:space="0" w:color="auto"/>
              <w:right w:val="single" w:sz="4" w:space="0" w:color="auto"/>
            </w:tcBorders>
          </w:tcPr>
          <w:p w14:paraId="533A8C78" w14:textId="77777777" w:rsidR="00710A74" w:rsidRDefault="00710A74">
            <w:pPr>
              <w:pStyle w:val="BodyText2"/>
              <w:rPr>
                <w:i w:val="0"/>
                <w:iCs w:val="0"/>
              </w:rPr>
            </w:pPr>
          </w:p>
        </w:tc>
        <w:tc>
          <w:tcPr>
            <w:tcW w:w="3420" w:type="dxa"/>
            <w:tcBorders>
              <w:top w:val="single" w:sz="4" w:space="0" w:color="auto"/>
              <w:left w:val="single" w:sz="4" w:space="0" w:color="auto"/>
              <w:bottom w:val="single" w:sz="4" w:space="0" w:color="auto"/>
              <w:right w:val="single" w:sz="4" w:space="0" w:color="auto"/>
            </w:tcBorders>
          </w:tcPr>
          <w:p w14:paraId="082BA73F" w14:textId="77777777" w:rsidR="00710A74" w:rsidRDefault="00710A74">
            <w:pPr>
              <w:pStyle w:val="BodyText2"/>
              <w:rPr>
                <w:i w:val="0"/>
                <w:iCs w:val="0"/>
              </w:rPr>
            </w:pPr>
          </w:p>
        </w:tc>
      </w:tr>
    </w:tbl>
    <w:p w14:paraId="1C3F44A5" w14:textId="77777777" w:rsidR="00710A74" w:rsidRDefault="00710A74">
      <w:pPr>
        <w:pStyle w:val="BodyText2"/>
        <w:rPr>
          <w:i w:val="0"/>
          <w:iCs w:val="0"/>
        </w:rPr>
      </w:pPr>
    </w:p>
    <w:p w14:paraId="52B27AD6" w14:textId="77777777" w:rsidR="00C23236" w:rsidRDefault="00C23236">
      <w:pPr>
        <w:pStyle w:val="BodyText2"/>
        <w:rPr>
          <w:i w:val="0"/>
          <w:iCs w:val="0"/>
        </w:rPr>
      </w:pPr>
    </w:p>
    <w:p w14:paraId="4A7198C8" w14:textId="5A1E5A68" w:rsidR="00C934ED" w:rsidRPr="00C23236" w:rsidRDefault="00C934ED" w:rsidP="00C23236">
      <w:pPr>
        <w:pStyle w:val="BodyText2"/>
        <w:rPr>
          <w:i w:val="0"/>
          <w:color w:val="000000"/>
        </w:rPr>
      </w:pPr>
      <w:r>
        <w:rPr>
          <w:i w:val="0"/>
          <w:iCs w:val="0"/>
        </w:rPr>
        <w:t xml:space="preserve">We will quickly establish alternative arrangements if a business constituent can no longer provide the needed goods or services when we need them because </w:t>
      </w:r>
      <w:r w:rsidR="001C0FA5">
        <w:rPr>
          <w:i w:val="0"/>
          <w:iCs w:val="0"/>
        </w:rPr>
        <w:t>the</w:t>
      </w:r>
      <w:r w:rsidR="00C23236">
        <w:rPr>
          <w:i w:val="0"/>
          <w:iCs w:val="0"/>
        </w:rPr>
        <w:t xml:space="preserve"> business constituent is experiencing its</w:t>
      </w:r>
      <w:r w:rsidR="00292EA2">
        <w:rPr>
          <w:i w:val="0"/>
          <w:iCs w:val="0"/>
        </w:rPr>
        <w:t xml:space="preserve"> own</w:t>
      </w:r>
      <w:r>
        <w:rPr>
          <w:i w:val="0"/>
          <w:iCs w:val="0"/>
        </w:rPr>
        <w:t xml:space="preserve"> </w:t>
      </w:r>
      <w:proofErr w:type="gramStart"/>
      <w:r>
        <w:rPr>
          <w:i w:val="0"/>
          <w:iCs w:val="0"/>
        </w:rPr>
        <w:t>SBD</w:t>
      </w:r>
      <w:proofErr w:type="gramEnd"/>
      <w:r>
        <w:rPr>
          <w:i w:val="0"/>
          <w:iCs w:val="0"/>
        </w:rPr>
        <w:t xml:space="preserve"> or </w:t>
      </w:r>
      <w:r w:rsidR="00C23236">
        <w:rPr>
          <w:i w:val="0"/>
          <w:iCs w:val="0"/>
        </w:rPr>
        <w:t xml:space="preserve">we are experiencing </w:t>
      </w:r>
      <w:r>
        <w:rPr>
          <w:i w:val="0"/>
          <w:iCs w:val="0"/>
        </w:rPr>
        <w:t>our</w:t>
      </w:r>
      <w:r w:rsidR="00292EA2">
        <w:rPr>
          <w:i w:val="0"/>
          <w:iCs w:val="0"/>
        </w:rPr>
        <w:t>s</w:t>
      </w:r>
      <w:r w:rsidR="00C23236">
        <w:rPr>
          <w:i w:val="0"/>
          <w:iCs w:val="0"/>
        </w:rPr>
        <w:t xml:space="preserve"> own</w:t>
      </w:r>
      <w:r>
        <w:rPr>
          <w:i w:val="0"/>
          <w:iCs w:val="0"/>
        </w:rPr>
        <w:t>.</w:t>
      </w:r>
      <w:r>
        <w:t xml:space="preserve"> </w:t>
      </w:r>
      <w:r>
        <w:rPr>
          <w:i w:val="0"/>
          <w:iCs w:val="0"/>
        </w:rPr>
        <w:t>[</w:t>
      </w:r>
      <w:r w:rsidR="00FD3267">
        <w:rPr>
          <w:i w:val="0"/>
          <w:iCs w:val="0"/>
        </w:rPr>
        <w:t>W</w:t>
      </w:r>
      <w:r>
        <w:rPr>
          <w:i w:val="0"/>
          <w:iCs w:val="0"/>
        </w:rPr>
        <w:t xml:space="preserve">e have </w:t>
      </w:r>
      <w:proofErr w:type="gramStart"/>
      <w:r>
        <w:rPr>
          <w:i w:val="0"/>
          <w:iCs w:val="0"/>
        </w:rPr>
        <w:t>entered into</w:t>
      </w:r>
      <w:proofErr w:type="gramEnd"/>
      <w:r>
        <w:rPr>
          <w:i w:val="0"/>
          <w:iCs w:val="0"/>
        </w:rPr>
        <w:t xml:space="preserve"> supplemental contract</w:t>
      </w:r>
      <w:r w:rsidR="00C23236">
        <w:rPr>
          <w:i w:val="0"/>
          <w:iCs w:val="0"/>
        </w:rPr>
        <w:t>s</w:t>
      </w:r>
      <w:r>
        <w:rPr>
          <w:i w:val="0"/>
          <w:iCs w:val="0"/>
        </w:rPr>
        <w:t xml:space="preserve"> with </w:t>
      </w:r>
      <w:r w:rsidR="00292EA2">
        <w:rPr>
          <w:i w:val="0"/>
          <w:iCs w:val="0"/>
        </w:rPr>
        <w:t xml:space="preserve">other </w:t>
      </w:r>
      <w:r>
        <w:rPr>
          <w:i w:val="0"/>
          <w:iCs w:val="0"/>
        </w:rPr>
        <w:t xml:space="preserve">critical business constituents to provide such </w:t>
      </w:r>
      <w:r w:rsidR="007C3D02">
        <w:rPr>
          <w:i w:val="0"/>
          <w:iCs w:val="0"/>
        </w:rPr>
        <w:t xml:space="preserve">goods or </w:t>
      </w:r>
      <w:r>
        <w:rPr>
          <w:i w:val="0"/>
          <w:iCs w:val="0"/>
        </w:rPr>
        <w:t>services. The alternate suppliers are disclosed below.]</w:t>
      </w:r>
    </w:p>
    <w:p w14:paraId="02FF1CEF" w14:textId="78D69801" w:rsidR="00C934ED" w:rsidRDefault="00C934ED">
      <w:pPr>
        <w:rPr>
          <w:color w:val="000000"/>
        </w:rPr>
      </w:pPr>
      <w:r>
        <w:rPr>
          <w:i/>
          <w:u w:val="single"/>
        </w:rPr>
        <w:t>Rule:</w:t>
      </w:r>
      <w:r w:rsidR="00034153">
        <w:rPr>
          <w:i/>
        </w:rPr>
        <w:t xml:space="preserve"> </w:t>
      </w:r>
      <w:r w:rsidR="000245ED">
        <w:rPr>
          <w:i/>
        </w:rPr>
        <w:t>FINRA Rule 4370</w:t>
      </w:r>
      <w:r>
        <w:rPr>
          <w:i/>
        </w:rPr>
        <w:t>(c)(7).</w:t>
      </w:r>
    </w:p>
    <w:p w14:paraId="10059BFF" w14:textId="77777777" w:rsidR="00C934ED" w:rsidRDefault="00C934ED">
      <w:pPr>
        <w:rPr>
          <w:color w:val="000000"/>
        </w:rPr>
      </w:pPr>
    </w:p>
    <w:p w14:paraId="423E4EB2" w14:textId="77777777" w:rsidR="00C934ED" w:rsidRDefault="00C934ED" w:rsidP="00CD189C">
      <w:pPr>
        <w:pStyle w:val="Heading2"/>
        <w:tabs>
          <w:tab w:val="clear" w:pos="1080"/>
        </w:tabs>
        <w:ind w:left="1440" w:hanging="720"/>
      </w:pPr>
      <w:r>
        <w:t>Banks</w:t>
      </w:r>
    </w:p>
    <w:p w14:paraId="6B5DD0F6" w14:textId="77777777" w:rsidR="00C934ED" w:rsidRDefault="00C934ED">
      <w:pPr>
        <w:rPr>
          <w:i/>
          <w:iCs/>
          <w:color w:val="000000"/>
        </w:rPr>
      </w:pPr>
    </w:p>
    <w:p w14:paraId="09266674" w14:textId="58B0DC20" w:rsidR="00C934ED" w:rsidRDefault="00C934ED">
      <w:pPr>
        <w:rPr>
          <w:color w:val="000000"/>
        </w:rPr>
      </w:pPr>
      <w:r>
        <w:rPr>
          <w:i/>
          <w:iCs/>
          <w:color w:val="000000"/>
        </w:rPr>
        <w:t xml:space="preserve">TEXT EXAMPLE: </w:t>
      </w:r>
      <w:r w:rsidR="007C3D02">
        <w:rPr>
          <w:iCs/>
          <w:color w:val="000000"/>
        </w:rPr>
        <w:t xml:space="preserve">In the event of an SBD </w:t>
      </w:r>
      <w:r w:rsidR="001C0FA5">
        <w:rPr>
          <w:iCs/>
          <w:color w:val="000000"/>
        </w:rPr>
        <w:t>related to</w:t>
      </w:r>
      <w:r w:rsidR="007C3D02">
        <w:rPr>
          <w:iCs/>
          <w:color w:val="000000"/>
        </w:rPr>
        <w:t xml:space="preserve"> our financing, we will contact </w:t>
      </w:r>
      <w:r>
        <w:rPr>
          <w:color w:val="000000"/>
        </w:rPr>
        <w:t>our banks and lenders to determine if they can continue to provide the financing.</w:t>
      </w:r>
      <w:r w:rsidR="00034153">
        <w:rPr>
          <w:color w:val="000000"/>
        </w:rPr>
        <w:t xml:space="preserve"> </w:t>
      </w:r>
      <w:r>
        <w:rPr>
          <w:color w:val="000000"/>
        </w:rPr>
        <w:t>The bank maintaining our operating account is: [</w:t>
      </w:r>
      <w:r w:rsidRPr="00710A74">
        <w:rPr>
          <w:iCs/>
          <w:color w:val="000000"/>
        </w:rPr>
        <w:t>list bank name, address, phone number and contact</w:t>
      </w:r>
      <w:r>
        <w:rPr>
          <w:color w:val="000000"/>
        </w:rPr>
        <w:t>]. The bank maintaining our Proprietary Account of Introducing Brokers/Dealers (PAIB account) is [</w:t>
      </w:r>
      <w:r w:rsidRPr="00710A74">
        <w:rPr>
          <w:iCs/>
          <w:color w:val="000000"/>
        </w:rPr>
        <w:t>list bank name, address, phone number and contact</w:t>
      </w:r>
      <w:r>
        <w:rPr>
          <w:color w:val="000000"/>
        </w:rPr>
        <w:t xml:space="preserve">]. If our banks and </w:t>
      </w:r>
      <w:r>
        <w:rPr>
          <w:color w:val="000000"/>
        </w:rPr>
        <w:lastRenderedPageBreak/>
        <w:t>other lenders are unable to provide the financing, we will seek alternative financing immediately from [</w:t>
      </w:r>
      <w:r w:rsidRPr="00710A74">
        <w:rPr>
          <w:iCs/>
          <w:color w:val="000000"/>
        </w:rPr>
        <w:t xml:space="preserve">bank/lender name, </w:t>
      </w:r>
      <w:proofErr w:type="gramStart"/>
      <w:r w:rsidRPr="00710A74">
        <w:rPr>
          <w:iCs/>
          <w:color w:val="000000"/>
        </w:rPr>
        <w:t>address</w:t>
      </w:r>
      <w:proofErr w:type="gramEnd"/>
      <w:r w:rsidRPr="00710A74">
        <w:rPr>
          <w:iCs/>
          <w:color w:val="000000"/>
        </w:rPr>
        <w:t xml:space="preserve"> and phone numbers</w:t>
      </w:r>
      <w:r>
        <w:rPr>
          <w:color w:val="000000"/>
        </w:rPr>
        <w:t>].</w:t>
      </w:r>
    </w:p>
    <w:p w14:paraId="21353800" w14:textId="77777777" w:rsidR="00C934ED" w:rsidRDefault="00C934ED">
      <w:pPr>
        <w:rPr>
          <w:color w:val="000000"/>
        </w:rPr>
      </w:pPr>
    </w:p>
    <w:p w14:paraId="11B212E6" w14:textId="11E1E530" w:rsidR="00C934ED" w:rsidRDefault="00C934ED">
      <w:pPr>
        <w:rPr>
          <w:color w:val="000000"/>
        </w:rPr>
      </w:pPr>
      <w:r>
        <w:rPr>
          <w:i/>
          <w:u w:val="single"/>
        </w:rPr>
        <w:t>Rule:</w:t>
      </w:r>
      <w:r w:rsidR="00034153">
        <w:rPr>
          <w:i/>
        </w:rPr>
        <w:t xml:space="preserve"> </w:t>
      </w:r>
      <w:r w:rsidR="003D3DE2">
        <w:rPr>
          <w:i/>
        </w:rPr>
        <w:t>FINRA Rule 4370</w:t>
      </w:r>
      <w:r>
        <w:rPr>
          <w:i/>
        </w:rPr>
        <w:t>(c)(7).</w:t>
      </w:r>
    </w:p>
    <w:p w14:paraId="778BAC30" w14:textId="77777777" w:rsidR="00C934ED" w:rsidRDefault="00C934ED">
      <w:pPr>
        <w:rPr>
          <w:color w:val="000000"/>
        </w:rPr>
      </w:pPr>
    </w:p>
    <w:p w14:paraId="445994D7" w14:textId="1B21F179" w:rsidR="00C934ED" w:rsidRDefault="00C934ED" w:rsidP="00CD189C">
      <w:pPr>
        <w:pStyle w:val="Heading2"/>
        <w:tabs>
          <w:tab w:val="clear" w:pos="1080"/>
        </w:tabs>
        <w:ind w:left="1440" w:hanging="720"/>
      </w:pPr>
      <w:proofErr w:type="gramStart"/>
      <w:r>
        <w:t>Counter</w:t>
      </w:r>
      <w:r w:rsidRPr="00710A74">
        <w:t>-</w:t>
      </w:r>
      <w:r>
        <w:t>Parties</w:t>
      </w:r>
      <w:proofErr w:type="gramEnd"/>
    </w:p>
    <w:p w14:paraId="3BAFC90F" w14:textId="77777777" w:rsidR="00C934ED" w:rsidRDefault="00C934ED">
      <w:pPr>
        <w:rPr>
          <w:i/>
          <w:iCs/>
          <w:color w:val="000000"/>
        </w:rPr>
      </w:pPr>
    </w:p>
    <w:p w14:paraId="61C10CD4" w14:textId="11563C2F" w:rsidR="00C934ED" w:rsidRDefault="00C934ED">
      <w:pPr>
        <w:rPr>
          <w:color w:val="000000"/>
        </w:rPr>
      </w:pPr>
      <w:r>
        <w:rPr>
          <w:i/>
          <w:iCs/>
          <w:color w:val="000000"/>
        </w:rPr>
        <w:t xml:space="preserve">TEXT EXAMPLE: </w:t>
      </w:r>
      <w:r w:rsidR="001C0FA5">
        <w:rPr>
          <w:iCs/>
          <w:color w:val="000000"/>
        </w:rPr>
        <w:t xml:space="preserve">In the event of an SBD related to our financing, we will contact </w:t>
      </w:r>
      <w:r>
        <w:rPr>
          <w:color w:val="000000"/>
        </w:rPr>
        <w:t xml:space="preserve">our critical </w:t>
      </w:r>
      <w:proofErr w:type="gramStart"/>
      <w:r>
        <w:rPr>
          <w:color w:val="000000"/>
        </w:rPr>
        <w:t>counter</w:t>
      </w:r>
      <w:r w:rsidR="0050637C">
        <w:rPr>
          <w:color w:val="000000"/>
        </w:rPr>
        <w:t>-</w:t>
      </w:r>
      <w:r>
        <w:rPr>
          <w:color w:val="000000"/>
        </w:rPr>
        <w:t>parties</w:t>
      </w:r>
      <w:proofErr w:type="gramEnd"/>
      <w:r>
        <w:rPr>
          <w:color w:val="000000"/>
        </w:rPr>
        <w:t xml:space="preserve">, such as other broker-dealers or institutional customers, to determine if we will be able to carry out our transactions with them in light of the SBD. Where the transactions cannot be completed, we will work with our clearing firm or contact those </w:t>
      </w:r>
      <w:proofErr w:type="gramStart"/>
      <w:r w:rsidRPr="002573CB">
        <w:rPr>
          <w:color w:val="000000"/>
        </w:rPr>
        <w:t>counte</w:t>
      </w:r>
      <w:r w:rsidRPr="00710A74">
        <w:rPr>
          <w:color w:val="000000"/>
        </w:rPr>
        <w:t>r</w:t>
      </w:r>
      <w:r w:rsidR="002573CB" w:rsidRPr="00710A74">
        <w:rPr>
          <w:color w:val="000000"/>
        </w:rPr>
        <w:t>-</w:t>
      </w:r>
      <w:r w:rsidRPr="00710A74">
        <w:rPr>
          <w:color w:val="000000"/>
        </w:rPr>
        <w:t>p</w:t>
      </w:r>
      <w:r w:rsidRPr="002573CB">
        <w:rPr>
          <w:color w:val="000000"/>
        </w:rPr>
        <w:t>arties</w:t>
      </w:r>
      <w:proofErr w:type="gramEnd"/>
      <w:r>
        <w:rPr>
          <w:color w:val="000000"/>
        </w:rPr>
        <w:t xml:space="preserve"> directly to make alternative arrangements to complete those transactions as soon as possible. </w:t>
      </w:r>
    </w:p>
    <w:p w14:paraId="46160CB0" w14:textId="77777777" w:rsidR="00C934ED" w:rsidRDefault="00C934ED">
      <w:pPr>
        <w:rPr>
          <w:color w:val="000000"/>
        </w:rPr>
      </w:pPr>
    </w:p>
    <w:p w14:paraId="56F19673" w14:textId="344F8143" w:rsidR="00C934ED" w:rsidRDefault="00C934ED">
      <w:pPr>
        <w:rPr>
          <w:color w:val="000000"/>
        </w:rPr>
      </w:pPr>
      <w:r>
        <w:rPr>
          <w:i/>
          <w:u w:val="single"/>
        </w:rPr>
        <w:t>Rule:</w:t>
      </w:r>
      <w:r>
        <w:rPr>
          <w:i/>
        </w:rPr>
        <w:t xml:space="preserve"> </w:t>
      </w:r>
      <w:r w:rsidR="003D3DE2">
        <w:rPr>
          <w:i/>
        </w:rPr>
        <w:t>FINRA Rule 4370</w:t>
      </w:r>
      <w:r>
        <w:rPr>
          <w:i/>
        </w:rPr>
        <w:t>(c)(7).</w:t>
      </w:r>
    </w:p>
    <w:p w14:paraId="0D25A3CE" w14:textId="77777777" w:rsidR="00C934ED" w:rsidRDefault="00C934ED">
      <w:pPr>
        <w:rPr>
          <w:color w:val="000000"/>
        </w:rPr>
      </w:pPr>
    </w:p>
    <w:p w14:paraId="7809CA22" w14:textId="77777777" w:rsidR="00C934ED" w:rsidRDefault="00C934ED" w:rsidP="00CD189C">
      <w:pPr>
        <w:pStyle w:val="Heading1"/>
        <w:tabs>
          <w:tab w:val="clear" w:pos="360"/>
        </w:tabs>
        <w:ind w:left="720" w:hanging="720"/>
      </w:pPr>
      <w:r>
        <w:t>Regulatory Reporting</w:t>
      </w:r>
    </w:p>
    <w:p w14:paraId="2A9C7250" w14:textId="77777777" w:rsidR="00C934ED" w:rsidRDefault="00C934ED"/>
    <w:p w14:paraId="4EDA398F" w14:textId="77777777" w:rsidR="00C934ED" w:rsidRDefault="00C934ED">
      <w:pPr>
        <w:rPr>
          <w:i/>
          <w:iCs/>
          <w:color w:val="000000"/>
        </w:rPr>
      </w:pPr>
      <w:r>
        <w:rPr>
          <w:i/>
          <w:iCs/>
          <w:color w:val="000000"/>
        </w:rPr>
        <w:t xml:space="preserve">Describe how your firm will file its regulatory reports in the event of an SBD.   </w:t>
      </w:r>
    </w:p>
    <w:p w14:paraId="24DEFC44" w14:textId="77777777" w:rsidR="00C934ED" w:rsidRDefault="00C934ED">
      <w:pPr>
        <w:rPr>
          <w:i/>
          <w:iCs/>
          <w:color w:val="000000"/>
        </w:rPr>
      </w:pPr>
    </w:p>
    <w:p w14:paraId="6D68BBFE" w14:textId="6A8D3A09" w:rsidR="00347CCD" w:rsidRDefault="00C934ED">
      <w:r>
        <w:rPr>
          <w:i/>
          <w:iCs/>
        </w:rPr>
        <w:t>TEXT EXAMPLE:</w:t>
      </w:r>
      <w:r w:rsidR="00034153">
        <w:rPr>
          <w:i/>
          <w:iCs/>
        </w:rPr>
        <w:t xml:space="preserve"> </w:t>
      </w:r>
      <w:r>
        <w:t>Our firm is subject to regulation by: [</w:t>
      </w:r>
      <w:r w:rsidRPr="00710A74">
        <w:rPr>
          <w:iCs/>
        </w:rPr>
        <w:t xml:space="preserve">insert list of </w:t>
      </w:r>
      <w:r w:rsidR="0082363A" w:rsidRPr="00710A74">
        <w:rPr>
          <w:iCs/>
        </w:rPr>
        <w:t xml:space="preserve">applicable </w:t>
      </w:r>
      <w:r w:rsidRPr="00710A74">
        <w:rPr>
          <w:iCs/>
        </w:rPr>
        <w:t>federal</w:t>
      </w:r>
      <w:r w:rsidR="0082363A" w:rsidRPr="00710A74">
        <w:rPr>
          <w:iCs/>
        </w:rPr>
        <w:t>, self-regulatory organization</w:t>
      </w:r>
      <w:r w:rsidRPr="00710A74">
        <w:rPr>
          <w:iCs/>
        </w:rPr>
        <w:t xml:space="preserve"> and state securities regulators</w:t>
      </w:r>
      <w:r>
        <w:rPr>
          <w:i/>
          <w:iCs/>
        </w:rPr>
        <w:t>.</w:t>
      </w:r>
      <w:r>
        <w:t xml:space="preserve">] We </w:t>
      </w:r>
      <w:r w:rsidR="00BF017F">
        <w:t>fulfill our regulatory reporting obligations [</w:t>
      </w:r>
      <w:r>
        <w:t>using paper copies in the U.S. mail, electronic</w:t>
      </w:r>
      <w:r w:rsidR="0050637C">
        <w:t xml:space="preserve"> means</w:t>
      </w:r>
      <w:r w:rsidR="00347CCD">
        <w:t xml:space="preserve"> and the </w:t>
      </w:r>
      <w:hyperlink r:id="rId18" w:history="1">
        <w:r w:rsidR="00347CCD" w:rsidRPr="00347CCD">
          <w:rPr>
            <w:rStyle w:val="Hyperlink"/>
          </w:rPr>
          <w:t>FINRA Gateway</w:t>
        </w:r>
      </w:hyperlink>
      <w:r w:rsidR="00BF017F">
        <w:t>]</w:t>
      </w:r>
      <w:r>
        <w:t xml:space="preserve">. </w:t>
      </w:r>
    </w:p>
    <w:p w14:paraId="36EC558F" w14:textId="77777777" w:rsidR="00347CCD" w:rsidRDefault="00347CCD"/>
    <w:p w14:paraId="13C09142" w14:textId="215E0D04" w:rsidR="00A23FC1" w:rsidRDefault="00BF017F">
      <w:r w:rsidRPr="00BF017F">
        <w:t xml:space="preserve">In the event of an SBD, we will identify whether there are any limitations on our ability to </w:t>
      </w:r>
      <w:r>
        <w:t>fulfill our regulatory reporting obligations</w:t>
      </w:r>
      <w:r w:rsidRPr="00BF017F">
        <w:t>. Depending on the limitat</w:t>
      </w:r>
      <w:r w:rsidR="00BD111B">
        <w:t>ions, we will employ alternate</w:t>
      </w:r>
      <w:r w:rsidRPr="00BF017F">
        <w:t xml:space="preserve"> modes of communication, including [our website, </w:t>
      </w:r>
      <w:proofErr w:type="gramStart"/>
      <w:r w:rsidRPr="00BF017F">
        <w:t>phone</w:t>
      </w:r>
      <w:proofErr w:type="gramEnd"/>
      <w:r w:rsidRPr="00BF017F">
        <w:t xml:space="preserve"> or email], </w:t>
      </w:r>
      <w:r>
        <w:t>to communicate with regulators in fulfilling our regulatory reporting obligations</w:t>
      </w:r>
      <w:r w:rsidRPr="00BF017F">
        <w:t xml:space="preserve">. </w:t>
      </w:r>
      <w:r>
        <w:t xml:space="preserve">In the event we are unable to fulfill a regulatory reporting obligation </w:t>
      </w:r>
      <w:r w:rsidR="00A23FC1">
        <w:t>in a timely manner we will notify our regulator at:</w:t>
      </w:r>
    </w:p>
    <w:p w14:paraId="27341086" w14:textId="77777777" w:rsidR="00A23FC1" w:rsidRDefault="00A23FC1"/>
    <w:tbl>
      <w:tblPr>
        <w:tblStyle w:val="TableGrid"/>
        <w:tblW w:w="0" w:type="auto"/>
        <w:tblInd w:w="0" w:type="dxa"/>
        <w:tblLook w:val="04A0" w:firstRow="1" w:lastRow="0" w:firstColumn="1" w:lastColumn="0" w:noHBand="0" w:noVBand="1"/>
      </w:tblPr>
      <w:tblGrid>
        <w:gridCol w:w="2876"/>
        <w:gridCol w:w="2877"/>
        <w:gridCol w:w="2877"/>
      </w:tblGrid>
      <w:tr w:rsidR="00A23FC1" w14:paraId="75A73949" w14:textId="77777777" w:rsidTr="00710A74">
        <w:tc>
          <w:tcPr>
            <w:tcW w:w="2876" w:type="dxa"/>
            <w:shd w:val="clear" w:color="auto" w:fill="C6D9F1" w:themeFill="text2" w:themeFillTint="33"/>
          </w:tcPr>
          <w:p w14:paraId="0374C5DA" w14:textId="0C7C9FC8" w:rsidR="00A23FC1" w:rsidRPr="00710A74" w:rsidRDefault="00A23FC1">
            <w:pPr>
              <w:rPr>
                <w:b/>
              </w:rPr>
            </w:pPr>
            <w:r w:rsidRPr="00710A74">
              <w:rPr>
                <w:b/>
              </w:rPr>
              <w:t>Regulator</w:t>
            </w:r>
          </w:p>
        </w:tc>
        <w:tc>
          <w:tcPr>
            <w:tcW w:w="2877" w:type="dxa"/>
            <w:shd w:val="clear" w:color="auto" w:fill="C6D9F1" w:themeFill="text2" w:themeFillTint="33"/>
          </w:tcPr>
          <w:p w14:paraId="31D6E316" w14:textId="65E0B627" w:rsidR="00A23FC1" w:rsidRPr="00710A74" w:rsidRDefault="00A23FC1">
            <w:pPr>
              <w:rPr>
                <w:b/>
              </w:rPr>
            </w:pPr>
            <w:r w:rsidRPr="00710A74">
              <w:rPr>
                <w:b/>
              </w:rPr>
              <w:t>Contact Person</w:t>
            </w:r>
          </w:p>
        </w:tc>
        <w:tc>
          <w:tcPr>
            <w:tcW w:w="2877" w:type="dxa"/>
            <w:shd w:val="clear" w:color="auto" w:fill="C6D9F1" w:themeFill="text2" w:themeFillTint="33"/>
          </w:tcPr>
          <w:p w14:paraId="1BD280E3" w14:textId="73A1DE7D" w:rsidR="00A23FC1" w:rsidRPr="00710A74" w:rsidRDefault="00A23FC1">
            <w:pPr>
              <w:rPr>
                <w:b/>
              </w:rPr>
            </w:pPr>
            <w:r w:rsidRPr="00710A74">
              <w:rPr>
                <w:b/>
              </w:rPr>
              <w:t>Contact Information</w:t>
            </w:r>
          </w:p>
        </w:tc>
      </w:tr>
      <w:tr w:rsidR="00A23FC1" w14:paraId="7B4A1617" w14:textId="77777777" w:rsidTr="00A23FC1">
        <w:tc>
          <w:tcPr>
            <w:tcW w:w="2876" w:type="dxa"/>
          </w:tcPr>
          <w:p w14:paraId="2B4DA7E5" w14:textId="492D9BA3" w:rsidR="00A23FC1" w:rsidRDefault="00A23FC1">
            <w:r>
              <w:t>FINRA</w:t>
            </w:r>
          </w:p>
        </w:tc>
        <w:tc>
          <w:tcPr>
            <w:tcW w:w="2877" w:type="dxa"/>
          </w:tcPr>
          <w:p w14:paraId="5D2ED821" w14:textId="1D7F088B" w:rsidR="00A23FC1" w:rsidRDefault="00A23FC1">
            <w:r>
              <w:t>[Risk Monitoring Analyst]</w:t>
            </w:r>
          </w:p>
        </w:tc>
        <w:tc>
          <w:tcPr>
            <w:tcW w:w="2877" w:type="dxa"/>
          </w:tcPr>
          <w:p w14:paraId="69263EF4" w14:textId="77777777" w:rsidR="00A23FC1" w:rsidRDefault="00A23FC1"/>
        </w:tc>
      </w:tr>
      <w:tr w:rsidR="00A23FC1" w14:paraId="5BB9735A" w14:textId="77777777" w:rsidTr="00A23FC1">
        <w:tc>
          <w:tcPr>
            <w:tcW w:w="2876" w:type="dxa"/>
          </w:tcPr>
          <w:p w14:paraId="643E6F6F" w14:textId="37DE0BE6" w:rsidR="00A23FC1" w:rsidRDefault="00A23FC1">
            <w:r>
              <w:t>SEC</w:t>
            </w:r>
            <w:r w:rsidR="00347CCD">
              <w:rPr>
                <w:rStyle w:val="FootnoteReference"/>
              </w:rPr>
              <w:footnoteReference w:id="2"/>
            </w:r>
          </w:p>
        </w:tc>
        <w:tc>
          <w:tcPr>
            <w:tcW w:w="2877" w:type="dxa"/>
          </w:tcPr>
          <w:p w14:paraId="4A45D190" w14:textId="77777777" w:rsidR="00A23FC1" w:rsidRDefault="00A23FC1"/>
        </w:tc>
        <w:tc>
          <w:tcPr>
            <w:tcW w:w="2877" w:type="dxa"/>
          </w:tcPr>
          <w:p w14:paraId="73854BCA" w14:textId="77777777" w:rsidR="00A23FC1" w:rsidRDefault="00A23FC1"/>
        </w:tc>
      </w:tr>
      <w:tr w:rsidR="00A23FC1" w14:paraId="23ACB87F" w14:textId="77777777" w:rsidTr="00A23FC1">
        <w:tc>
          <w:tcPr>
            <w:tcW w:w="2876" w:type="dxa"/>
          </w:tcPr>
          <w:p w14:paraId="748B1DFB" w14:textId="2E1F74E2" w:rsidR="00A23FC1" w:rsidRDefault="00A23FC1">
            <w:r>
              <w:t>[State]</w:t>
            </w:r>
            <w:r>
              <w:rPr>
                <w:rStyle w:val="FootnoteReference"/>
              </w:rPr>
              <w:footnoteReference w:id="3"/>
            </w:r>
          </w:p>
        </w:tc>
        <w:tc>
          <w:tcPr>
            <w:tcW w:w="2877" w:type="dxa"/>
          </w:tcPr>
          <w:p w14:paraId="180A21AB" w14:textId="77777777" w:rsidR="00A23FC1" w:rsidRDefault="00A23FC1"/>
        </w:tc>
        <w:tc>
          <w:tcPr>
            <w:tcW w:w="2877" w:type="dxa"/>
          </w:tcPr>
          <w:p w14:paraId="57BA5DC8" w14:textId="77777777" w:rsidR="00A23FC1" w:rsidRDefault="00A23FC1"/>
        </w:tc>
      </w:tr>
    </w:tbl>
    <w:p w14:paraId="7253443D" w14:textId="77777777" w:rsidR="00C934ED" w:rsidRDefault="00C934ED"/>
    <w:p w14:paraId="7F6DCA1F" w14:textId="77777777" w:rsidR="00C934ED" w:rsidRDefault="00C934ED">
      <w:r>
        <w:rPr>
          <w:i/>
          <w:u w:val="single"/>
        </w:rPr>
        <w:t>Rule:</w:t>
      </w:r>
      <w:r w:rsidR="00034153">
        <w:rPr>
          <w:i/>
        </w:rPr>
        <w:t xml:space="preserve"> </w:t>
      </w:r>
      <w:r w:rsidR="003D3DE2">
        <w:rPr>
          <w:i/>
        </w:rPr>
        <w:t>FINRA Rule 4370</w:t>
      </w:r>
      <w:r>
        <w:rPr>
          <w:i/>
        </w:rPr>
        <w:t>(c)(8).</w:t>
      </w:r>
    </w:p>
    <w:p w14:paraId="31F0121B" w14:textId="77777777" w:rsidR="00C934ED" w:rsidRDefault="00C934ED"/>
    <w:p w14:paraId="61F35F9C" w14:textId="00E4F376" w:rsidR="00C934ED" w:rsidRDefault="00C934ED" w:rsidP="00CD189C">
      <w:pPr>
        <w:pStyle w:val="Heading1"/>
        <w:tabs>
          <w:tab w:val="clear" w:pos="360"/>
        </w:tabs>
        <w:ind w:left="720" w:hanging="720"/>
      </w:pPr>
      <w:r>
        <w:lastRenderedPageBreak/>
        <w:t>Disclosure of Business Continuity Plan</w:t>
      </w:r>
      <w:r w:rsidR="0050637C">
        <w:t xml:space="preserve"> to Customers</w:t>
      </w:r>
    </w:p>
    <w:p w14:paraId="50A7E0A7" w14:textId="77777777" w:rsidR="00C934ED" w:rsidRDefault="00C934ED"/>
    <w:p w14:paraId="53623F9B" w14:textId="0B762D9F" w:rsidR="00C934ED" w:rsidRDefault="00BF017F">
      <w:pPr>
        <w:rPr>
          <w:i/>
          <w:iCs/>
        </w:rPr>
      </w:pPr>
      <w:r>
        <w:rPr>
          <w:i/>
          <w:iCs/>
        </w:rPr>
        <w:t>TEXT EXAMPLE: D</w:t>
      </w:r>
      <w:r w:rsidR="00C934ED">
        <w:rPr>
          <w:i/>
          <w:iCs/>
        </w:rPr>
        <w:t>escribe how your firm discloses its business continuity planning to customers. Attach the current version of your disclosure statement.</w:t>
      </w:r>
      <w:r>
        <w:rPr>
          <w:i/>
          <w:iCs/>
        </w:rPr>
        <w:t xml:space="preserve"> A </w:t>
      </w:r>
      <w:r w:rsidR="00592C78">
        <w:rPr>
          <w:i/>
          <w:iCs/>
        </w:rPr>
        <w:t xml:space="preserve">disclosure statement example </w:t>
      </w:r>
      <w:r>
        <w:rPr>
          <w:i/>
          <w:iCs/>
        </w:rPr>
        <w:t xml:space="preserve">is </w:t>
      </w:r>
      <w:r w:rsidR="00592C78">
        <w:rPr>
          <w:i/>
          <w:iCs/>
        </w:rPr>
        <w:t>attached to this template</w:t>
      </w:r>
      <w:r>
        <w:rPr>
          <w:i/>
          <w:iCs/>
        </w:rPr>
        <w:t xml:space="preserve"> as</w:t>
      </w:r>
      <w:r w:rsidR="00592C78">
        <w:rPr>
          <w:i/>
          <w:iCs/>
        </w:rPr>
        <w:t xml:space="preserve"> Attachment A. </w:t>
      </w:r>
      <w:r w:rsidR="00AF032E">
        <w:rPr>
          <w:i/>
          <w:iCs/>
        </w:rPr>
        <w:t xml:space="preserve">Your </w:t>
      </w:r>
      <w:r w:rsidR="00592C78">
        <w:rPr>
          <w:i/>
          <w:iCs/>
        </w:rPr>
        <w:t xml:space="preserve">firm’s </w:t>
      </w:r>
      <w:r w:rsidR="00AF032E">
        <w:rPr>
          <w:i/>
          <w:iCs/>
        </w:rPr>
        <w:t xml:space="preserve">disclosure statement </w:t>
      </w:r>
      <w:r w:rsidR="000A525D">
        <w:rPr>
          <w:i/>
          <w:iCs/>
        </w:rPr>
        <w:t>should address</w:t>
      </w:r>
      <w:r w:rsidR="000A525D" w:rsidRPr="000A525D">
        <w:rPr>
          <w:i/>
          <w:iCs/>
        </w:rPr>
        <w:t xml:space="preserve"> the possibility of a future significant business disruption and how the member plans to respond to events of varying scope</w:t>
      </w:r>
      <w:r w:rsidR="000A525D">
        <w:rPr>
          <w:i/>
          <w:iCs/>
        </w:rPr>
        <w:t>.  The statement</w:t>
      </w:r>
      <w:r w:rsidR="000A525D" w:rsidRPr="000A525D">
        <w:rPr>
          <w:i/>
          <w:iCs/>
        </w:rPr>
        <w:t xml:space="preserve"> </w:t>
      </w:r>
      <w:r w:rsidR="00AF032E">
        <w:rPr>
          <w:i/>
          <w:iCs/>
        </w:rPr>
        <w:t xml:space="preserve">need not disclose </w:t>
      </w:r>
      <w:r w:rsidR="000A525D">
        <w:rPr>
          <w:i/>
          <w:iCs/>
        </w:rPr>
        <w:t xml:space="preserve">any confidential or proprietary information or </w:t>
      </w:r>
      <w:r w:rsidR="00AF032E">
        <w:rPr>
          <w:i/>
          <w:iCs/>
        </w:rPr>
        <w:t>the specific location of any back-up facilities.</w:t>
      </w:r>
    </w:p>
    <w:p w14:paraId="7B2F0E72" w14:textId="4FC0F4C4" w:rsidR="00C934ED" w:rsidRDefault="00C934ED">
      <w:pPr>
        <w:rPr>
          <w:i/>
          <w:iCs/>
        </w:rPr>
      </w:pPr>
    </w:p>
    <w:p w14:paraId="574A3641" w14:textId="77777777" w:rsidR="00C934ED" w:rsidRDefault="00C934ED">
      <w:pPr>
        <w:pStyle w:val="BlockText"/>
        <w:ind w:left="0"/>
        <w:rPr>
          <w:i/>
          <w:iCs/>
        </w:rPr>
      </w:pPr>
      <w:r>
        <w:rPr>
          <w:i/>
          <w:iCs/>
        </w:rPr>
        <w:t>TEXT EXAMPLE:</w:t>
      </w:r>
      <w:r w:rsidR="00034153">
        <w:t xml:space="preserve"> </w:t>
      </w:r>
      <w:r w:rsidR="00AF032E">
        <w:t xml:space="preserve">Attached is our written </w:t>
      </w:r>
      <w:r>
        <w:t xml:space="preserve">BCP disclosure statement </w:t>
      </w:r>
      <w:r w:rsidR="00AF032E">
        <w:t xml:space="preserve">we provide </w:t>
      </w:r>
      <w:r>
        <w:t xml:space="preserve">customers at account opening </w:t>
      </w:r>
      <w:r w:rsidR="005B6425" w:rsidRPr="005B6425">
        <w:rPr>
          <w:iCs/>
        </w:rPr>
        <w:t>[</w:t>
      </w:r>
      <w:r w:rsidRPr="00710A74">
        <w:rPr>
          <w:iCs/>
        </w:rPr>
        <w:t>list other times of disclosure if applicable, such as annually]</w:t>
      </w:r>
      <w:r>
        <w:t xml:space="preserve">. We also [post the disclosure statement on our </w:t>
      </w:r>
      <w:r w:rsidR="00A3107E">
        <w:t>w</w:t>
      </w:r>
      <w:r>
        <w:t xml:space="preserve">ebsite and] mail it to customers upon request.  </w:t>
      </w:r>
    </w:p>
    <w:p w14:paraId="55104BC8" w14:textId="77777777" w:rsidR="00C934ED" w:rsidRDefault="00C934ED"/>
    <w:p w14:paraId="6D380E45" w14:textId="77777777" w:rsidR="00C934ED" w:rsidRDefault="00C934ED">
      <w:pPr>
        <w:rPr>
          <w:i/>
        </w:rPr>
      </w:pPr>
      <w:r>
        <w:rPr>
          <w:i/>
        </w:rPr>
        <w:t xml:space="preserve">Rule: </w:t>
      </w:r>
      <w:r w:rsidR="003D3DE2">
        <w:rPr>
          <w:i/>
        </w:rPr>
        <w:t>FINRA Rule 4370</w:t>
      </w:r>
      <w:r>
        <w:rPr>
          <w:i/>
        </w:rPr>
        <w:t>(e).</w:t>
      </w:r>
    </w:p>
    <w:p w14:paraId="1A886C5F" w14:textId="77777777" w:rsidR="00C934ED" w:rsidRDefault="00C934ED"/>
    <w:p w14:paraId="7EB2435D" w14:textId="78DDC0E8" w:rsidR="00C934ED" w:rsidRDefault="00C934ED" w:rsidP="00CD189C">
      <w:pPr>
        <w:pStyle w:val="Heading1"/>
        <w:tabs>
          <w:tab w:val="clear" w:pos="360"/>
        </w:tabs>
        <w:ind w:left="720" w:hanging="720"/>
      </w:pPr>
      <w:r>
        <w:t>Updates and Annual Review</w:t>
      </w:r>
    </w:p>
    <w:p w14:paraId="17CF323C" w14:textId="77777777" w:rsidR="00C934ED" w:rsidRDefault="00C934ED"/>
    <w:p w14:paraId="02C6ED8F" w14:textId="5FB1FBCF" w:rsidR="00C934ED" w:rsidRDefault="00C934ED">
      <w:pPr>
        <w:rPr>
          <w:i/>
          <w:iCs/>
        </w:rPr>
      </w:pPr>
      <w:r>
        <w:rPr>
          <w:i/>
          <w:iCs/>
        </w:rPr>
        <w:t>Describe</w:t>
      </w:r>
      <w:r w:rsidR="00FD3267">
        <w:rPr>
          <w:i/>
          <w:iCs/>
        </w:rPr>
        <w:t xml:space="preserve"> how</w:t>
      </w:r>
      <w:r>
        <w:rPr>
          <w:i/>
          <w:iCs/>
        </w:rPr>
        <w:t xml:space="preserve"> your firm</w:t>
      </w:r>
      <w:r w:rsidR="00BB122B">
        <w:rPr>
          <w:i/>
          <w:iCs/>
        </w:rPr>
        <w:t xml:space="preserve"> updates and conducts the</w:t>
      </w:r>
      <w:r w:rsidR="00FD3267">
        <w:rPr>
          <w:i/>
          <w:iCs/>
        </w:rPr>
        <w:t xml:space="preserve"> </w:t>
      </w:r>
      <w:r>
        <w:rPr>
          <w:i/>
          <w:iCs/>
        </w:rPr>
        <w:t>annual review of your BCP.</w:t>
      </w:r>
    </w:p>
    <w:p w14:paraId="24943E8C" w14:textId="77777777" w:rsidR="00C934ED" w:rsidRDefault="00C934ED">
      <w:pPr>
        <w:pStyle w:val="Header"/>
        <w:tabs>
          <w:tab w:val="clear" w:pos="4320"/>
          <w:tab w:val="clear" w:pos="8640"/>
        </w:tabs>
      </w:pPr>
    </w:p>
    <w:p w14:paraId="66305228" w14:textId="2434CA61" w:rsidR="00C934ED" w:rsidRDefault="00C934ED">
      <w:r>
        <w:rPr>
          <w:i/>
          <w:iCs/>
        </w:rPr>
        <w:t>TEXT EXAMPLE:</w:t>
      </w:r>
      <w:r w:rsidR="00034153">
        <w:t xml:space="preserve"> </w:t>
      </w:r>
      <w:r>
        <w:t xml:space="preserve">Our firm will update this plan whenever we have a material change to our operations, structure, </w:t>
      </w:r>
      <w:proofErr w:type="gramStart"/>
      <w:r>
        <w:t>business</w:t>
      </w:r>
      <w:proofErr w:type="gramEnd"/>
      <w:r>
        <w:t xml:space="preserve"> or location or to those of our clearing firm. In addition, our firm will review this BCP annually, on [</w:t>
      </w:r>
      <w:r w:rsidRPr="00710A74">
        <w:rPr>
          <w:iCs/>
        </w:rPr>
        <w:t>date</w:t>
      </w:r>
      <w:r>
        <w:t xml:space="preserve">], to </w:t>
      </w:r>
      <w:r w:rsidR="00BB122B">
        <w:t xml:space="preserve">determine whether </w:t>
      </w:r>
      <w:r>
        <w:t xml:space="preserve">any </w:t>
      </w:r>
      <w:r w:rsidR="00BB122B">
        <w:t xml:space="preserve">modification </w:t>
      </w:r>
      <w:proofErr w:type="gramStart"/>
      <w:r w:rsidR="00BB122B">
        <w:t>are</w:t>
      </w:r>
      <w:proofErr w:type="gramEnd"/>
      <w:r w:rsidR="00BB122B">
        <w:t xml:space="preserve"> necessary due to changes </w:t>
      </w:r>
      <w:r>
        <w:t>in our operations, structure, business or location or those of our clearing firm.</w:t>
      </w:r>
      <w:r w:rsidR="00710A74">
        <w:t xml:space="preserve">  </w:t>
      </w:r>
      <w:r w:rsidR="00710A74" w:rsidRPr="00710A74">
        <w:t>[As part of our annual review, we will conduct a firm-wide test of our BCP.]</w:t>
      </w:r>
      <w:r>
        <w:t xml:space="preserve"> </w:t>
      </w:r>
    </w:p>
    <w:p w14:paraId="66CCBC71" w14:textId="77777777" w:rsidR="00C934ED" w:rsidRDefault="00C934ED"/>
    <w:p w14:paraId="57663B2D" w14:textId="77777777" w:rsidR="00C934ED" w:rsidRDefault="00C934ED">
      <w:r>
        <w:rPr>
          <w:i/>
          <w:u w:val="single"/>
        </w:rPr>
        <w:t>Rule:</w:t>
      </w:r>
      <w:r w:rsidR="00034153">
        <w:rPr>
          <w:i/>
        </w:rPr>
        <w:t xml:space="preserve"> </w:t>
      </w:r>
      <w:r w:rsidR="003D3DE2">
        <w:rPr>
          <w:i/>
        </w:rPr>
        <w:t>FINRA Rule 4370</w:t>
      </w:r>
      <w:r>
        <w:rPr>
          <w:i/>
        </w:rPr>
        <w:t>(b).</w:t>
      </w:r>
    </w:p>
    <w:p w14:paraId="07F91E6B" w14:textId="77777777" w:rsidR="00C934ED" w:rsidRDefault="00C934ED"/>
    <w:p w14:paraId="7B10A604" w14:textId="3B81F5D8" w:rsidR="00C934ED" w:rsidRDefault="00C934ED" w:rsidP="00CD189C">
      <w:pPr>
        <w:pStyle w:val="Heading1"/>
        <w:tabs>
          <w:tab w:val="clear" w:pos="360"/>
        </w:tabs>
        <w:ind w:left="720" w:hanging="720"/>
      </w:pPr>
      <w:r>
        <w:t>Senior Manager Approval</w:t>
      </w:r>
    </w:p>
    <w:p w14:paraId="48BDDBAB" w14:textId="77777777" w:rsidR="00C934ED" w:rsidRDefault="00C934ED"/>
    <w:p w14:paraId="36A0FE79" w14:textId="03C12887" w:rsidR="00C934ED" w:rsidRDefault="00C934ED">
      <w:pPr>
        <w:rPr>
          <w:i/>
        </w:rPr>
      </w:pPr>
      <w:r>
        <w:rPr>
          <w:i/>
        </w:rPr>
        <w:t>Approve the firm’s BCP by signing below.</w:t>
      </w:r>
    </w:p>
    <w:p w14:paraId="594F2925" w14:textId="0C2F4393" w:rsidR="00C934ED" w:rsidRDefault="004A5A67" w:rsidP="00710A74">
      <w:pPr>
        <w:tabs>
          <w:tab w:val="left" w:pos="2712"/>
        </w:tabs>
      </w:pPr>
      <w:r>
        <w:tab/>
      </w:r>
    </w:p>
    <w:p w14:paraId="4CEA4B54" w14:textId="243C7A58" w:rsidR="00C934ED" w:rsidRDefault="00C934ED">
      <w:r>
        <w:rPr>
          <w:i/>
        </w:rPr>
        <w:t>TEXT EXAMPLE</w:t>
      </w:r>
      <w:r>
        <w:t>:</w:t>
      </w:r>
      <w:r w:rsidR="00034153">
        <w:t xml:space="preserve"> </w:t>
      </w:r>
      <w:r>
        <w:t>I have approved this Business Continuity Plan as reasonably designed to enable our firm to meet its obligations to customers in the event of an SBD.</w:t>
      </w:r>
    </w:p>
    <w:p w14:paraId="5358BC04" w14:textId="77777777" w:rsidR="00C934ED" w:rsidRDefault="00C934ED">
      <w:pPr>
        <w:rPr>
          <w:i/>
          <w:u w:val="single"/>
        </w:rPr>
      </w:pPr>
    </w:p>
    <w:p w14:paraId="0E31D1E1" w14:textId="77777777" w:rsidR="00C934ED" w:rsidRDefault="00C934ED">
      <w:pPr>
        <w:rPr>
          <w:i/>
        </w:rPr>
      </w:pPr>
      <w:r>
        <w:rPr>
          <w:i/>
        </w:rPr>
        <w:t>Rule:</w:t>
      </w:r>
      <w:r w:rsidR="00034153">
        <w:rPr>
          <w:i/>
        </w:rPr>
        <w:t xml:space="preserve"> </w:t>
      </w:r>
      <w:r w:rsidR="003D3DE2">
        <w:rPr>
          <w:i/>
        </w:rPr>
        <w:t>FINRA Rule 4370</w:t>
      </w:r>
      <w:r>
        <w:rPr>
          <w:i/>
        </w:rPr>
        <w:t>(d).</w:t>
      </w:r>
    </w:p>
    <w:p w14:paraId="284D51D9" w14:textId="77777777" w:rsidR="00C934ED" w:rsidRDefault="00C934ED"/>
    <w:p w14:paraId="3949B2A5" w14:textId="77777777" w:rsidR="00C934ED" w:rsidRDefault="00C934ED"/>
    <w:p w14:paraId="5B57425A" w14:textId="77777777" w:rsidR="00C934ED" w:rsidRDefault="00C934ED">
      <w:r>
        <w:t>Signed:</w:t>
      </w:r>
      <w:r>
        <w:tab/>
        <w:t>_______________________________</w:t>
      </w:r>
    </w:p>
    <w:p w14:paraId="3D994B71" w14:textId="77777777" w:rsidR="00C934ED" w:rsidRDefault="00C934ED"/>
    <w:p w14:paraId="3CEFF23C" w14:textId="77777777" w:rsidR="00C934ED" w:rsidRDefault="00C934ED">
      <w:r>
        <w:t>Title:</w:t>
      </w:r>
      <w:r>
        <w:tab/>
      </w:r>
      <w:r>
        <w:tab/>
        <w:t>_______________________________</w:t>
      </w:r>
    </w:p>
    <w:p w14:paraId="5C2CCCE0" w14:textId="77777777" w:rsidR="00C934ED" w:rsidRDefault="00C934ED"/>
    <w:p w14:paraId="3DBC887D" w14:textId="77777777" w:rsidR="00C934ED" w:rsidRDefault="00C934ED">
      <w:r>
        <w:t xml:space="preserve">Date: </w:t>
      </w:r>
      <w:r>
        <w:tab/>
      </w:r>
      <w:r>
        <w:tab/>
        <w:t>_______________________________</w:t>
      </w:r>
    </w:p>
    <w:p w14:paraId="04CCF875" w14:textId="77777777" w:rsidR="005B6425" w:rsidRDefault="00AF032E" w:rsidP="005B6425">
      <w:pPr>
        <w:pStyle w:val="Heading1"/>
        <w:numPr>
          <w:ilvl w:val="0"/>
          <w:numId w:val="0"/>
        </w:numPr>
        <w:jc w:val="right"/>
      </w:pPr>
      <w:r>
        <w:br w:type="page"/>
      </w:r>
      <w:r w:rsidR="005B6425" w:rsidRPr="005B6425">
        <w:rPr>
          <w:b w:val="0"/>
          <w:bCs w:val="0"/>
          <w:sz w:val="22"/>
          <w:szCs w:val="21"/>
        </w:rPr>
        <w:lastRenderedPageBreak/>
        <w:t xml:space="preserve">Attachment </w:t>
      </w:r>
      <w:r w:rsidR="00607CBA">
        <w:rPr>
          <w:b w:val="0"/>
          <w:bCs w:val="0"/>
          <w:sz w:val="22"/>
          <w:szCs w:val="21"/>
        </w:rPr>
        <w:t xml:space="preserve">A </w:t>
      </w:r>
      <w:r w:rsidR="005B6425" w:rsidRPr="005B6425">
        <w:rPr>
          <w:b w:val="0"/>
          <w:bCs w:val="0"/>
          <w:sz w:val="22"/>
          <w:szCs w:val="21"/>
        </w:rPr>
        <w:t>to [</w:t>
      </w:r>
      <w:r w:rsidR="00397E4C" w:rsidRPr="00397E4C">
        <w:rPr>
          <w:b w:val="0"/>
          <w:bCs w:val="0"/>
          <w:i/>
          <w:sz w:val="22"/>
          <w:szCs w:val="21"/>
        </w:rPr>
        <w:t>Firm Name</w:t>
      </w:r>
      <w:r w:rsidR="005B6425" w:rsidRPr="005B6425">
        <w:rPr>
          <w:b w:val="0"/>
          <w:bCs w:val="0"/>
          <w:sz w:val="22"/>
          <w:szCs w:val="21"/>
        </w:rPr>
        <w:t>] Business Continuity Plan</w:t>
      </w:r>
    </w:p>
    <w:p w14:paraId="46645A33" w14:textId="77777777" w:rsidR="00AC5D11" w:rsidRDefault="00AC5D11" w:rsidP="00AC5D11">
      <w:pPr>
        <w:pStyle w:val="Heading1"/>
        <w:numPr>
          <w:ilvl w:val="0"/>
          <w:numId w:val="0"/>
        </w:numPr>
        <w:rPr>
          <w:b w:val="0"/>
          <w:bCs w:val="0"/>
          <w:i/>
          <w:iCs/>
          <w:sz w:val="25"/>
          <w:szCs w:val="25"/>
          <w:u w:val="none"/>
        </w:rPr>
      </w:pPr>
    </w:p>
    <w:p w14:paraId="12E52B20" w14:textId="77777777" w:rsidR="00AC5D11" w:rsidRDefault="00AC5D11" w:rsidP="00AC5D11">
      <w:pPr>
        <w:pStyle w:val="Heading1"/>
        <w:numPr>
          <w:ilvl w:val="0"/>
          <w:numId w:val="0"/>
        </w:numPr>
        <w:rPr>
          <w:b w:val="0"/>
          <w:bCs w:val="0"/>
          <w:i/>
          <w:iCs/>
          <w:sz w:val="25"/>
          <w:szCs w:val="25"/>
          <w:u w:val="none"/>
        </w:rPr>
      </w:pPr>
      <w:r>
        <w:rPr>
          <w:b w:val="0"/>
          <w:bCs w:val="0"/>
          <w:i/>
          <w:iCs/>
          <w:sz w:val="25"/>
          <w:szCs w:val="25"/>
          <w:u w:val="none"/>
        </w:rPr>
        <w:t xml:space="preserve">TEXT EXAMPLE of BCP Disclosure Statement for Introducing Firms with a Clearing Arrangement </w:t>
      </w:r>
    </w:p>
    <w:p w14:paraId="7CB420DF" w14:textId="77777777" w:rsidR="00AC5D11" w:rsidRDefault="00AC5D11" w:rsidP="00AC5D11">
      <w:pPr>
        <w:pStyle w:val="Heading1"/>
        <w:numPr>
          <w:ilvl w:val="0"/>
          <w:numId w:val="0"/>
        </w:numPr>
        <w:jc w:val="center"/>
        <w:rPr>
          <w:sz w:val="25"/>
          <w:szCs w:val="25"/>
        </w:rPr>
      </w:pPr>
      <w:r>
        <w:rPr>
          <w:sz w:val="25"/>
          <w:szCs w:val="25"/>
        </w:rPr>
        <w:t>[</w:t>
      </w:r>
      <w:r>
        <w:rPr>
          <w:i/>
          <w:iCs/>
          <w:sz w:val="25"/>
          <w:szCs w:val="25"/>
        </w:rPr>
        <w:t>Firm Name</w:t>
      </w:r>
      <w:r>
        <w:rPr>
          <w:sz w:val="25"/>
          <w:szCs w:val="25"/>
        </w:rPr>
        <w:t>]’s Business Continuity Planning</w:t>
      </w:r>
    </w:p>
    <w:p w14:paraId="255DF856" w14:textId="3F2E3765" w:rsidR="00AC5D11" w:rsidRDefault="00AC5D11" w:rsidP="00AC5D11">
      <w:pPr>
        <w:pStyle w:val="BodyText"/>
        <w:ind w:firstLine="0"/>
        <w:rPr>
          <w:sz w:val="22"/>
          <w:szCs w:val="21"/>
        </w:rPr>
      </w:pPr>
      <w:r>
        <w:rPr>
          <w:sz w:val="22"/>
          <w:szCs w:val="21"/>
        </w:rPr>
        <w:t>[</w:t>
      </w:r>
      <w:r>
        <w:rPr>
          <w:i/>
          <w:iCs/>
          <w:sz w:val="22"/>
          <w:szCs w:val="21"/>
        </w:rPr>
        <w:t>Firm Name</w:t>
      </w:r>
      <w:r>
        <w:rPr>
          <w:sz w:val="22"/>
          <w:szCs w:val="21"/>
        </w:rPr>
        <w:t>] has developed a Business Continuity Plan on how we will respond to events that significantly disrupt our business.</w:t>
      </w:r>
      <w:r w:rsidR="00034153">
        <w:rPr>
          <w:sz w:val="22"/>
          <w:szCs w:val="21"/>
        </w:rPr>
        <w:t xml:space="preserve"> </w:t>
      </w:r>
      <w:r>
        <w:rPr>
          <w:sz w:val="22"/>
          <w:szCs w:val="21"/>
        </w:rPr>
        <w:t xml:space="preserve">Since the timing and impact of disasters and disruptions is unpredictable, we will be flexible in responding to actual events as they occur. With that in mind, we are providing you with this information on our business continuity plan. </w:t>
      </w:r>
    </w:p>
    <w:p w14:paraId="210CAF52" w14:textId="77777777" w:rsidR="00AC5D11" w:rsidRDefault="00AC5D11" w:rsidP="00AC5D11">
      <w:pPr>
        <w:pStyle w:val="BodyText"/>
        <w:ind w:firstLine="0"/>
        <w:rPr>
          <w:i/>
          <w:iCs/>
          <w:sz w:val="22"/>
          <w:szCs w:val="21"/>
        </w:rPr>
      </w:pPr>
      <w:r>
        <w:rPr>
          <w:b/>
          <w:bCs/>
          <w:sz w:val="22"/>
        </w:rPr>
        <w:t>Contacting Us</w:t>
      </w:r>
      <w:r>
        <w:rPr>
          <w:sz w:val="22"/>
        </w:rPr>
        <w:t xml:space="preserve"> – </w:t>
      </w:r>
      <w:r>
        <w:rPr>
          <w:sz w:val="22"/>
          <w:szCs w:val="21"/>
        </w:rPr>
        <w:t xml:space="preserve">If after a significant business </w:t>
      </w:r>
      <w:proofErr w:type="gramStart"/>
      <w:r>
        <w:rPr>
          <w:sz w:val="22"/>
          <w:szCs w:val="21"/>
        </w:rPr>
        <w:t>disruption</w:t>
      </w:r>
      <w:proofErr w:type="gramEnd"/>
      <w:r>
        <w:rPr>
          <w:sz w:val="22"/>
          <w:szCs w:val="21"/>
        </w:rPr>
        <w:t xml:space="preserve"> you cannot contact us as you usually do at [</w:t>
      </w:r>
      <w:r>
        <w:rPr>
          <w:i/>
          <w:iCs/>
          <w:sz w:val="22"/>
          <w:szCs w:val="21"/>
        </w:rPr>
        <w:t>firm phone number/email</w:t>
      </w:r>
      <w:r>
        <w:rPr>
          <w:sz w:val="22"/>
          <w:szCs w:val="21"/>
        </w:rPr>
        <w:t>], you should call our alternative number [</w:t>
      </w:r>
      <w:r>
        <w:rPr>
          <w:i/>
          <w:iCs/>
          <w:sz w:val="22"/>
          <w:szCs w:val="21"/>
        </w:rPr>
        <w:t>firm emergency number</w:t>
      </w:r>
      <w:r>
        <w:rPr>
          <w:sz w:val="22"/>
          <w:szCs w:val="21"/>
        </w:rPr>
        <w:t>] [or go to our website at {</w:t>
      </w:r>
      <w:r>
        <w:rPr>
          <w:i/>
          <w:iCs/>
          <w:sz w:val="22"/>
          <w:szCs w:val="21"/>
        </w:rPr>
        <w:t>URL</w:t>
      </w:r>
      <w:r>
        <w:rPr>
          <w:sz w:val="22"/>
          <w:szCs w:val="21"/>
        </w:rPr>
        <w:t>}].</w:t>
      </w:r>
      <w:r w:rsidR="00034153">
        <w:rPr>
          <w:sz w:val="22"/>
          <w:szCs w:val="21"/>
        </w:rPr>
        <w:t xml:space="preserve"> </w:t>
      </w:r>
      <w:r>
        <w:rPr>
          <w:sz w:val="22"/>
          <w:szCs w:val="21"/>
        </w:rPr>
        <w:t>If you cannot access us through either of those means, you should contact our clearing firm, [</w:t>
      </w:r>
      <w:r>
        <w:rPr>
          <w:i/>
          <w:iCs/>
          <w:sz w:val="22"/>
          <w:szCs w:val="21"/>
        </w:rPr>
        <w:t>name</w:t>
      </w:r>
      <w:r>
        <w:rPr>
          <w:sz w:val="22"/>
          <w:szCs w:val="21"/>
        </w:rPr>
        <w:t>] at [</w:t>
      </w:r>
      <w:r>
        <w:rPr>
          <w:i/>
          <w:iCs/>
          <w:sz w:val="22"/>
          <w:szCs w:val="21"/>
        </w:rPr>
        <w:t>clearing firm number and URL</w:t>
      </w:r>
      <w:r>
        <w:rPr>
          <w:sz w:val="22"/>
          <w:szCs w:val="21"/>
        </w:rPr>
        <w:t xml:space="preserve">] for instructions on how it may </w:t>
      </w:r>
      <w:r w:rsidR="005B6425" w:rsidRPr="005B6425">
        <w:rPr>
          <w:iCs/>
          <w:sz w:val="22"/>
          <w:szCs w:val="21"/>
        </w:rPr>
        <w:t>[</w:t>
      </w:r>
      <w:r>
        <w:rPr>
          <w:i/>
          <w:iCs/>
          <w:sz w:val="22"/>
          <w:szCs w:val="21"/>
        </w:rPr>
        <w:t>list the services your clearing firm may provide to your customers in the event of a significant business disruption; for example, provide prompt access to funds and securities, enter orders and process other trade-related, cash and security transfer transactions for your customers</w:t>
      </w:r>
      <w:r w:rsidR="005B6425" w:rsidRPr="005B6425">
        <w:rPr>
          <w:iCs/>
          <w:sz w:val="22"/>
          <w:szCs w:val="21"/>
        </w:rPr>
        <w:t>]</w:t>
      </w:r>
      <w:r>
        <w:rPr>
          <w:i/>
          <w:iCs/>
          <w:sz w:val="22"/>
          <w:szCs w:val="21"/>
        </w:rPr>
        <w:t xml:space="preserve">.  </w:t>
      </w:r>
    </w:p>
    <w:p w14:paraId="7EAE997A" w14:textId="77777777" w:rsidR="00AC5D11" w:rsidRDefault="00AC5D11" w:rsidP="00AC5D11">
      <w:pPr>
        <w:pStyle w:val="BodyText"/>
        <w:ind w:firstLine="0"/>
        <w:rPr>
          <w:sz w:val="22"/>
          <w:szCs w:val="21"/>
        </w:rPr>
      </w:pPr>
      <w:r>
        <w:rPr>
          <w:b/>
          <w:bCs/>
          <w:sz w:val="22"/>
          <w:szCs w:val="21"/>
        </w:rPr>
        <w:t>Our Business Continuity Plan</w:t>
      </w:r>
      <w:r>
        <w:rPr>
          <w:sz w:val="22"/>
          <w:szCs w:val="21"/>
        </w:rPr>
        <w:t xml:space="preserve"> – We plan to quickly recover and resume business operations after a significant business disruption and respond by safeguarding our employees and property, making a financial and operational assessment, protecting the firm’s books and records, and allowing our customers to transact business. In short, our business continuity plan is designed to permit our firm to resume operations as quickly as possible, given the scope and severity of the significant business disruption.  </w:t>
      </w:r>
    </w:p>
    <w:p w14:paraId="0B42E279" w14:textId="6B0FE4B9" w:rsidR="00AC5D11" w:rsidRDefault="00AC5D11" w:rsidP="00AC5D11">
      <w:pPr>
        <w:pStyle w:val="BodyText"/>
        <w:ind w:firstLine="0"/>
        <w:rPr>
          <w:sz w:val="22"/>
          <w:szCs w:val="21"/>
        </w:rPr>
      </w:pPr>
      <w:r>
        <w:rPr>
          <w:sz w:val="22"/>
          <w:szCs w:val="21"/>
        </w:rPr>
        <w:t xml:space="preserve">Our business continuity plan addresses: data backup and recovery; all mission critical systems; financial and operational assessments; </w:t>
      </w:r>
      <w:r w:rsidR="00BD111B">
        <w:rPr>
          <w:sz w:val="22"/>
          <w:szCs w:val="21"/>
        </w:rPr>
        <w:t xml:space="preserve">alternate </w:t>
      </w:r>
      <w:r>
        <w:rPr>
          <w:sz w:val="22"/>
          <w:szCs w:val="21"/>
        </w:rPr>
        <w:t xml:space="preserve">communications with customers, employees, and regulators; alternate physical location of employees; critical supplier, contractor, </w:t>
      </w:r>
      <w:proofErr w:type="gramStart"/>
      <w:r>
        <w:rPr>
          <w:sz w:val="22"/>
          <w:szCs w:val="21"/>
        </w:rPr>
        <w:t>bank</w:t>
      </w:r>
      <w:proofErr w:type="gramEnd"/>
      <w:r>
        <w:rPr>
          <w:sz w:val="22"/>
          <w:szCs w:val="21"/>
        </w:rPr>
        <w:t xml:space="preserve"> and counter-party impact; regulatory reporting; and assuring our customers prompt access to their funds and securities if we are unable to continue our business. </w:t>
      </w:r>
    </w:p>
    <w:p w14:paraId="1FF6E6E5" w14:textId="5BC66E8A" w:rsidR="00AC5D11" w:rsidRDefault="00BE0352" w:rsidP="00AC5D11">
      <w:pPr>
        <w:rPr>
          <w:sz w:val="22"/>
          <w:szCs w:val="21"/>
        </w:rPr>
      </w:pPr>
      <w:r>
        <w:rPr>
          <w:sz w:val="22"/>
          <w:szCs w:val="21"/>
        </w:rPr>
        <w:t>[</w:t>
      </w:r>
      <w:r w:rsidR="00AC5D11">
        <w:rPr>
          <w:sz w:val="22"/>
          <w:szCs w:val="21"/>
        </w:rPr>
        <w:t>Our clearing firm, [</w:t>
      </w:r>
      <w:r w:rsidR="00AC5D11">
        <w:rPr>
          <w:i/>
          <w:iCs/>
          <w:sz w:val="22"/>
          <w:szCs w:val="21"/>
        </w:rPr>
        <w:t>name</w:t>
      </w:r>
      <w:r w:rsidR="00AC5D11">
        <w:rPr>
          <w:sz w:val="22"/>
          <w:szCs w:val="21"/>
        </w:rPr>
        <w:t xml:space="preserve">], backs up our important records in a geographically separate area. While every </w:t>
      </w:r>
      <w:proofErr w:type="gramStart"/>
      <w:r w:rsidR="00AC5D11">
        <w:rPr>
          <w:sz w:val="22"/>
          <w:szCs w:val="21"/>
        </w:rPr>
        <w:t>emergency situation</w:t>
      </w:r>
      <w:proofErr w:type="gramEnd"/>
      <w:r w:rsidR="00AC5D11">
        <w:rPr>
          <w:sz w:val="22"/>
          <w:szCs w:val="21"/>
        </w:rPr>
        <w:t xml:space="preserve"> poses unique problems based on external factors, such as time of day and the severity of the disruption, we have been advised by our clearing firm that its objective is to restore its own operations and be able to complete existing transactions and accept new transactions and payments within [</w:t>
      </w:r>
      <w:r w:rsidR="00AC5D11">
        <w:rPr>
          <w:i/>
          <w:iCs/>
          <w:sz w:val="22"/>
          <w:szCs w:val="21"/>
        </w:rPr>
        <w:t>resumption</w:t>
      </w:r>
      <w:r w:rsidR="00AC5D11">
        <w:rPr>
          <w:sz w:val="22"/>
          <w:szCs w:val="21"/>
        </w:rPr>
        <w:t xml:space="preserve"> </w:t>
      </w:r>
      <w:r w:rsidR="00AC5D11">
        <w:rPr>
          <w:i/>
          <w:iCs/>
          <w:sz w:val="22"/>
          <w:szCs w:val="21"/>
        </w:rPr>
        <w:t>time period</w:t>
      </w:r>
      <w:r w:rsidR="00AC5D11">
        <w:rPr>
          <w:sz w:val="22"/>
          <w:szCs w:val="21"/>
        </w:rPr>
        <w:t>]. Your orders and requests for funds and securities could be delayed during this period</w:t>
      </w:r>
      <w:r w:rsidR="005A5C09">
        <w:rPr>
          <w:sz w:val="22"/>
          <w:szCs w:val="21"/>
        </w:rPr>
        <w:t>.</w:t>
      </w:r>
      <w:r>
        <w:rPr>
          <w:sz w:val="22"/>
          <w:szCs w:val="21"/>
        </w:rPr>
        <w:t>]</w:t>
      </w:r>
      <w:r w:rsidR="00AC5D11">
        <w:rPr>
          <w:sz w:val="22"/>
          <w:szCs w:val="21"/>
        </w:rPr>
        <w:t xml:space="preserve">  </w:t>
      </w:r>
    </w:p>
    <w:p w14:paraId="5E0495BD" w14:textId="77777777" w:rsidR="00AC5D11" w:rsidRDefault="00AC5D11" w:rsidP="00AC5D11">
      <w:pPr>
        <w:rPr>
          <w:sz w:val="22"/>
          <w:szCs w:val="21"/>
        </w:rPr>
      </w:pPr>
    </w:p>
    <w:p w14:paraId="70F1567D" w14:textId="26BE7BD9" w:rsidR="00AC5D11" w:rsidRDefault="00AC5D11" w:rsidP="00AC5D11">
      <w:pPr>
        <w:rPr>
          <w:sz w:val="22"/>
          <w:szCs w:val="21"/>
        </w:rPr>
      </w:pPr>
      <w:r>
        <w:rPr>
          <w:b/>
          <w:bCs/>
          <w:sz w:val="22"/>
          <w:szCs w:val="21"/>
        </w:rPr>
        <w:t xml:space="preserve">Varying Disruptions </w:t>
      </w:r>
      <w:r>
        <w:rPr>
          <w:sz w:val="22"/>
          <w:szCs w:val="21"/>
        </w:rPr>
        <w:t>– Significant business disruptions can vary in their scope, such as only our firm</w:t>
      </w:r>
      <w:r w:rsidR="00BE0352">
        <w:rPr>
          <w:sz w:val="22"/>
          <w:szCs w:val="21"/>
        </w:rPr>
        <w:t>’s office</w:t>
      </w:r>
      <w:r>
        <w:rPr>
          <w:sz w:val="22"/>
          <w:szCs w:val="21"/>
        </w:rPr>
        <w:t xml:space="preserve">, the city where we are located or the whole region. Within each of these areas, the severity of the disruption can also vary from minimal to severe. </w:t>
      </w:r>
      <w:r w:rsidR="00BE0352">
        <w:rPr>
          <w:sz w:val="22"/>
          <w:szCs w:val="21"/>
        </w:rPr>
        <w:t xml:space="preserve">In the event of a significant business disruption, we have plans to place to move to a back-up location or remote locations as necessary. </w:t>
      </w:r>
      <w:r>
        <w:rPr>
          <w:sz w:val="22"/>
          <w:szCs w:val="21"/>
        </w:rPr>
        <w:t>In either situation, we plan to continue in business, transfer operations to our clearing firm if necessary, and notify you through our website [</w:t>
      </w:r>
      <w:r w:rsidR="00397E4C" w:rsidRPr="00397E4C">
        <w:rPr>
          <w:i/>
          <w:sz w:val="22"/>
          <w:szCs w:val="21"/>
        </w:rPr>
        <w:t>URL</w:t>
      </w:r>
      <w:r>
        <w:rPr>
          <w:sz w:val="22"/>
          <w:szCs w:val="21"/>
        </w:rPr>
        <w:t>] or our customer emergency number, [</w:t>
      </w:r>
      <w:r>
        <w:rPr>
          <w:i/>
          <w:iCs/>
          <w:sz w:val="22"/>
          <w:szCs w:val="21"/>
        </w:rPr>
        <w:t>firm emergency number</w:t>
      </w:r>
      <w:r>
        <w:rPr>
          <w:sz w:val="22"/>
          <w:szCs w:val="21"/>
        </w:rPr>
        <w:t xml:space="preserve">] how to contact us. If the significant business disruption is so severe that it prevents us from remaining in business, we will assure our customer’s prompt access to their funds and securities. </w:t>
      </w:r>
    </w:p>
    <w:p w14:paraId="758FE9A6" w14:textId="77777777" w:rsidR="00AC5D11" w:rsidRDefault="00AC5D11" w:rsidP="00AC5D11">
      <w:pPr>
        <w:rPr>
          <w:sz w:val="22"/>
          <w:szCs w:val="21"/>
        </w:rPr>
      </w:pPr>
    </w:p>
    <w:p w14:paraId="2D038968" w14:textId="77777777" w:rsidR="00AC5D11" w:rsidRDefault="00AC5D11" w:rsidP="00AC5D11">
      <w:pPr>
        <w:rPr>
          <w:sz w:val="22"/>
          <w:szCs w:val="21"/>
        </w:rPr>
      </w:pPr>
      <w:r>
        <w:rPr>
          <w:b/>
          <w:bCs/>
          <w:sz w:val="22"/>
          <w:szCs w:val="21"/>
        </w:rPr>
        <w:t>For more information</w:t>
      </w:r>
      <w:r>
        <w:rPr>
          <w:sz w:val="22"/>
          <w:szCs w:val="21"/>
        </w:rPr>
        <w:t xml:space="preserve"> – If you have questions about our business continuity planning, you can contact us at [</w:t>
      </w:r>
      <w:r>
        <w:rPr>
          <w:i/>
          <w:iCs/>
          <w:sz w:val="22"/>
          <w:szCs w:val="21"/>
        </w:rPr>
        <w:t>firm business number or email address</w:t>
      </w:r>
      <w:r>
        <w:rPr>
          <w:sz w:val="22"/>
          <w:szCs w:val="21"/>
        </w:rPr>
        <w:t>].</w:t>
      </w:r>
    </w:p>
    <w:p w14:paraId="7BBB173F" w14:textId="77777777" w:rsidR="00AC5D11" w:rsidRDefault="00AC5D11" w:rsidP="00AC5D11">
      <w:pPr>
        <w:rPr>
          <w:i/>
          <w:iCs/>
          <w:sz w:val="15"/>
          <w:szCs w:val="15"/>
        </w:rPr>
      </w:pPr>
    </w:p>
    <w:p w14:paraId="5377BC21" w14:textId="77777777" w:rsidR="00C934ED" w:rsidRDefault="00C934ED">
      <w:pPr>
        <w:pStyle w:val="Header"/>
        <w:tabs>
          <w:tab w:val="clear" w:pos="4320"/>
          <w:tab w:val="clear" w:pos="8640"/>
        </w:tabs>
      </w:pPr>
    </w:p>
    <w:sectPr w:rsidR="00C934ED" w:rsidSect="00881CA5">
      <w:headerReference w:type="default" r:id="rId19"/>
      <w:footerReference w:type="even" r:id="rId20"/>
      <w:footerReference w:type="default" r:id="rId2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8D00" w14:textId="77777777" w:rsidR="0008195A" w:rsidRDefault="0008195A">
      <w:r>
        <w:separator/>
      </w:r>
    </w:p>
  </w:endnote>
  <w:endnote w:type="continuationSeparator" w:id="0">
    <w:p w14:paraId="180979BF" w14:textId="77777777" w:rsidR="0008195A" w:rsidRDefault="0008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581A" w14:textId="77777777" w:rsidR="00D47E14" w:rsidRDefault="00D47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6FA54C" w14:textId="77777777" w:rsidR="00D47E14" w:rsidRDefault="00D47E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1496" w14:textId="0C218103" w:rsidR="00D47E14" w:rsidRDefault="00D47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D58">
      <w:rPr>
        <w:rStyle w:val="PageNumber"/>
        <w:noProof/>
      </w:rPr>
      <w:t>12</w:t>
    </w:r>
    <w:r>
      <w:rPr>
        <w:rStyle w:val="PageNumber"/>
      </w:rPr>
      <w:fldChar w:fldCharType="end"/>
    </w:r>
  </w:p>
  <w:p w14:paraId="6C32671A" w14:textId="77777777" w:rsidR="00D47E14" w:rsidRDefault="00D47E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FB49" w14:textId="77777777" w:rsidR="0008195A" w:rsidRDefault="0008195A">
      <w:r>
        <w:separator/>
      </w:r>
    </w:p>
  </w:footnote>
  <w:footnote w:type="continuationSeparator" w:id="0">
    <w:p w14:paraId="27E542D9" w14:textId="77777777" w:rsidR="0008195A" w:rsidRDefault="0008195A">
      <w:r>
        <w:continuationSeparator/>
      </w:r>
    </w:p>
  </w:footnote>
  <w:footnote w:id="1">
    <w:p w14:paraId="1B4D0827" w14:textId="15C6DD99" w:rsidR="00D47E14" w:rsidRPr="00710A74" w:rsidRDefault="00D47E14" w:rsidP="000C7203">
      <w:pPr>
        <w:pStyle w:val="FootnoteText"/>
        <w:ind w:left="720" w:hanging="720"/>
        <w:rPr>
          <w:sz w:val="24"/>
          <w:szCs w:val="24"/>
        </w:rPr>
      </w:pPr>
      <w:r w:rsidRPr="00710A74">
        <w:rPr>
          <w:rStyle w:val="FootnoteReference"/>
          <w:sz w:val="24"/>
          <w:szCs w:val="24"/>
        </w:rPr>
        <w:footnoteRef/>
      </w:r>
      <w:r w:rsidRPr="00710A74">
        <w:rPr>
          <w:sz w:val="24"/>
          <w:szCs w:val="24"/>
        </w:rPr>
        <w:t xml:space="preserve"> </w:t>
      </w:r>
      <w:r w:rsidRPr="00710A74">
        <w:rPr>
          <w:sz w:val="24"/>
          <w:szCs w:val="24"/>
        </w:rPr>
        <w:tab/>
        <w:t>Identify second person’s relationship to the firm if not a registered principal of the firm.</w:t>
      </w:r>
    </w:p>
  </w:footnote>
  <w:footnote w:id="2">
    <w:p w14:paraId="22C2A8D0" w14:textId="10F58AB5" w:rsidR="00D47E14" w:rsidRPr="00710A74" w:rsidRDefault="00D47E14">
      <w:pPr>
        <w:pStyle w:val="FootnoteText"/>
        <w:rPr>
          <w:sz w:val="24"/>
          <w:szCs w:val="24"/>
        </w:rPr>
      </w:pPr>
      <w:r w:rsidRPr="00710A74">
        <w:rPr>
          <w:rStyle w:val="FootnoteReference"/>
          <w:sz w:val="24"/>
          <w:szCs w:val="24"/>
        </w:rPr>
        <w:footnoteRef/>
      </w:r>
      <w:r w:rsidRPr="00710A74">
        <w:rPr>
          <w:sz w:val="24"/>
          <w:szCs w:val="24"/>
        </w:rPr>
        <w:t xml:space="preserve"> </w:t>
      </w:r>
      <w:r w:rsidRPr="00710A74">
        <w:rPr>
          <w:sz w:val="24"/>
          <w:szCs w:val="24"/>
        </w:rPr>
        <w:tab/>
        <w:t xml:space="preserve">The SEC’s main phone line is (800) 732-0330. </w:t>
      </w:r>
    </w:p>
    <w:p w14:paraId="5C7B369E" w14:textId="4062A0E1" w:rsidR="00D47E14" w:rsidRPr="00710A74" w:rsidRDefault="00D47E14">
      <w:pPr>
        <w:pStyle w:val="FootnoteText"/>
        <w:rPr>
          <w:sz w:val="24"/>
          <w:szCs w:val="24"/>
        </w:rPr>
      </w:pPr>
      <w:r w:rsidRPr="00710A74">
        <w:rPr>
          <w:sz w:val="24"/>
          <w:szCs w:val="24"/>
        </w:rPr>
        <w:t xml:space="preserve"> </w:t>
      </w:r>
    </w:p>
  </w:footnote>
  <w:footnote w:id="3">
    <w:p w14:paraId="07D3DAD2" w14:textId="3DB85394" w:rsidR="00D47E14" w:rsidRPr="00710A74" w:rsidRDefault="00D47E14" w:rsidP="00A23FC1">
      <w:pPr>
        <w:pStyle w:val="FootnoteText"/>
        <w:ind w:left="720" w:hanging="720"/>
        <w:rPr>
          <w:sz w:val="24"/>
          <w:szCs w:val="24"/>
        </w:rPr>
      </w:pPr>
      <w:r w:rsidRPr="00710A74">
        <w:rPr>
          <w:rStyle w:val="FootnoteReference"/>
          <w:sz w:val="24"/>
          <w:szCs w:val="24"/>
        </w:rPr>
        <w:footnoteRef/>
      </w:r>
      <w:r w:rsidRPr="00710A74">
        <w:rPr>
          <w:sz w:val="24"/>
          <w:szCs w:val="24"/>
        </w:rPr>
        <w:t xml:space="preserve"> </w:t>
      </w:r>
      <w:r w:rsidRPr="00710A74">
        <w:rPr>
          <w:sz w:val="24"/>
          <w:szCs w:val="24"/>
        </w:rPr>
        <w:tab/>
        <w:t xml:space="preserve">Contact information for state regulators may be obtained at </w:t>
      </w:r>
      <w:hyperlink r:id="rId1" w:history="1">
        <w:r w:rsidRPr="00710A74">
          <w:rPr>
            <w:rStyle w:val="Hyperlink"/>
            <w:sz w:val="24"/>
            <w:szCs w:val="24"/>
          </w:rPr>
          <w:t>https://www.nasaa.org/contact-your-regulator/</w:t>
        </w:r>
      </w:hyperlink>
      <w:r w:rsidRPr="00710A74">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8E29" w14:textId="5272F2F9" w:rsidR="00D47E14" w:rsidRPr="00710A74" w:rsidRDefault="00D47E14" w:rsidP="00D97515">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6D5"/>
    <w:multiLevelType w:val="hybridMultilevel"/>
    <w:tmpl w:val="098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B7C7A"/>
    <w:multiLevelType w:val="multilevel"/>
    <w:tmpl w:val="3E5CA3EE"/>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b w:val="0"/>
      </w:rPr>
    </w:lvl>
    <w:lvl w:ilvl="2">
      <w:start w:val="1"/>
      <w:numFmt w:val="decimal"/>
      <w:pStyle w:val="Heading3"/>
      <w:lvlText w:val="%3."/>
      <w:lvlJc w:val="left"/>
      <w:pPr>
        <w:tabs>
          <w:tab w:val="num" w:pos="1800"/>
        </w:tabs>
        <w:ind w:left="1440" w:firstLine="0"/>
      </w:pPr>
      <w:rPr>
        <w:rFonts w:hint="default"/>
        <w:b/>
        <w:bCs/>
      </w:rPr>
    </w:lvl>
    <w:lvl w:ilvl="3">
      <w:start w:val="1"/>
      <w:numFmt w:val="lowerLetter"/>
      <w:pStyle w:val="Heading4"/>
      <w:lvlText w:val="%4)"/>
      <w:lvlJc w:val="left"/>
      <w:pPr>
        <w:tabs>
          <w:tab w:val="num" w:pos="2520"/>
        </w:tabs>
        <w:ind w:left="2160" w:firstLine="0"/>
      </w:pPr>
      <w:rPr>
        <w:rFonts w:ascii="Times New Roman" w:hAnsi="Times New Roman" w:hint="default"/>
        <w:b w:val="0"/>
        <w:i w:val="0"/>
        <w:color w:val="auto"/>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1266184665">
    <w:abstractNumId w:val="1"/>
  </w:num>
  <w:num w:numId="2" w16cid:durableId="299771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0180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3E"/>
    <w:rsid w:val="00023487"/>
    <w:rsid w:val="000245ED"/>
    <w:rsid w:val="0002762A"/>
    <w:rsid w:val="00027FC7"/>
    <w:rsid w:val="00034153"/>
    <w:rsid w:val="0003433E"/>
    <w:rsid w:val="00046467"/>
    <w:rsid w:val="000532B9"/>
    <w:rsid w:val="00065D74"/>
    <w:rsid w:val="0008195A"/>
    <w:rsid w:val="0008759A"/>
    <w:rsid w:val="00096CBE"/>
    <w:rsid w:val="000A24FF"/>
    <w:rsid w:val="000A525D"/>
    <w:rsid w:val="000B3CAE"/>
    <w:rsid w:val="000C2314"/>
    <w:rsid w:val="000C59E9"/>
    <w:rsid w:val="000C7203"/>
    <w:rsid w:val="000D70E8"/>
    <w:rsid w:val="000E4744"/>
    <w:rsid w:val="000F15C6"/>
    <w:rsid w:val="000F3F22"/>
    <w:rsid w:val="00113885"/>
    <w:rsid w:val="0011763D"/>
    <w:rsid w:val="00117AF2"/>
    <w:rsid w:val="001436C8"/>
    <w:rsid w:val="001627AD"/>
    <w:rsid w:val="0018372C"/>
    <w:rsid w:val="00193B96"/>
    <w:rsid w:val="00194FB0"/>
    <w:rsid w:val="001A7E03"/>
    <w:rsid w:val="001C0FA5"/>
    <w:rsid w:val="001C3645"/>
    <w:rsid w:val="001C6804"/>
    <w:rsid w:val="001D617B"/>
    <w:rsid w:val="002021F4"/>
    <w:rsid w:val="00215506"/>
    <w:rsid w:val="00226068"/>
    <w:rsid w:val="00230F2C"/>
    <w:rsid w:val="00246F5B"/>
    <w:rsid w:val="00247C38"/>
    <w:rsid w:val="002573CB"/>
    <w:rsid w:val="00286685"/>
    <w:rsid w:val="0029065B"/>
    <w:rsid w:val="00290990"/>
    <w:rsid w:val="002918DD"/>
    <w:rsid w:val="00292EA2"/>
    <w:rsid w:val="002A07A2"/>
    <w:rsid w:val="002A2EF7"/>
    <w:rsid w:val="002B3C35"/>
    <w:rsid w:val="002D2356"/>
    <w:rsid w:val="002E125B"/>
    <w:rsid w:val="00301B67"/>
    <w:rsid w:val="003028BB"/>
    <w:rsid w:val="00311EA5"/>
    <w:rsid w:val="003159A8"/>
    <w:rsid w:val="003232AE"/>
    <w:rsid w:val="00336281"/>
    <w:rsid w:val="00347CCD"/>
    <w:rsid w:val="00355D89"/>
    <w:rsid w:val="00356AB3"/>
    <w:rsid w:val="0037784D"/>
    <w:rsid w:val="003840F5"/>
    <w:rsid w:val="003849C1"/>
    <w:rsid w:val="0038554F"/>
    <w:rsid w:val="00392B3D"/>
    <w:rsid w:val="0039550C"/>
    <w:rsid w:val="00397E4C"/>
    <w:rsid w:val="003C2ED0"/>
    <w:rsid w:val="003C6066"/>
    <w:rsid w:val="003D3DE2"/>
    <w:rsid w:val="003D495C"/>
    <w:rsid w:val="003E1FA1"/>
    <w:rsid w:val="003F0E1B"/>
    <w:rsid w:val="003F2748"/>
    <w:rsid w:val="0043338D"/>
    <w:rsid w:val="0044070E"/>
    <w:rsid w:val="00441913"/>
    <w:rsid w:val="0045250D"/>
    <w:rsid w:val="00494793"/>
    <w:rsid w:val="004A2D04"/>
    <w:rsid w:val="004A30FE"/>
    <w:rsid w:val="004A5A67"/>
    <w:rsid w:val="004B7456"/>
    <w:rsid w:val="004D0E7F"/>
    <w:rsid w:val="004E24CE"/>
    <w:rsid w:val="004F2C24"/>
    <w:rsid w:val="004F4897"/>
    <w:rsid w:val="004F53AF"/>
    <w:rsid w:val="0050308C"/>
    <w:rsid w:val="0050637C"/>
    <w:rsid w:val="0051563A"/>
    <w:rsid w:val="00515C0A"/>
    <w:rsid w:val="00517696"/>
    <w:rsid w:val="00572822"/>
    <w:rsid w:val="00572F2F"/>
    <w:rsid w:val="005849E8"/>
    <w:rsid w:val="00591979"/>
    <w:rsid w:val="00591DD3"/>
    <w:rsid w:val="00592C78"/>
    <w:rsid w:val="00593A8E"/>
    <w:rsid w:val="00595587"/>
    <w:rsid w:val="00596C21"/>
    <w:rsid w:val="005A1DE6"/>
    <w:rsid w:val="005A5C09"/>
    <w:rsid w:val="005A60E9"/>
    <w:rsid w:val="005B0435"/>
    <w:rsid w:val="005B4283"/>
    <w:rsid w:val="005B6425"/>
    <w:rsid w:val="005B6F02"/>
    <w:rsid w:val="005C4D75"/>
    <w:rsid w:val="005D0B91"/>
    <w:rsid w:val="005E0B71"/>
    <w:rsid w:val="005E51A9"/>
    <w:rsid w:val="005E7116"/>
    <w:rsid w:val="00607CBA"/>
    <w:rsid w:val="00615183"/>
    <w:rsid w:val="00623EC4"/>
    <w:rsid w:val="0064534D"/>
    <w:rsid w:val="0065053D"/>
    <w:rsid w:val="00656DB9"/>
    <w:rsid w:val="00661E7B"/>
    <w:rsid w:val="006761F2"/>
    <w:rsid w:val="006925DD"/>
    <w:rsid w:val="006B52B8"/>
    <w:rsid w:val="006C28C2"/>
    <w:rsid w:val="006C334F"/>
    <w:rsid w:val="006C4024"/>
    <w:rsid w:val="006D5A8A"/>
    <w:rsid w:val="006E7CCD"/>
    <w:rsid w:val="0070295E"/>
    <w:rsid w:val="00710A74"/>
    <w:rsid w:val="00740004"/>
    <w:rsid w:val="0075551F"/>
    <w:rsid w:val="007624FB"/>
    <w:rsid w:val="00771EA9"/>
    <w:rsid w:val="00773196"/>
    <w:rsid w:val="00794799"/>
    <w:rsid w:val="007A386E"/>
    <w:rsid w:val="007B2BE7"/>
    <w:rsid w:val="007C3D02"/>
    <w:rsid w:val="007C47EE"/>
    <w:rsid w:val="007F0031"/>
    <w:rsid w:val="007F344B"/>
    <w:rsid w:val="00803DE3"/>
    <w:rsid w:val="00810015"/>
    <w:rsid w:val="00811AB3"/>
    <w:rsid w:val="0082363A"/>
    <w:rsid w:val="00830CF8"/>
    <w:rsid w:val="008533E3"/>
    <w:rsid w:val="00855408"/>
    <w:rsid w:val="008641D3"/>
    <w:rsid w:val="00864924"/>
    <w:rsid w:val="0087480C"/>
    <w:rsid w:val="00881CA5"/>
    <w:rsid w:val="008A3CD0"/>
    <w:rsid w:val="008A5564"/>
    <w:rsid w:val="008B6C0A"/>
    <w:rsid w:val="008B6DB0"/>
    <w:rsid w:val="008C200D"/>
    <w:rsid w:val="008C37B6"/>
    <w:rsid w:val="008D4431"/>
    <w:rsid w:val="008F1815"/>
    <w:rsid w:val="008F7A27"/>
    <w:rsid w:val="009003D1"/>
    <w:rsid w:val="00902724"/>
    <w:rsid w:val="009033AC"/>
    <w:rsid w:val="00915C28"/>
    <w:rsid w:val="00916482"/>
    <w:rsid w:val="00917497"/>
    <w:rsid w:val="009350F2"/>
    <w:rsid w:val="0093696D"/>
    <w:rsid w:val="00946175"/>
    <w:rsid w:val="0095599C"/>
    <w:rsid w:val="00961495"/>
    <w:rsid w:val="00965317"/>
    <w:rsid w:val="00965968"/>
    <w:rsid w:val="009711AE"/>
    <w:rsid w:val="009819EA"/>
    <w:rsid w:val="009924CA"/>
    <w:rsid w:val="009A2E2D"/>
    <w:rsid w:val="009B46A4"/>
    <w:rsid w:val="009B5E45"/>
    <w:rsid w:val="009B6391"/>
    <w:rsid w:val="009E1218"/>
    <w:rsid w:val="009E3314"/>
    <w:rsid w:val="009E42EB"/>
    <w:rsid w:val="009E7576"/>
    <w:rsid w:val="009F1DE6"/>
    <w:rsid w:val="009F26BB"/>
    <w:rsid w:val="00A042A7"/>
    <w:rsid w:val="00A0743D"/>
    <w:rsid w:val="00A11E8A"/>
    <w:rsid w:val="00A16B48"/>
    <w:rsid w:val="00A17D37"/>
    <w:rsid w:val="00A23644"/>
    <w:rsid w:val="00A23FC1"/>
    <w:rsid w:val="00A3107E"/>
    <w:rsid w:val="00A319DB"/>
    <w:rsid w:val="00A33439"/>
    <w:rsid w:val="00A33492"/>
    <w:rsid w:val="00A35796"/>
    <w:rsid w:val="00A67F5C"/>
    <w:rsid w:val="00A877A6"/>
    <w:rsid w:val="00A96687"/>
    <w:rsid w:val="00A966C3"/>
    <w:rsid w:val="00AA6D58"/>
    <w:rsid w:val="00AB2C04"/>
    <w:rsid w:val="00AB5B5F"/>
    <w:rsid w:val="00AB6139"/>
    <w:rsid w:val="00AC3571"/>
    <w:rsid w:val="00AC5D11"/>
    <w:rsid w:val="00AD17B3"/>
    <w:rsid w:val="00AD21A0"/>
    <w:rsid w:val="00AD3EE3"/>
    <w:rsid w:val="00AF032E"/>
    <w:rsid w:val="00B01A0B"/>
    <w:rsid w:val="00B025A0"/>
    <w:rsid w:val="00B05F93"/>
    <w:rsid w:val="00B10CCC"/>
    <w:rsid w:val="00B24B1F"/>
    <w:rsid w:val="00B332AA"/>
    <w:rsid w:val="00B3676E"/>
    <w:rsid w:val="00B5613C"/>
    <w:rsid w:val="00B62210"/>
    <w:rsid w:val="00B63B92"/>
    <w:rsid w:val="00B722F1"/>
    <w:rsid w:val="00B7497B"/>
    <w:rsid w:val="00B7569E"/>
    <w:rsid w:val="00B804C5"/>
    <w:rsid w:val="00B818E4"/>
    <w:rsid w:val="00B92DC5"/>
    <w:rsid w:val="00BA045E"/>
    <w:rsid w:val="00BA52D4"/>
    <w:rsid w:val="00BB122B"/>
    <w:rsid w:val="00BC00C8"/>
    <w:rsid w:val="00BD111B"/>
    <w:rsid w:val="00BD2222"/>
    <w:rsid w:val="00BE0352"/>
    <w:rsid w:val="00BE4970"/>
    <w:rsid w:val="00BE771E"/>
    <w:rsid w:val="00BF017F"/>
    <w:rsid w:val="00BF28A9"/>
    <w:rsid w:val="00C01384"/>
    <w:rsid w:val="00C02EFB"/>
    <w:rsid w:val="00C0367A"/>
    <w:rsid w:val="00C03EAC"/>
    <w:rsid w:val="00C0489E"/>
    <w:rsid w:val="00C05548"/>
    <w:rsid w:val="00C23236"/>
    <w:rsid w:val="00C34F66"/>
    <w:rsid w:val="00C45BDD"/>
    <w:rsid w:val="00C63664"/>
    <w:rsid w:val="00C6741F"/>
    <w:rsid w:val="00C872C4"/>
    <w:rsid w:val="00C934ED"/>
    <w:rsid w:val="00C9433A"/>
    <w:rsid w:val="00CA081F"/>
    <w:rsid w:val="00CD189C"/>
    <w:rsid w:val="00CD44DA"/>
    <w:rsid w:val="00CD6DB6"/>
    <w:rsid w:val="00CF20FA"/>
    <w:rsid w:val="00CF25BB"/>
    <w:rsid w:val="00CF2FF0"/>
    <w:rsid w:val="00D11C1D"/>
    <w:rsid w:val="00D2415E"/>
    <w:rsid w:val="00D335BC"/>
    <w:rsid w:val="00D359DD"/>
    <w:rsid w:val="00D40C2C"/>
    <w:rsid w:val="00D40D8A"/>
    <w:rsid w:val="00D40FAA"/>
    <w:rsid w:val="00D4287D"/>
    <w:rsid w:val="00D47618"/>
    <w:rsid w:val="00D47E14"/>
    <w:rsid w:val="00D65005"/>
    <w:rsid w:val="00D71CB1"/>
    <w:rsid w:val="00D81DD9"/>
    <w:rsid w:val="00D86B58"/>
    <w:rsid w:val="00D97515"/>
    <w:rsid w:val="00DA2FA4"/>
    <w:rsid w:val="00DC0431"/>
    <w:rsid w:val="00DC64CC"/>
    <w:rsid w:val="00DD3140"/>
    <w:rsid w:val="00DD5FC8"/>
    <w:rsid w:val="00DE1999"/>
    <w:rsid w:val="00DE5179"/>
    <w:rsid w:val="00DF502A"/>
    <w:rsid w:val="00DF6044"/>
    <w:rsid w:val="00E24A13"/>
    <w:rsid w:val="00E37E6D"/>
    <w:rsid w:val="00E534E6"/>
    <w:rsid w:val="00E60AA3"/>
    <w:rsid w:val="00E631F4"/>
    <w:rsid w:val="00E700FA"/>
    <w:rsid w:val="00E87E49"/>
    <w:rsid w:val="00EA2C4A"/>
    <w:rsid w:val="00ED1536"/>
    <w:rsid w:val="00ED59AA"/>
    <w:rsid w:val="00F048B3"/>
    <w:rsid w:val="00F05466"/>
    <w:rsid w:val="00F15DEE"/>
    <w:rsid w:val="00F17D0A"/>
    <w:rsid w:val="00F20636"/>
    <w:rsid w:val="00F24914"/>
    <w:rsid w:val="00F44683"/>
    <w:rsid w:val="00F46D86"/>
    <w:rsid w:val="00F547AB"/>
    <w:rsid w:val="00F558C3"/>
    <w:rsid w:val="00F81419"/>
    <w:rsid w:val="00F82C2B"/>
    <w:rsid w:val="00FA02F4"/>
    <w:rsid w:val="00FC0402"/>
    <w:rsid w:val="00FC40A6"/>
    <w:rsid w:val="00FD1C2E"/>
    <w:rsid w:val="00FD3267"/>
    <w:rsid w:val="00FD4D00"/>
    <w:rsid w:val="00FE2D5A"/>
    <w:rsid w:val="00FF538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A8F8D"/>
  <w15:docId w15:val="{FD4EF0C8-1BCA-44A3-8128-EFD13BB0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CA5"/>
    <w:rPr>
      <w:sz w:val="24"/>
      <w:szCs w:val="24"/>
    </w:rPr>
  </w:style>
  <w:style w:type="paragraph" w:styleId="Heading1">
    <w:name w:val="heading 1"/>
    <w:basedOn w:val="Normal"/>
    <w:qFormat/>
    <w:rsid w:val="00881CA5"/>
    <w:pPr>
      <w:numPr>
        <w:numId w:val="1"/>
      </w:numPr>
      <w:spacing w:after="120"/>
      <w:outlineLvl w:val="0"/>
    </w:pPr>
    <w:rPr>
      <w:b/>
      <w:bCs/>
      <w:sz w:val="28"/>
      <w:szCs w:val="20"/>
      <w:u w:val="single"/>
    </w:rPr>
  </w:style>
  <w:style w:type="paragraph" w:styleId="Heading2">
    <w:name w:val="heading 2"/>
    <w:basedOn w:val="Normal"/>
    <w:qFormat/>
    <w:rsid w:val="00881CA5"/>
    <w:pPr>
      <w:numPr>
        <w:ilvl w:val="1"/>
        <w:numId w:val="1"/>
      </w:numPr>
      <w:spacing w:after="120"/>
      <w:outlineLvl w:val="1"/>
    </w:pPr>
    <w:rPr>
      <w:bCs/>
      <w:sz w:val="28"/>
      <w:szCs w:val="20"/>
      <w:u w:val="single"/>
    </w:rPr>
  </w:style>
  <w:style w:type="paragraph" w:styleId="Heading3">
    <w:name w:val="heading 3"/>
    <w:basedOn w:val="Normal"/>
    <w:qFormat/>
    <w:rsid w:val="00881CA5"/>
    <w:pPr>
      <w:numPr>
        <w:ilvl w:val="2"/>
        <w:numId w:val="1"/>
      </w:numPr>
      <w:spacing w:after="240"/>
      <w:outlineLvl w:val="2"/>
    </w:pPr>
    <w:rPr>
      <w:b/>
      <w:bCs/>
      <w:szCs w:val="20"/>
    </w:rPr>
  </w:style>
  <w:style w:type="paragraph" w:styleId="Heading4">
    <w:name w:val="heading 4"/>
    <w:basedOn w:val="Normal"/>
    <w:qFormat/>
    <w:rsid w:val="00881CA5"/>
    <w:pPr>
      <w:numPr>
        <w:ilvl w:val="3"/>
        <w:numId w:val="1"/>
      </w:numPr>
      <w:spacing w:after="240"/>
      <w:outlineLvl w:val="3"/>
    </w:pPr>
    <w:rPr>
      <w:sz w:val="28"/>
      <w:szCs w:val="20"/>
    </w:rPr>
  </w:style>
  <w:style w:type="paragraph" w:styleId="Heading5">
    <w:name w:val="heading 5"/>
    <w:basedOn w:val="Normal"/>
    <w:qFormat/>
    <w:rsid w:val="00881CA5"/>
    <w:pPr>
      <w:numPr>
        <w:ilvl w:val="4"/>
        <w:numId w:val="1"/>
      </w:numPr>
      <w:spacing w:after="240"/>
      <w:outlineLvl w:val="4"/>
    </w:pPr>
    <w:rPr>
      <w:szCs w:val="20"/>
    </w:rPr>
  </w:style>
  <w:style w:type="paragraph" w:styleId="Heading6">
    <w:name w:val="heading 6"/>
    <w:basedOn w:val="Normal"/>
    <w:qFormat/>
    <w:rsid w:val="00881CA5"/>
    <w:pPr>
      <w:numPr>
        <w:ilvl w:val="5"/>
        <w:numId w:val="1"/>
      </w:numPr>
      <w:spacing w:after="240"/>
      <w:outlineLvl w:val="5"/>
    </w:pPr>
    <w:rPr>
      <w:szCs w:val="20"/>
    </w:rPr>
  </w:style>
  <w:style w:type="paragraph" w:styleId="Heading7">
    <w:name w:val="heading 7"/>
    <w:basedOn w:val="Normal"/>
    <w:qFormat/>
    <w:rsid w:val="00881CA5"/>
    <w:pPr>
      <w:numPr>
        <w:ilvl w:val="6"/>
        <w:numId w:val="1"/>
      </w:numPr>
      <w:spacing w:after="240"/>
      <w:outlineLvl w:val="6"/>
    </w:pPr>
    <w:rPr>
      <w:szCs w:val="20"/>
    </w:rPr>
  </w:style>
  <w:style w:type="paragraph" w:styleId="Heading8">
    <w:name w:val="heading 8"/>
    <w:basedOn w:val="Normal"/>
    <w:qFormat/>
    <w:rsid w:val="00881CA5"/>
    <w:pPr>
      <w:numPr>
        <w:ilvl w:val="7"/>
        <w:numId w:val="1"/>
      </w:numPr>
      <w:spacing w:after="240"/>
      <w:outlineLvl w:val="7"/>
    </w:pPr>
    <w:rPr>
      <w:szCs w:val="20"/>
    </w:rPr>
  </w:style>
  <w:style w:type="paragraph" w:styleId="Heading9">
    <w:name w:val="heading 9"/>
    <w:basedOn w:val="Normal"/>
    <w:next w:val="Normal"/>
    <w:qFormat/>
    <w:rsid w:val="00881CA5"/>
    <w:pPr>
      <w:keepNext/>
      <w:numPr>
        <w:ilvl w:val="8"/>
        <w:numId w:val="1"/>
      </w:numPr>
      <w:spacing w:after="240"/>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881CA5"/>
    <w:pPr>
      <w:ind w:left="240" w:hanging="240"/>
    </w:pPr>
  </w:style>
  <w:style w:type="paragraph" w:styleId="IndexHeading">
    <w:name w:val="index heading"/>
    <w:basedOn w:val="Normal"/>
    <w:next w:val="Index1"/>
    <w:semiHidden/>
    <w:rsid w:val="00881CA5"/>
    <w:rPr>
      <w:b/>
      <w:szCs w:val="20"/>
    </w:rPr>
  </w:style>
  <w:style w:type="paragraph" w:styleId="BodyText">
    <w:name w:val="Body Text"/>
    <w:basedOn w:val="Normal"/>
    <w:rsid w:val="00881CA5"/>
    <w:pPr>
      <w:spacing w:after="240"/>
      <w:ind w:firstLine="1440"/>
    </w:pPr>
    <w:rPr>
      <w:szCs w:val="20"/>
    </w:rPr>
  </w:style>
  <w:style w:type="paragraph" w:customStyle="1" w:styleId="TitleCover">
    <w:name w:val="Title Cover"/>
    <w:basedOn w:val="Normal"/>
    <w:next w:val="Normal"/>
    <w:rsid w:val="00881CA5"/>
    <w:pPr>
      <w:keepNext/>
      <w:keepLines/>
      <w:pBdr>
        <w:bottom w:val="single" w:sz="18" w:space="20" w:color="auto"/>
      </w:pBdr>
      <w:spacing w:before="480" w:after="240"/>
    </w:pPr>
    <w:rPr>
      <w:rFonts w:ascii="Arial Black" w:hAnsi="Arial Black"/>
      <w:spacing w:val="-30"/>
      <w:kern w:val="28"/>
      <w:sz w:val="48"/>
      <w:szCs w:val="20"/>
    </w:rPr>
  </w:style>
  <w:style w:type="paragraph" w:styleId="Header">
    <w:name w:val="header"/>
    <w:basedOn w:val="Normal"/>
    <w:rsid w:val="00881CA5"/>
    <w:pPr>
      <w:tabs>
        <w:tab w:val="center" w:pos="4320"/>
        <w:tab w:val="right" w:pos="8640"/>
      </w:tabs>
    </w:pPr>
  </w:style>
  <w:style w:type="paragraph" w:styleId="Footer">
    <w:name w:val="footer"/>
    <w:basedOn w:val="Normal"/>
    <w:rsid w:val="00881CA5"/>
    <w:pPr>
      <w:tabs>
        <w:tab w:val="center" w:pos="4320"/>
        <w:tab w:val="right" w:pos="8640"/>
      </w:tabs>
    </w:pPr>
  </w:style>
  <w:style w:type="character" w:styleId="Hyperlink">
    <w:name w:val="Hyperlink"/>
    <w:basedOn w:val="DefaultParagraphFont"/>
    <w:rsid w:val="00881CA5"/>
    <w:rPr>
      <w:color w:val="0000FF"/>
      <w:u w:val="single"/>
    </w:rPr>
  </w:style>
  <w:style w:type="paragraph" w:styleId="BodyText2">
    <w:name w:val="Body Text 2"/>
    <w:basedOn w:val="Normal"/>
    <w:link w:val="BodyText2Char"/>
    <w:rsid w:val="00881CA5"/>
    <w:rPr>
      <w:bCs/>
      <w:i/>
      <w:iCs/>
    </w:rPr>
  </w:style>
  <w:style w:type="paragraph" w:styleId="BodyTextIndent">
    <w:name w:val="Body Text Indent"/>
    <w:basedOn w:val="Normal"/>
    <w:rsid w:val="00881CA5"/>
    <w:pPr>
      <w:ind w:left="1080"/>
    </w:pPr>
    <w:rPr>
      <w:bCs/>
      <w:i/>
      <w:iCs/>
    </w:rPr>
  </w:style>
  <w:style w:type="character" w:styleId="FollowedHyperlink">
    <w:name w:val="FollowedHyperlink"/>
    <w:basedOn w:val="DefaultParagraphFont"/>
    <w:rsid w:val="00881CA5"/>
    <w:rPr>
      <w:color w:val="800080"/>
      <w:u w:val="single"/>
    </w:rPr>
  </w:style>
  <w:style w:type="paragraph" w:styleId="HTMLPreformatted">
    <w:name w:val="HTML Preformatted"/>
    <w:basedOn w:val="Normal"/>
    <w:rsid w:val="00881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PageNumber">
    <w:name w:val="page number"/>
    <w:basedOn w:val="DefaultParagraphFont"/>
    <w:rsid w:val="00881CA5"/>
  </w:style>
  <w:style w:type="paragraph" w:styleId="BodyText3">
    <w:name w:val="Body Text 3"/>
    <w:basedOn w:val="Normal"/>
    <w:rsid w:val="00881CA5"/>
    <w:pPr>
      <w:pBdr>
        <w:top w:val="single" w:sz="4" w:space="1" w:color="auto"/>
        <w:left w:val="single" w:sz="4" w:space="4" w:color="auto"/>
        <w:bottom w:val="single" w:sz="4" w:space="1" w:color="auto"/>
        <w:right w:val="single" w:sz="4" w:space="4" w:color="auto"/>
      </w:pBdr>
    </w:pPr>
  </w:style>
  <w:style w:type="paragraph" w:customStyle="1" w:styleId="em2">
    <w:name w:val="em2"/>
    <w:basedOn w:val="Normal"/>
    <w:rsid w:val="00881CA5"/>
    <w:pPr>
      <w:spacing w:before="100" w:beforeAutospacing="1" w:after="100" w:afterAutospacing="1"/>
      <w:ind w:left="480"/>
    </w:pPr>
    <w:rPr>
      <w:rFonts w:ascii="Arial Unicode MS" w:eastAsia="Arial Unicode MS"/>
    </w:rPr>
  </w:style>
  <w:style w:type="paragraph" w:styleId="NormalWeb">
    <w:name w:val="Normal (Web)"/>
    <w:basedOn w:val="Normal"/>
    <w:rsid w:val="00881CA5"/>
    <w:pPr>
      <w:spacing w:before="100" w:beforeAutospacing="1" w:after="100" w:afterAutospacing="1"/>
    </w:pPr>
    <w:rPr>
      <w:rFonts w:ascii="Arial Unicode MS" w:eastAsia="Arial Unicode MS"/>
    </w:rPr>
  </w:style>
  <w:style w:type="paragraph" w:styleId="TOC1">
    <w:name w:val="toc 1"/>
    <w:basedOn w:val="Normal"/>
    <w:next w:val="Normal"/>
    <w:semiHidden/>
    <w:rsid w:val="00881CA5"/>
    <w:pPr>
      <w:tabs>
        <w:tab w:val="right" w:leader="dot" w:pos="9540"/>
      </w:tabs>
      <w:overflowPunct w:val="0"/>
      <w:autoSpaceDE w:val="0"/>
      <w:autoSpaceDN w:val="0"/>
      <w:adjustRightInd w:val="0"/>
      <w:textAlignment w:val="baseline"/>
    </w:pPr>
    <w:rPr>
      <w:rFonts w:ascii="Arial" w:hAnsi="Arial"/>
      <w:szCs w:val="20"/>
    </w:rPr>
  </w:style>
  <w:style w:type="paragraph" w:customStyle="1" w:styleId="Level1">
    <w:name w:val="Level 1"/>
    <w:basedOn w:val="Normal"/>
    <w:rsid w:val="00881CA5"/>
    <w:pPr>
      <w:overflowPunct w:val="0"/>
      <w:autoSpaceDE w:val="0"/>
      <w:autoSpaceDN w:val="0"/>
      <w:adjustRightInd w:val="0"/>
      <w:textAlignment w:val="baseline"/>
    </w:pPr>
    <w:rPr>
      <w:rFonts w:ascii="Arial" w:hAnsi="Arial"/>
      <w:b/>
      <w:szCs w:val="20"/>
    </w:rPr>
  </w:style>
  <w:style w:type="paragraph" w:styleId="FootnoteText">
    <w:name w:val="footnote text"/>
    <w:basedOn w:val="Normal"/>
    <w:semiHidden/>
    <w:rsid w:val="00881CA5"/>
    <w:rPr>
      <w:sz w:val="20"/>
      <w:szCs w:val="20"/>
    </w:rPr>
  </w:style>
  <w:style w:type="character" w:styleId="FootnoteReference">
    <w:name w:val="footnote reference"/>
    <w:basedOn w:val="DefaultParagraphFont"/>
    <w:semiHidden/>
    <w:rsid w:val="00881CA5"/>
    <w:rPr>
      <w:vertAlign w:val="superscript"/>
    </w:rPr>
  </w:style>
  <w:style w:type="character" w:styleId="CommentReference">
    <w:name w:val="annotation reference"/>
    <w:basedOn w:val="DefaultParagraphFont"/>
    <w:semiHidden/>
    <w:rsid w:val="00881CA5"/>
    <w:rPr>
      <w:sz w:val="16"/>
      <w:szCs w:val="16"/>
    </w:rPr>
  </w:style>
  <w:style w:type="paragraph" w:styleId="CommentText">
    <w:name w:val="annotation text"/>
    <w:basedOn w:val="Normal"/>
    <w:link w:val="CommentTextChar"/>
    <w:semiHidden/>
    <w:rsid w:val="00881CA5"/>
    <w:rPr>
      <w:sz w:val="20"/>
      <w:szCs w:val="20"/>
    </w:rPr>
  </w:style>
  <w:style w:type="paragraph" w:styleId="BodyTextIndent2">
    <w:name w:val="Body Text Indent 2"/>
    <w:basedOn w:val="Normal"/>
    <w:rsid w:val="00881CA5"/>
    <w:pPr>
      <w:overflowPunct w:val="0"/>
      <w:autoSpaceDE w:val="0"/>
      <w:autoSpaceDN w:val="0"/>
      <w:adjustRightInd w:val="0"/>
      <w:spacing w:line="480" w:lineRule="auto"/>
      <w:ind w:left="720" w:firstLine="720"/>
      <w:textAlignment w:val="baseline"/>
    </w:pPr>
    <w:rPr>
      <w:szCs w:val="20"/>
      <w:u w:val="single"/>
    </w:rPr>
  </w:style>
  <w:style w:type="paragraph" w:styleId="BodyTextIndent3">
    <w:name w:val="Body Text Indent 3"/>
    <w:basedOn w:val="Normal"/>
    <w:rsid w:val="00881CA5"/>
    <w:pPr>
      <w:pBdr>
        <w:top w:val="single" w:sz="4" w:space="1" w:color="auto"/>
        <w:left w:val="single" w:sz="4" w:space="4" w:color="auto"/>
        <w:bottom w:val="single" w:sz="4" w:space="1" w:color="auto"/>
        <w:right w:val="single" w:sz="4" w:space="4" w:color="auto"/>
      </w:pBdr>
      <w:ind w:firstLine="720"/>
      <w:jc w:val="both"/>
    </w:pPr>
  </w:style>
  <w:style w:type="paragraph" w:styleId="BlockText">
    <w:name w:val="Block Text"/>
    <w:basedOn w:val="Normal"/>
    <w:rsid w:val="00881CA5"/>
    <w:pPr>
      <w:ind w:left="720" w:right="720"/>
    </w:pPr>
  </w:style>
  <w:style w:type="paragraph" w:styleId="BalloonText">
    <w:name w:val="Balloon Text"/>
    <w:basedOn w:val="Normal"/>
    <w:link w:val="BalloonTextChar"/>
    <w:rsid w:val="003D495C"/>
    <w:rPr>
      <w:rFonts w:ascii="Tahoma" w:hAnsi="Tahoma" w:cs="Tahoma"/>
      <w:sz w:val="16"/>
      <w:szCs w:val="16"/>
    </w:rPr>
  </w:style>
  <w:style w:type="character" w:customStyle="1" w:styleId="BalloonTextChar">
    <w:name w:val="Balloon Text Char"/>
    <w:basedOn w:val="DefaultParagraphFont"/>
    <w:link w:val="BalloonText"/>
    <w:rsid w:val="003D495C"/>
    <w:rPr>
      <w:rFonts w:ascii="Tahoma" w:hAnsi="Tahoma" w:cs="Tahoma"/>
      <w:sz w:val="16"/>
      <w:szCs w:val="16"/>
    </w:rPr>
  </w:style>
  <w:style w:type="paragraph" w:styleId="CommentSubject">
    <w:name w:val="annotation subject"/>
    <w:basedOn w:val="CommentText"/>
    <w:next w:val="CommentText"/>
    <w:link w:val="CommentSubjectChar"/>
    <w:rsid w:val="00623EC4"/>
    <w:rPr>
      <w:b/>
      <w:bCs/>
    </w:rPr>
  </w:style>
  <w:style w:type="character" w:customStyle="1" w:styleId="CommentTextChar">
    <w:name w:val="Comment Text Char"/>
    <w:basedOn w:val="DefaultParagraphFont"/>
    <w:link w:val="CommentText"/>
    <w:semiHidden/>
    <w:rsid w:val="00623EC4"/>
  </w:style>
  <w:style w:type="character" w:customStyle="1" w:styleId="CommentSubjectChar">
    <w:name w:val="Comment Subject Char"/>
    <w:basedOn w:val="CommentTextChar"/>
    <w:link w:val="CommentSubject"/>
    <w:rsid w:val="00623EC4"/>
  </w:style>
  <w:style w:type="paragraph" w:styleId="ListParagraph">
    <w:name w:val="List Paragraph"/>
    <w:basedOn w:val="Normal"/>
    <w:uiPriority w:val="34"/>
    <w:qFormat/>
    <w:rsid w:val="00D359DD"/>
    <w:pPr>
      <w:ind w:left="720"/>
      <w:contextualSpacing/>
    </w:pPr>
  </w:style>
  <w:style w:type="table" w:styleId="TableGrid">
    <w:name w:val="Table Grid"/>
    <w:basedOn w:val="TableNormal"/>
    <w:rsid w:val="00F446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1EA5"/>
    <w:rPr>
      <w:sz w:val="24"/>
      <w:szCs w:val="24"/>
    </w:rPr>
  </w:style>
  <w:style w:type="character" w:styleId="Strong">
    <w:name w:val="Strong"/>
    <w:basedOn w:val="DefaultParagraphFont"/>
    <w:qFormat/>
    <w:rsid w:val="006925DD"/>
    <w:rPr>
      <w:b/>
      <w:bCs/>
    </w:rPr>
  </w:style>
  <w:style w:type="character" w:customStyle="1" w:styleId="BodyText2Char">
    <w:name w:val="Body Text 2 Char"/>
    <w:basedOn w:val="DefaultParagraphFont"/>
    <w:link w:val="BodyText2"/>
    <w:rsid w:val="00710A74"/>
    <w:rPr>
      <w:bCs/>
      <w:i/>
      <w:iCs/>
      <w:sz w:val="24"/>
      <w:szCs w:val="24"/>
    </w:rPr>
  </w:style>
  <w:style w:type="character" w:styleId="UnresolvedMention">
    <w:name w:val="Unresolved Mention"/>
    <w:basedOn w:val="DefaultParagraphFont"/>
    <w:uiPriority w:val="99"/>
    <w:semiHidden/>
    <w:unhideWhenUsed/>
    <w:rsid w:val="00DF6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63149">
      <w:bodyDiv w:val="1"/>
      <w:marLeft w:val="0"/>
      <w:marRight w:val="0"/>
      <w:marTop w:val="0"/>
      <w:marBottom w:val="0"/>
      <w:divBdr>
        <w:top w:val="none" w:sz="0" w:space="0" w:color="auto"/>
        <w:left w:val="none" w:sz="0" w:space="0" w:color="auto"/>
        <w:bottom w:val="none" w:sz="0" w:space="0" w:color="auto"/>
        <w:right w:val="none" w:sz="0" w:space="0" w:color="auto"/>
      </w:divBdr>
    </w:div>
    <w:div w:id="101418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Sarah.Kwak@finra.org" TargetMode="External" Type="http://schemas.openxmlformats.org/officeDocument/2006/relationships/hyperlink"/>
<Relationship Id="rId11" Target="https://www.finra.org/rules-guidance/key-topics/business-continuity-planning" TargetMode="External" Type="http://schemas.openxmlformats.org/officeDocument/2006/relationships/hyperlink"/>
<Relationship Id="rId12" Target="https://www.finra.org/rules-guidance/key-topics/covid-19" TargetMode="External" Type="http://schemas.openxmlformats.org/officeDocument/2006/relationships/hyperlink"/>
<Relationship Id="rId13" Target="http://www.finra.org/Industry/Regulation/Notices/2005/P014736" TargetMode="External" Type="http://schemas.openxmlformats.org/officeDocument/2006/relationships/hyperlink"/>
<Relationship Id="rId14" Target="https://www.finra.org/rules-guidance/notices/21-29" TargetMode="External" Type="http://schemas.openxmlformats.org/officeDocument/2006/relationships/hyperlink"/>
<Relationship Id="rId15" Target="https://www.finra.org/filing-reporting/finra-contact-system" TargetMode="External" Type="http://schemas.openxmlformats.org/officeDocument/2006/relationships/hyperlink"/>
<Relationship Id="rId16" Target="https://www.finra.org/filing-reporting/finra-contact-system" TargetMode="External" Type="http://schemas.openxmlformats.org/officeDocument/2006/relationships/hyperlink"/>
<Relationship Id="rId17" Target="https://www.finra.org/filing-reporting/finra-contact-system" TargetMode="External" Type="http://schemas.openxmlformats.org/officeDocument/2006/relationships/hyperlink"/>
<Relationship Id="rId18" Target="https://www.finra.org/filing-reporting/finra-gateway" TargetMode="External" Type="http://schemas.openxmlformats.org/officeDocument/2006/relationships/hyperlink"/>
<Relationship Id="rId19" Target="header1.xml" Type="http://schemas.openxmlformats.org/officeDocument/2006/relationships/header"/>
<Relationship Id="rId2" Target="numbering.xml" Type="http://schemas.openxmlformats.org/officeDocument/2006/relationships/numbering"/>
<Relationship Id="rId20" Target="footer1.xml" Type="http://schemas.openxmlformats.org/officeDocument/2006/relationships/footer"/>
<Relationship Id="rId21" Target="footer2.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finra.org/rules-guidance/key-topics/business-continuity-planning" TargetMode="External" Type="http://schemas.openxmlformats.org/officeDocument/2006/relationships/hyperlink"/>
<Relationship Id="rId9" Target="mailto:Jeanette.Wingler@finra.org" TargetMode="External" Type="http://schemas.openxmlformats.org/officeDocument/2006/relationships/hyperlink"/>
</Relationships>

</file>

<file path=word/_rels/footnotes.xml.rels><?xml version="1.0" encoding="UTF-8" standalone="no"?>
<Relationships xmlns="http://schemas.openxmlformats.org/package/2006/relationships">
<Relationship Id="rId1" Target="https://www.nasaa.org/contact-your-regulato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4D51-7B32-4E66-B8AC-3E7DEF8C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17</Pages>
  <Words>5874</Words>
  <Characters>33483</Characters>
  <DocSecurity>0</DocSecurity>
  <Lines>279</Lines>
  <Paragraphs>78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39279</CharactersWithSpaces>
  <SharedDoc>false</SharedDoc>
  <HLinks>
    <vt:vector baseType="variant" size="60">
      <vt:variant>
        <vt:i4>655446</vt:i4>
      </vt:variant>
      <vt:variant>
        <vt:i4>27</vt:i4>
      </vt:variant>
      <vt:variant>
        <vt:i4>0</vt:i4>
      </vt:variant>
      <vt:variant>
        <vt:i4>5</vt:i4>
      </vt:variant>
      <vt:variant>
        <vt:lpwstr>http://www.finra.org/Industry/Regulation/Notices/2009/P120230</vt:lpwstr>
      </vt:variant>
      <vt:variant>
        <vt:lpwstr/>
      </vt:variant>
      <vt:variant>
        <vt:i4>852060</vt:i4>
      </vt:variant>
      <vt:variant>
        <vt:i4>24</vt:i4>
      </vt:variant>
      <vt:variant>
        <vt:i4>0</vt:i4>
      </vt:variant>
      <vt:variant>
        <vt:i4>5</vt:i4>
      </vt:variant>
      <vt:variant>
        <vt:lpwstr>http://www.finra.org/Industry/Regulation/Notices/2007/P036735</vt:lpwstr>
      </vt:variant>
      <vt:variant>
        <vt:lpwstr/>
      </vt:variant>
      <vt:variant>
        <vt:i4>131163</vt:i4>
      </vt:variant>
      <vt:variant>
        <vt:i4>21</vt:i4>
      </vt:variant>
      <vt:variant>
        <vt:i4>0</vt:i4>
      </vt:variant>
      <vt:variant>
        <vt:i4>5</vt:i4>
      </vt:variant>
      <vt:variant>
        <vt:lpwstr>http://www.finra.org/Industry/Regulation/Notices/2004/P003094</vt:lpwstr>
      </vt:variant>
      <vt:variant>
        <vt:lpwstr/>
      </vt:variant>
      <vt:variant>
        <vt:i4>983132</vt:i4>
      </vt:variant>
      <vt:variant>
        <vt:i4>18</vt:i4>
      </vt:variant>
      <vt:variant>
        <vt:i4>0</vt:i4>
      </vt:variant>
      <vt:variant>
        <vt:i4>5</vt:i4>
      </vt:variant>
      <vt:variant>
        <vt:lpwstr>http://www.finra.org/Industry/Regulation/Notices/2005/P014736</vt:lpwstr>
      </vt:variant>
      <vt:variant>
        <vt:lpwstr/>
      </vt:variant>
      <vt:variant>
        <vt:i4>5570588</vt:i4>
      </vt:variant>
      <vt:variant>
        <vt:i4>15</vt:i4>
      </vt:variant>
      <vt:variant>
        <vt:i4>0</vt:i4>
      </vt:variant>
      <vt:variant>
        <vt:i4>5</vt:i4>
      </vt:variant>
      <vt:variant>
        <vt:lpwstr>http://www.fsscc.org/</vt:lpwstr>
      </vt:variant>
      <vt:variant>
        <vt:lpwstr/>
      </vt:variant>
      <vt:variant>
        <vt:i4>2752610</vt:i4>
      </vt:variant>
      <vt:variant>
        <vt:i4>12</vt:i4>
      </vt:variant>
      <vt:variant>
        <vt:i4>0</vt:i4>
      </vt:variant>
      <vt:variant>
        <vt:i4>5</vt:i4>
      </vt:variant>
      <vt:variant>
        <vt:lpwstr>http://thebci.org/</vt:lpwstr>
      </vt:variant>
      <vt:variant>
        <vt:lpwstr/>
      </vt:variant>
      <vt:variant>
        <vt:i4>7208978</vt:i4>
      </vt:variant>
      <vt:variant>
        <vt:i4>9</vt:i4>
      </vt:variant>
      <vt:variant>
        <vt:i4>0</vt:i4>
      </vt:variant>
      <vt:variant>
        <vt:i4>5</vt:i4>
      </vt:variant>
      <vt:variant>
        <vt:lpwstr>http://www.sifma.org/services/business_continuity/pdf/SIFM-BC-Practices-Guidelines-2008-02.pdf</vt:lpwstr>
      </vt:variant>
      <vt:variant>
        <vt:lpwstr/>
      </vt:variant>
      <vt:variant>
        <vt:i4>7864418</vt:i4>
      </vt:variant>
      <vt:variant>
        <vt:i4>6</vt:i4>
      </vt:variant>
      <vt:variant>
        <vt:i4>0</vt:i4>
      </vt:variant>
      <vt:variant>
        <vt:i4>5</vt:i4>
      </vt:variant>
      <vt:variant>
        <vt:lpwstr>http://www.gao.gov/new.items/d03414.pdf</vt:lpwstr>
      </vt:variant>
      <vt:variant>
        <vt:lpwstr/>
      </vt:variant>
      <vt:variant>
        <vt:i4>8126561</vt:i4>
      </vt:variant>
      <vt:variant>
        <vt:i4>3</vt:i4>
      </vt:variant>
      <vt:variant>
        <vt:i4>0</vt:i4>
      </vt:variant>
      <vt:variant>
        <vt:i4>5</vt:i4>
      </vt:variant>
      <vt:variant>
        <vt:lpwstr>http://www.gao.gov/new.items/d03251.pdf</vt:lpwstr>
      </vt:variant>
      <vt:variant>
        <vt:lpwstr/>
      </vt:variant>
      <vt:variant>
        <vt:i4>720908</vt:i4>
      </vt:variant>
      <vt:variant>
        <vt:i4>0</vt:i4>
      </vt:variant>
      <vt:variant>
        <vt:i4>0</vt:i4>
      </vt:variant>
      <vt:variant>
        <vt:i4>5</vt:i4>
      </vt:variant>
      <vt:variant>
        <vt:lpwstr>http://www.finra.org/Industry/Issues/BusinessContinuity/index.htm</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