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3470" w14:textId="77777777" w:rsidR="00CD3B8C" w:rsidRDefault="00CD3B8C"/>
    <w:p w14:paraId="2E168BC6" w14:textId="77777777" w:rsidR="00CB096F" w:rsidRDefault="00CB096F" w:rsidP="00BD6243">
      <w:pPr>
        <w:pStyle w:val="Heading1"/>
        <w:spacing w:before="0" w:after="0"/>
        <w:jc w:val="center"/>
        <w:rPr>
          <w:rStyle w:val="ececec765114121-06112008"/>
          <w:rFonts w:cs="Arial"/>
        </w:rPr>
      </w:pPr>
    </w:p>
    <w:p w14:paraId="31FCF1AA" w14:textId="77777777" w:rsidR="00FD1E1C" w:rsidRPr="00FD1E1C" w:rsidRDefault="00FD1E1C" w:rsidP="00FD1E1C"/>
    <w:p w14:paraId="4FCFCC37" w14:textId="77777777" w:rsidR="00CD3B8C" w:rsidRDefault="00CB096F" w:rsidP="00BD6243">
      <w:pPr>
        <w:pStyle w:val="Heading1"/>
        <w:spacing w:before="0" w:after="0"/>
        <w:jc w:val="center"/>
        <w:rPr>
          <w:rStyle w:val="ececec765114121-06112008"/>
          <w:rFonts w:cs="Arial"/>
        </w:rPr>
      </w:pPr>
      <w:r>
        <w:rPr>
          <w:rStyle w:val="ececec765114121-06112008"/>
          <w:rFonts w:cs="Arial"/>
        </w:rPr>
        <w:t>Sample Business Continuity Policy</w:t>
      </w:r>
      <w:r w:rsidR="00CD3B8C">
        <w:rPr>
          <w:rStyle w:val="ececec765114121-06112008"/>
          <w:rFonts w:cs="Arial"/>
        </w:rPr>
        <w:t xml:space="preserve"> </w:t>
      </w:r>
    </w:p>
    <w:p w14:paraId="5D3357BE" w14:textId="77777777" w:rsidR="00CD3B8C" w:rsidRDefault="00CD3B8C"/>
    <w:p w14:paraId="15B9EF84" w14:textId="77777777" w:rsidR="00CD3B8C" w:rsidRDefault="00CD3B8C"/>
    <w:p w14:paraId="1926461D" w14:textId="77777777" w:rsidR="00CB096F" w:rsidRPr="004919C5" w:rsidRDefault="00CB096F" w:rsidP="00CB096F">
      <w:pPr>
        <w:pStyle w:val="Heading2"/>
        <w:spacing w:before="0" w:after="0"/>
      </w:pPr>
      <w:r w:rsidRPr="004919C5">
        <w:t>Introduction</w:t>
      </w:r>
      <w:r>
        <w:t xml:space="preserve"> </w:t>
      </w:r>
    </w:p>
    <w:p w14:paraId="6C5C91FC" w14:textId="77777777" w:rsidR="00CB096F" w:rsidRPr="004919C5" w:rsidRDefault="00CB096F" w:rsidP="00CB096F"/>
    <w:p w14:paraId="36596D61" w14:textId="77777777" w:rsidR="00CB096F" w:rsidRPr="00A962BA" w:rsidRDefault="00CB096F" w:rsidP="00CB096F">
      <w:r w:rsidRPr="004919C5">
        <w:rPr>
          <w:rStyle w:val="Strong"/>
        </w:rPr>
        <w:t>[Company]</w:t>
      </w:r>
      <w:r w:rsidRPr="004919C5">
        <w:t xml:space="preserve"> is committed to </w:t>
      </w:r>
      <w:r>
        <w:t xml:space="preserve">providing the best possible experience to </w:t>
      </w:r>
      <w:r w:rsidRPr="004919C5">
        <w:t xml:space="preserve">its customers </w:t>
      </w:r>
      <w:r>
        <w:t xml:space="preserve">and the best possible relationships with </w:t>
      </w:r>
      <w:r w:rsidRPr="004919C5">
        <w:t xml:space="preserve">employees, </w:t>
      </w:r>
      <w:proofErr w:type="gramStart"/>
      <w:r w:rsidRPr="004919C5">
        <w:t>shareholders</w:t>
      </w:r>
      <w:proofErr w:type="gramEnd"/>
      <w:r w:rsidRPr="004919C5">
        <w:t xml:space="preserve"> and suppliers. To </w:t>
      </w:r>
      <w:r>
        <w:t>e</w:t>
      </w:r>
      <w:r w:rsidRPr="004919C5">
        <w:t xml:space="preserve">nsure the </w:t>
      </w:r>
      <w:r>
        <w:t xml:space="preserve">consistent </w:t>
      </w:r>
      <w:r w:rsidRPr="004919C5">
        <w:t xml:space="preserve">availability </w:t>
      </w:r>
      <w:r>
        <w:t xml:space="preserve">and delivery of its </w:t>
      </w:r>
      <w:r w:rsidRPr="004919C5">
        <w:t xml:space="preserve">products and services, </w:t>
      </w:r>
      <w:r w:rsidRPr="004919C5">
        <w:rPr>
          <w:rStyle w:val="Strong"/>
        </w:rPr>
        <w:t>[Company]</w:t>
      </w:r>
      <w:r w:rsidRPr="004919C5">
        <w:t xml:space="preserve"> </w:t>
      </w:r>
      <w:r>
        <w:t>has developed the following b</w:t>
      </w:r>
      <w:r w:rsidRPr="004919C5">
        <w:t xml:space="preserve">usiness </w:t>
      </w:r>
      <w:r>
        <w:t>c</w:t>
      </w:r>
      <w:r w:rsidRPr="004919C5">
        <w:t xml:space="preserve">ontinuity </w:t>
      </w:r>
      <w:r>
        <w:t xml:space="preserve">and disaster recovery (BC/DR) </w:t>
      </w:r>
      <w:r w:rsidRPr="004919C5">
        <w:t xml:space="preserve">policy in support of a comprehensive program for </w:t>
      </w:r>
      <w:r>
        <w:t>BC</w:t>
      </w:r>
      <w:r w:rsidRPr="004919C5">
        <w:t xml:space="preserve">, </w:t>
      </w:r>
      <w:proofErr w:type="gramStart"/>
      <w:r>
        <w:t>DR</w:t>
      </w:r>
      <w:proofErr w:type="gramEnd"/>
      <w:r>
        <w:t xml:space="preserve"> and overall business survivability</w:t>
      </w:r>
      <w:r w:rsidRPr="004919C5">
        <w:t>.</w:t>
      </w:r>
      <w:r>
        <w:t xml:space="preserve"> </w:t>
      </w:r>
    </w:p>
    <w:p w14:paraId="1FC5ED65" w14:textId="77777777" w:rsidR="00CB096F" w:rsidRPr="00A962BA" w:rsidRDefault="00CB096F" w:rsidP="00CB096F"/>
    <w:p w14:paraId="0730F64A" w14:textId="77777777" w:rsidR="00CB096F" w:rsidRPr="00A962BA" w:rsidRDefault="00CB096F" w:rsidP="00CB096F">
      <w:pPr>
        <w:autoSpaceDE w:val="0"/>
        <w:autoSpaceDN w:val="0"/>
        <w:adjustRightInd w:val="0"/>
      </w:pPr>
      <w:r w:rsidRPr="00A962BA">
        <w:rPr>
          <w:lang w:bidi="th-TH"/>
        </w:rPr>
        <w:t>The Company, like any other firm, is exposed to potential risks that could disrupt or destroy critical business functions and/or the production and delivery of Company goods and services</w:t>
      </w:r>
      <w:r>
        <w:t xml:space="preserve">. </w:t>
      </w:r>
      <w:r w:rsidRPr="00A962BA">
        <w:t>Our strategy for continuing business in the event of an incident is to ensure the safety and security of all employees; and to continue critical business functions</w:t>
      </w:r>
      <w:r w:rsidR="006A172F">
        <w:t xml:space="preserve">, </w:t>
      </w:r>
      <w:r w:rsidRPr="00A962BA">
        <w:t xml:space="preserve">production and delivery of products and services from predefined alternative sites. </w:t>
      </w:r>
    </w:p>
    <w:p w14:paraId="7C652A01" w14:textId="77777777" w:rsidR="00CB096F" w:rsidRPr="00A962BA" w:rsidRDefault="00CB096F" w:rsidP="00CB096F"/>
    <w:p w14:paraId="5009603F" w14:textId="77777777" w:rsidR="00CB096F" w:rsidRDefault="00CB096F" w:rsidP="00CB096F">
      <w:pPr>
        <w:pStyle w:val="Heading2"/>
        <w:spacing w:before="0" w:after="0"/>
      </w:pPr>
      <w:r w:rsidRPr="00236074">
        <w:t>P</w:t>
      </w:r>
      <w:r>
        <w:t>urpose and Scope</w:t>
      </w:r>
    </w:p>
    <w:p w14:paraId="12BE42B5" w14:textId="77777777" w:rsidR="00CB096F" w:rsidRDefault="00CB096F" w:rsidP="00CB096F"/>
    <w:p w14:paraId="2811C9DC" w14:textId="77777777" w:rsidR="00CB096F" w:rsidRDefault="00CB096F" w:rsidP="00CB096F">
      <w:r>
        <w:t xml:space="preserve">The purpose of the BC/DR policy is to ensure that all Company business activities can be kept at normal or near-normal performance </w:t>
      </w:r>
      <w:r w:rsidR="00F0522D">
        <w:t>following</w:t>
      </w:r>
      <w:r>
        <w:t xml:space="preserve"> an incident that has the potential to disrupt or destroy the Company.  </w:t>
      </w:r>
    </w:p>
    <w:p w14:paraId="4D79C7ED" w14:textId="77777777" w:rsidR="00CB096F" w:rsidRDefault="00CB096F" w:rsidP="00CB096F"/>
    <w:p w14:paraId="53F7A21E" w14:textId="77777777" w:rsidR="00CB096F" w:rsidRPr="004919C5" w:rsidRDefault="00CB096F" w:rsidP="00CB096F">
      <w:r>
        <w:t xml:space="preserve">The scope of this policy is the entire Company, its subsidiaries, </w:t>
      </w:r>
      <w:proofErr w:type="gramStart"/>
      <w:r>
        <w:t>offices</w:t>
      </w:r>
      <w:proofErr w:type="gramEnd"/>
      <w:r>
        <w:t xml:space="preserve"> and employees in the </w:t>
      </w:r>
      <w:smartTag w:uri="urn:schemas-microsoft-com:office:smarttags" w:element="place">
        <w:smartTag w:uri="urn:schemas-microsoft-com:office:smarttags" w:element="country-region">
          <w:r>
            <w:t>U.S.A.</w:t>
          </w:r>
        </w:smartTag>
      </w:smartTag>
      <w:r>
        <w:t xml:space="preserve">  </w:t>
      </w:r>
    </w:p>
    <w:p w14:paraId="5E133CA0" w14:textId="77777777" w:rsidR="00CB096F" w:rsidRDefault="00CB096F" w:rsidP="00CB096F">
      <w:pPr>
        <w:pStyle w:val="Heading2"/>
        <w:spacing w:before="0" w:after="0"/>
        <w:rPr>
          <w:rFonts w:ascii="Times New Roman" w:hAnsi="Times New Roman"/>
          <w:sz w:val="24"/>
          <w:szCs w:val="24"/>
        </w:rPr>
      </w:pPr>
    </w:p>
    <w:p w14:paraId="2309BD43" w14:textId="77777777" w:rsidR="00CB096F" w:rsidRPr="00236074" w:rsidRDefault="00CB096F" w:rsidP="00CB096F">
      <w:pPr>
        <w:pStyle w:val="Heading2"/>
        <w:spacing w:before="0" w:after="0"/>
      </w:pPr>
      <w:r>
        <w:t xml:space="preserve">Statement of </w:t>
      </w:r>
      <w:r w:rsidRPr="00236074">
        <w:t>Policy</w:t>
      </w:r>
    </w:p>
    <w:p w14:paraId="47AE85D6" w14:textId="77777777" w:rsidR="00CB096F" w:rsidRDefault="00CB096F" w:rsidP="00CB096F"/>
    <w:p w14:paraId="0D513C0F" w14:textId="77777777" w:rsidR="00CB096F" w:rsidRDefault="00CB096F" w:rsidP="00CB096F">
      <w:r w:rsidRPr="004919C5">
        <w:t xml:space="preserve">Each department </w:t>
      </w:r>
      <w:r>
        <w:t xml:space="preserve">in the Company </w:t>
      </w:r>
      <w:r w:rsidRPr="004919C5">
        <w:t xml:space="preserve">is responsible for </w:t>
      </w:r>
      <w:r>
        <w:t xml:space="preserve">preparing </w:t>
      </w:r>
      <w:r w:rsidRPr="004919C5">
        <w:t xml:space="preserve">current and comprehensive </w:t>
      </w:r>
      <w:r>
        <w:t>b</w:t>
      </w:r>
      <w:r w:rsidRPr="004919C5">
        <w:t xml:space="preserve">usiness </w:t>
      </w:r>
      <w:r>
        <w:t>c</w:t>
      </w:r>
      <w:r w:rsidRPr="004919C5">
        <w:t xml:space="preserve">ontinuity </w:t>
      </w:r>
      <w:r>
        <w:t xml:space="preserve">plans (BCP) for its operations.  Certain departments, such as Information Technology (IT), are also responsible for disaster recovery plans (DRP) to ensure that any damage or disruptions to critical assets can be quickly minimized and that these assets can be restored to normal or near-normal operation as quickly as possible.   </w:t>
      </w:r>
    </w:p>
    <w:p w14:paraId="0079D2B6" w14:textId="77777777" w:rsidR="00CB096F" w:rsidRDefault="00CB096F" w:rsidP="00CB096F"/>
    <w:p w14:paraId="5C9539A0" w14:textId="77777777" w:rsidR="00CB096F" w:rsidRDefault="00CB096F" w:rsidP="00CB096F">
      <w:r w:rsidRPr="004919C5">
        <w:t xml:space="preserve">When </w:t>
      </w:r>
      <w:r w:rsidR="0008698E">
        <w:t xml:space="preserve">a plan is </w:t>
      </w:r>
      <w:r>
        <w:t xml:space="preserve">completed, </w:t>
      </w:r>
      <w:proofErr w:type="gramStart"/>
      <w:r>
        <w:t>approved</w:t>
      </w:r>
      <w:proofErr w:type="gramEnd"/>
      <w:r w:rsidR="000900E0">
        <w:t xml:space="preserve"> and implemented</w:t>
      </w:r>
      <w:r>
        <w:t xml:space="preserve">, </w:t>
      </w:r>
      <w:r w:rsidR="0008698E">
        <w:t xml:space="preserve">each </w:t>
      </w:r>
      <w:r w:rsidR="00A83E54">
        <w:t xml:space="preserve">plan </w:t>
      </w:r>
      <w:r w:rsidR="003E5C31">
        <w:t xml:space="preserve">will </w:t>
      </w:r>
      <w:r w:rsidRPr="004919C5">
        <w:t xml:space="preserve">include procedures and support agreements which </w:t>
      </w:r>
      <w:r>
        <w:t>e</w:t>
      </w:r>
      <w:r w:rsidRPr="004919C5">
        <w:t xml:space="preserve">nsure on-time availability and delivery of required products and services. </w:t>
      </w:r>
      <w:r>
        <w:t xml:space="preserve"> </w:t>
      </w:r>
      <w:r w:rsidRPr="004919C5">
        <w:t xml:space="preserve">Each </w:t>
      </w:r>
      <w:r>
        <w:t>p</w:t>
      </w:r>
      <w:r w:rsidRPr="004919C5">
        <w:t xml:space="preserve">lan must be certified annually with the </w:t>
      </w:r>
      <w:r>
        <w:t xml:space="preserve">business continuity </w:t>
      </w:r>
      <w:r w:rsidRPr="004919C5">
        <w:t>policy compliance process through the BC</w:t>
      </w:r>
      <w:r>
        <w:t>/DR T</w:t>
      </w:r>
      <w:r w:rsidRPr="004919C5">
        <w:t>eam.</w:t>
      </w:r>
      <w:r>
        <w:t xml:space="preserve"> </w:t>
      </w:r>
    </w:p>
    <w:p w14:paraId="63D0A117" w14:textId="77777777" w:rsidR="00CB096F" w:rsidRDefault="00CB096F" w:rsidP="00CB096F"/>
    <w:p w14:paraId="55C0DF39" w14:textId="77777777" w:rsidR="000A1276" w:rsidRDefault="000A1276" w:rsidP="00CB096F">
      <w:pPr>
        <w:rPr>
          <w:b/>
        </w:rPr>
      </w:pPr>
    </w:p>
    <w:p w14:paraId="63406ED0" w14:textId="77777777" w:rsidR="000A1276" w:rsidRDefault="000A1276" w:rsidP="00CB096F">
      <w:pPr>
        <w:rPr>
          <w:b/>
        </w:rPr>
      </w:pPr>
    </w:p>
    <w:p w14:paraId="39E80AFD" w14:textId="77777777" w:rsidR="000A1276" w:rsidRDefault="000A1276" w:rsidP="00CB096F">
      <w:pPr>
        <w:rPr>
          <w:b/>
        </w:rPr>
      </w:pPr>
    </w:p>
    <w:p w14:paraId="15FA5531" w14:textId="77777777" w:rsidR="00CB096F" w:rsidRDefault="00CB096F" w:rsidP="00CB096F">
      <w:r w:rsidRPr="00CB096F">
        <w:rPr>
          <w:b/>
        </w:rPr>
        <w:lastRenderedPageBreak/>
        <w:t>[Company]</w:t>
      </w:r>
      <w:r w:rsidRPr="00CB096F">
        <w:t xml:space="preserve"> acknowledges that it will use the British Standard, BS 25999, Part 2:2007 as the guidance and structure for its business continuity activities and the ISO/IEC 24762 standard for all comparable disaster recovery activities</w:t>
      </w:r>
      <w:r w:rsidR="00D33444">
        <w:t>.</w:t>
      </w:r>
    </w:p>
    <w:p w14:paraId="3FA30501" w14:textId="77777777" w:rsidR="00CB096F" w:rsidRDefault="00CB096F" w:rsidP="00CB096F"/>
    <w:p w14:paraId="6C03C6C9" w14:textId="77777777" w:rsidR="00CB096F" w:rsidRDefault="00CB096F" w:rsidP="00CB096F">
      <w:r w:rsidRPr="004919C5">
        <w:rPr>
          <w:rStyle w:val="Strong"/>
        </w:rPr>
        <w:t>[Company]</w:t>
      </w:r>
      <w:r w:rsidRPr="004919C5">
        <w:t xml:space="preserve"> recognizes the importance of a</w:t>
      </w:r>
      <w:r>
        <w:t>n active and fully supported BC/DR p</w:t>
      </w:r>
      <w:r w:rsidRPr="004919C5">
        <w:t xml:space="preserve">rogram to </w:t>
      </w:r>
      <w:r>
        <w:t>e</w:t>
      </w:r>
      <w:r w:rsidRPr="004919C5">
        <w:t xml:space="preserve">nsure the safety, </w:t>
      </w:r>
      <w:proofErr w:type="gramStart"/>
      <w:r w:rsidRPr="004919C5">
        <w:t>health</w:t>
      </w:r>
      <w:proofErr w:type="gramEnd"/>
      <w:r w:rsidRPr="004919C5">
        <w:t xml:space="preserve"> and continued availability of employment of its employees and </w:t>
      </w:r>
      <w:r>
        <w:t xml:space="preserve">the production and delivery of </w:t>
      </w:r>
      <w:r w:rsidRPr="004919C5">
        <w:t xml:space="preserve">quality goods and services for </w:t>
      </w:r>
      <w:r>
        <w:t xml:space="preserve">customers and other stakeholders.  </w:t>
      </w:r>
      <w:r w:rsidRPr="00CF6481">
        <w:rPr>
          <w:b/>
        </w:rPr>
        <w:t>[Company]</w:t>
      </w:r>
      <w:r>
        <w:t xml:space="preserve"> r</w:t>
      </w:r>
      <w:r w:rsidRPr="004919C5">
        <w:t>equire</w:t>
      </w:r>
      <w:r>
        <w:t>s</w:t>
      </w:r>
      <w:r w:rsidRPr="004919C5">
        <w:t xml:space="preserve"> the commitment of each employee, </w:t>
      </w:r>
      <w:proofErr w:type="gramStart"/>
      <w:r w:rsidRPr="004919C5">
        <w:t>department</w:t>
      </w:r>
      <w:proofErr w:type="gramEnd"/>
      <w:r w:rsidRPr="004919C5">
        <w:t xml:space="preserve"> and vendor in support of the </w:t>
      </w:r>
      <w:r>
        <w:t xml:space="preserve">activities </w:t>
      </w:r>
      <w:r w:rsidRPr="004919C5">
        <w:t xml:space="preserve">required to protect </w:t>
      </w:r>
      <w:r>
        <w:t xml:space="preserve">Company </w:t>
      </w:r>
      <w:r w:rsidRPr="004919C5">
        <w:t>assets, mission and survivability.</w:t>
      </w:r>
      <w:r>
        <w:t xml:space="preserve"> </w:t>
      </w:r>
    </w:p>
    <w:p w14:paraId="67EDFB89" w14:textId="77777777" w:rsidR="00CB096F" w:rsidRPr="004919C5" w:rsidRDefault="00CB096F" w:rsidP="00CB096F"/>
    <w:p w14:paraId="2FD7B3FA" w14:textId="77777777" w:rsidR="00CB096F" w:rsidRPr="00EE0F4A" w:rsidRDefault="00CB096F" w:rsidP="00CB096F">
      <w:pPr>
        <w:pStyle w:val="Heading2"/>
        <w:spacing w:before="0" w:after="0"/>
      </w:pPr>
      <w:r w:rsidRPr="00EE0F4A">
        <w:t>Policy Leadership</w:t>
      </w:r>
    </w:p>
    <w:p w14:paraId="0120454E" w14:textId="77777777" w:rsidR="00CB096F" w:rsidRDefault="00CB096F" w:rsidP="00CB096F">
      <w:pPr>
        <w:rPr>
          <w:rStyle w:val="Strong"/>
        </w:rPr>
      </w:pPr>
    </w:p>
    <w:p w14:paraId="4E0F7FC0" w14:textId="77777777" w:rsidR="00CB096F" w:rsidRDefault="00CB096F" w:rsidP="00CB096F">
      <w:r w:rsidRPr="004919C5">
        <w:rPr>
          <w:rStyle w:val="Strong"/>
        </w:rPr>
        <w:t>[</w:t>
      </w:r>
      <w:r>
        <w:rPr>
          <w:rStyle w:val="Strong"/>
        </w:rPr>
        <w:t xml:space="preserve">Name of </w:t>
      </w:r>
      <w:r w:rsidRPr="004919C5">
        <w:rPr>
          <w:rStyle w:val="Strong"/>
        </w:rPr>
        <w:t>Executive]</w:t>
      </w:r>
      <w:r w:rsidRPr="004919C5">
        <w:t xml:space="preserve"> is </w:t>
      </w:r>
      <w:r>
        <w:t>designated as the corporate management liaison responsible for the BC/DR program</w:t>
      </w:r>
      <w:r w:rsidRPr="004919C5">
        <w:t xml:space="preserve">. </w:t>
      </w:r>
      <w:r>
        <w:t xml:space="preserve"> </w:t>
      </w:r>
      <w:r w:rsidRPr="004919C5">
        <w:t>Resolution of issues in the development of</w:t>
      </w:r>
      <w:r w:rsidR="002D789F">
        <w:t>,</w:t>
      </w:r>
      <w:r w:rsidRPr="004919C5">
        <w:t xml:space="preserve"> or support </w:t>
      </w:r>
      <w:r>
        <w:t>of</w:t>
      </w:r>
      <w:r w:rsidR="002D789F">
        <w:t>,</w:t>
      </w:r>
      <w:r>
        <w:t xml:space="preserve"> </w:t>
      </w:r>
      <w:r w:rsidRPr="004919C5">
        <w:t xml:space="preserve">all </w:t>
      </w:r>
      <w:r>
        <w:t>BC/DR p</w:t>
      </w:r>
      <w:r w:rsidRPr="004919C5">
        <w:t xml:space="preserve">lans </w:t>
      </w:r>
      <w:r>
        <w:t xml:space="preserve">and associated activities </w:t>
      </w:r>
      <w:r w:rsidRPr="004919C5">
        <w:t>should first be coordinated with the BC</w:t>
      </w:r>
      <w:r>
        <w:t>/DR T</w:t>
      </w:r>
      <w:r w:rsidRPr="004919C5">
        <w:t>eam and appropriate internal or external organizations</w:t>
      </w:r>
      <w:r>
        <w:t xml:space="preserve"> before submitting to the corporate management liaison.  The issue resolution process is defined in the following section. </w:t>
      </w:r>
    </w:p>
    <w:p w14:paraId="43A4CE5B" w14:textId="77777777" w:rsidR="00CB096F" w:rsidRDefault="00CB096F" w:rsidP="00CB096F"/>
    <w:p w14:paraId="248D43B0" w14:textId="77777777" w:rsidR="00CB096F" w:rsidRPr="00573381" w:rsidRDefault="00CB096F" w:rsidP="00CB096F">
      <w:pPr>
        <w:pStyle w:val="Heading2"/>
        <w:spacing w:before="0" w:after="0"/>
      </w:pPr>
      <w:r w:rsidRPr="00573381">
        <w:t>Verification of Policy Compliance</w:t>
      </w:r>
    </w:p>
    <w:p w14:paraId="5A6A8D7A" w14:textId="77777777" w:rsidR="00CB096F" w:rsidRPr="00573381" w:rsidRDefault="00CB096F" w:rsidP="00CB096F"/>
    <w:p w14:paraId="44C279A8" w14:textId="77777777" w:rsidR="00CB096F" w:rsidRPr="004919C5" w:rsidRDefault="00CB096F" w:rsidP="00CB096F">
      <w:r w:rsidRPr="004919C5">
        <w:t>BC</w:t>
      </w:r>
      <w:r>
        <w:t xml:space="preserve">/DR </w:t>
      </w:r>
      <w:r w:rsidRPr="004919C5">
        <w:t xml:space="preserve">compliance verification is </w:t>
      </w:r>
      <w:r>
        <w:t xml:space="preserve">managed </w:t>
      </w:r>
      <w:r w:rsidRPr="004919C5">
        <w:t>by the BC</w:t>
      </w:r>
      <w:r>
        <w:t>/DR</w:t>
      </w:r>
      <w:r w:rsidRPr="004919C5">
        <w:t xml:space="preserve"> </w:t>
      </w:r>
      <w:r>
        <w:t>T</w:t>
      </w:r>
      <w:r w:rsidRPr="004919C5">
        <w:t>eam</w:t>
      </w:r>
      <w:r>
        <w:t xml:space="preserve"> with support from other relevant internal departments</w:t>
      </w:r>
      <w:r w:rsidRPr="004919C5">
        <w:t xml:space="preserve">. </w:t>
      </w:r>
      <w:r>
        <w:t xml:space="preserve"> </w:t>
      </w:r>
      <w:r w:rsidR="00F92792">
        <w:t>E</w:t>
      </w:r>
      <w:r w:rsidRPr="004919C5">
        <w:t xml:space="preserve">ach </w:t>
      </w:r>
      <w:r>
        <w:t>p</w:t>
      </w:r>
      <w:r w:rsidRPr="004919C5">
        <w:t xml:space="preserve">lan </w:t>
      </w:r>
      <w:r>
        <w:t xml:space="preserve">must define </w:t>
      </w:r>
      <w:r w:rsidRPr="004919C5">
        <w:t xml:space="preserve">appropriate procedures, staffing, </w:t>
      </w:r>
      <w:proofErr w:type="gramStart"/>
      <w:r w:rsidRPr="004919C5">
        <w:t>tools</w:t>
      </w:r>
      <w:proofErr w:type="gramEnd"/>
      <w:r w:rsidRPr="004919C5">
        <w:t xml:space="preserve"> and workplace planning </w:t>
      </w:r>
      <w:r>
        <w:t xml:space="preserve">activities </w:t>
      </w:r>
      <w:r w:rsidRPr="004919C5">
        <w:t xml:space="preserve">necessary to meet </w:t>
      </w:r>
      <w:r>
        <w:t xml:space="preserve">compliance </w:t>
      </w:r>
      <w:r w:rsidRPr="004919C5">
        <w:t xml:space="preserve">requirements. </w:t>
      </w:r>
      <w:r>
        <w:t>Plan templates have been developed to facilitate the plan development process</w:t>
      </w:r>
      <w:r w:rsidR="00F92792">
        <w:t>,</w:t>
      </w:r>
      <w:r>
        <w:t xml:space="preserve"> </w:t>
      </w:r>
      <w:r w:rsidR="00F92792">
        <w:t xml:space="preserve">and </w:t>
      </w:r>
      <w:r>
        <w:t xml:space="preserve">these templates shall be used for all plans.  </w:t>
      </w:r>
      <w:r w:rsidRPr="004919C5">
        <w:t xml:space="preserve">Detailed </w:t>
      </w:r>
      <w:r>
        <w:t xml:space="preserve">policy </w:t>
      </w:r>
      <w:r w:rsidRPr="004919C5">
        <w:t xml:space="preserve">compliance </w:t>
      </w:r>
      <w:r>
        <w:t xml:space="preserve">verification activities are defined by </w:t>
      </w:r>
      <w:r w:rsidRPr="004919C5">
        <w:t>the BC</w:t>
      </w:r>
      <w:r>
        <w:t>/DR</w:t>
      </w:r>
      <w:r w:rsidRPr="004919C5">
        <w:t xml:space="preserve"> </w:t>
      </w:r>
      <w:r>
        <w:t>T</w:t>
      </w:r>
      <w:r w:rsidRPr="004919C5">
        <w:t xml:space="preserve">eam and </w:t>
      </w:r>
      <w:r w:rsidR="001A6266">
        <w:t xml:space="preserve">are </w:t>
      </w:r>
      <w:r w:rsidRPr="004919C5">
        <w:t xml:space="preserve">included in the </w:t>
      </w:r>
      <w:r>
        <w:t xml:space="preserve">Appendix at the end of this policy.  </w:t>
      </w:r>
    </w:p>
    <w:p w14:paraId="73C1F0EE" w14:textId="77777777" w:rsidR="00CB096F" w:rsidRDefault="00CB096F" w:rsidP="00CB096F"/>
    <w:p w14:paraId="7244BE90" w14:textId="77777777" w:rsidR="00CB096F" w:rsidRPr="00CF6481" w:rsidRDefault="00CB096F" w:rsidP="00CB096F">
      <w:r w:rsidRPr="00CF6481">
        <w:t>BC/DR Compliance Verification is required annually</w:t>
      </w:r>
      <w:r>
        <w:t xml:space="preserve"> and is facilitated by the BC/DR Team</w:t>
      </w:r>
      <w:r w:rsidRPr="00CF6481">
        <w:t xml:space="preserve">. Waivers for temporary compliance verification may be given if a detailed written waiver request issued by the department manager is approved by the BC/DR Team corporate management liaison. Maximum delay for compliance is one year from the original date of compliance.  </w:t>
      </w:r>
    </w:p>
    <w:p w14:paraId="524F8DED" w14:textId="77777777" w:rsidR="00CB096F" w:rsidRDefault="00CB096F" w:rsidP="00CB096F"/>
    <w:p w14:paraId="5104A16D" w14:textId="77777777" w:rsidR="00CB096F" w:rsidRPr="000A1276" w:rsidRDefault="00CB096F" w:rsidP="00CB096F">
      <w:pPr>
        <w:rPr>
          <w:rFonts w:ascii="Cambria" w:hAnsi="Cambria" w:cs="Arial"/>
          <w:b/>
          <w:i/>
          <w:sz w:val="28"/>
          <w:szCs w:val="28"/>
        </w:rPr>
      </w:pPr>
      <w:r w:rsidRPr="000A1276">
        <w:rPr>
          <w:rFonts w:ascii="Cambria" w:hAnsi="Cambria" w:cs="Arial"/>
          <w:b/>
          <w:i/>
          <w:sz w:val="28"/>
          <w:szCs w:val="28"/>
        </w:rPr>
        <w:t xml:space="preserve">Penalties for Non-Compliance </w:t>
      </w:r>
    </w:p>
    <w:p w14:paraId="39B1B4C1" w14:textId="77777777" w:rsidR="00CB096F" w:rsidRDefault="00CB096F" w:rsidP="00CB096F"/>
    <w:p w14:paraId="71702800" w14:textId="77777777" w:rsidR="00CB096F" w:rsidRDefault="00CB096F" w:rsidP="00CB096F">
      <w:r>
        <w:t xml:space="preserve">In situations where a Company department does not comply with the BC/DR policy, the BC/DR Team will prepare a brief stating the case for non-compliance and present it to the BC/DR corporate management liaison for resolution. Failure to comply with BC/DR policies within the allotted time for resolution may result in verbal reprimands, notes in personnel files, termination and </w:t>
      </w:r>
      <w:r w:rsidR="00CE2315">
        <w:t>other remedies</w:t>
      </w:r>
      <w:r>
        <w:t xml:space="preserve"> as deemed appropriate. </w:t>
      </w:r>
    </w:p>
    <w:p w14:paraId="76BB8AAC" w14:textId="77777777" w:rsidR="00CB096F" w:rsidRDefault="00CB096F" w:rsidP="00CB096F"/>
    <w:p w14:paraId="13C3E04C" w14:textId="77777777" w:rsidR="00FD1E1C" w:rsidRDefault="00FD1E1C" w:rsidP="00CB096F">
      <w:pPr>
        <w:rPr>
          <w:rFonts w:ascii="Arial" w:hAnsi="Arial" w:cs="Arial"/>
          <w:b/>
          <w:i/>
          <w:sz w:val="28"/>
          <w:szCs w:val="28"/>
        </w:rPr>
      </w:pPr>
    </w:p>
    <w:p w14:paraId="5C80882B" w14:textId="77777777" w:rsidR="00FD1E1C" w:rsidRDefault="00FD1E1C" w:rsidP="00CB096F">
      <w:pPr>
        <w:rPr>
          <w:rFonts w:ascii="Arial" w:hAnsi="Arial" w:cs="Arial"/>
          <w:b/>
          <w:i/>
          <w:sz w:val="28"/>
          <w:szCs w:val="28"/>
        </w:rPr>
      </w:pPr>
    </w:p>
    <w:p w14:paraId="49F4BB2D" w14:textId="77777777" w:rsidR="00FD1E1C" w:rsidRDefault="00FD1E1C" w:rsidP="00CB096F">
      <w:pPr>
        <w:rPr>
          <w:rFonts w:ascii="Arial" w:hAnsi="Arial" w:cs="Arial"/>
          <w:b/>
          <w:i/>
          <w:sz w:val="28"/>
          <w:szCs w:val="28"/>
        </w:rPr>
      </w:pPr>
    </w:p>
    <w:p w14:paraId="4CBD9A38" w14:textId="77777777" w:rsidR="00CB096F" w:rsidRPr="000A1276" w:rsidRDefault="00CB096F" w:rsidP="00CB096F">
      <w:pPr>
        <w:rPr>
          <w:rFonts w:ascii="Calibri" w:hAnsi="Calibri" w:cs="Arial"/>
          <w:b/>
          <w:i/>
          <w:sz w:val="28"/>
          <w:szCs w:val="28"/>
        </w:rPr>
      </w:pPr>
      <w:r w:rsidRPr="000A1276">
        <w:rPr>
          <w:rFonts w:ascii="Calibri" w:hAnsi="Calibri" w:cs="Arial"/>
          <w:b/>
          <w:i/>
          <w:sz w:val="28"/>
          <w:szCs w:val="28"/>
        </w:rPr>
        <w:t>Appendixes (as needed)</w:t>
      </w:r>
    </w:p>
    <w:p w14:paraId="20D22D43" w14:textId="77777777" w:rsidR="00CB096F" w:rsidRDefault="00CB096F" w:rsidP="00CB096F"/>
    <w:p w14:paraId="3A1F31CA" w14:textId="77777777" w:rsidR="00CB096F" w:rsidRDefault="00CB096F" w:rsidP="00CB096F">
      <w:r>
        <w:t xml:space="preserve">Examples of appendixes can include lists of employees responsible for BC/DR activities, members of the BC/DR Team, corporate management liaison(s), external vendors, external </w:t>
      </w:r>
      <w:proofErr w:type="gramStart"/>
      <w:r>
        <w:t>stakeholders</w:t>
      </w:r>
      <w:proofErr w:type="gramEnd"/>
      <w:r>
        <w:t xml:space="preserve"> and external customers.  Relevant service level agreements (</w:t>
      </w:r>
      <w:smartTag w:uri="urn:schemas-microsoft-com:office:smarttags" w:element="place">
        <w:r>
          <w:t>SLA</w:t>
        </w:r>
      </w:smartTag>
      <w:r>
        <w:t xml:space="preserve">) may be included if they are critical to policy compliance.  Plan templates can be added here.  An example of an appendix follows.  </w:t>
      </w:r>
    </w:p>
    <w:p w14:paraId="59C5F30A" w14:textId="77777777" w:rsidR="00CB096F" w:rsidRDefault="00CB096F" w:rsidP="00CB096F"/>
    <w:p w14:paraId="1A09AC9D" w14:textId="77777777" w:rsidR="00CB096F" w:rsidRPr="000A1276" w:rsidRDefault="00CB096F" w:rsidP="00CB096F">
      <w:pPr>
        <w:rPr>
          <w:rFonts w:ascii="Calibri" w:hAnsi="Calibri" w:cs="Arial"/>
          <w:b/>
          <w:i/>
          <w:sz w:val="28"/>
          <w:szCs w:val="28"/>
        </w:rPr>
      </w:pPr>
      <w:r w:rsidRPr="000A1276">
        <w:rPr>
          <w:rFonts w:ascii="Calibri" w:hAnsi="Calibri" w:cs="Arial"/>
          <w:b/>
          <w:i/>
          <w:sz w:val="28"/>
          <w:szCs w:val="28"/>
        </w:rPr>
        <w:t xml:space="preserve">Appendix A – Additional Policies </w:t>
      </w:r>
    </w:p>
    <w:p w14:paraId="002FBEAF" w14:textId="77777777" w:rsidR="00CB096F" w:rsidRPr="00CC0B4E" w:rsidRDefault="00CB096F" w:rsidP="00CB096F">
      <w:pPr>
        <w:pStyle w:val="BodyText"/>
        <w:jc w:val="left"/>
        <w:rPr>
          <w:rFonts w:ascii="Times New Roman" w:hAnsi="Times New Roman" w:cs="Times New Roman"/>
          <w:sz w:val="24"/>
        </w:rPr>
      </w:pPr>
    </w:p>
    <w:p w14:paraId="42B2E32A" w14:textId="77777777" w:rsidR="00CB096F" w:rsidRDefault="00CB096F" w:rsidP="00CB096F">
      <w:pPr>
        <w:numPr>
          <w:ilvl w:val="0"/>
          <w:numId w:val="43"/>
        </w:numPr>
        <w:tabs>
          <w:tab w:val="clear" w:pos="720"/>
          <w:tab w:val="num" w:pos="360"/>
        </w:tabs>
        <w:ind w:left="360"/>
        <w:rPr>
          <w:lang w:bidi="th-TH"/>
        </w:rPr>
      </w:pPr>
      <w:r w:rsidRPr="00CC0B4E">
        <w:rPr>
          <w:lang w:bidi="th-TH"/>
        </w:rPr>
        <w:t xml:space="preserve">All </w:t>
      </w:r>
      <w:r w:rsidRPr="00CC0B4E">
        <w:t xml:space="preserve">department heads within </w:t>
      </w:r>
      <w:r w:rsidRPr="00CC0B4E">
        <w:rPr>
          <w:b/>
        </w:rPr>
        <w:t>[Company]</w:t>
      </w:r>
      <w:r>
        <w:t xml:space="preserve"> </w:t>
      </w:r>
      <w:r w:rsidRPr="00CC0B4E">
        <w:rPr>
          <w:lang w:bidi="th-TH"/>
        </w:rPr>
        <w:t xml:space="preserve">are responsible for business continuity </w:t>
      </w:r>
      <w:r>
        <w:rPr>
          <w:lang w:bidi="th-TH"/>
        </w:rPr>
        <w:t xml:space="preserve">(and, where appropriate, disaster recovery) </w:t>
      </w:r>
      <w:r w:rsidRPr="00CC0B4E">
        <w:rPr>
          <w:lang w:bidi="th-TH"/>
        </w:rPr>
        <w:t xml:space="preserve">for their area and are required to have a documented </w:t>
      </w:r>
      <w:r>
        <w:rPr>
          <w:lang w:bidi="th-TH"/>
        </w:rPr>
        <w:t xml:space="preserve">BC </w:t>
      </w:r>
      <w:r w:rsidRPr="00CC0B4E">
        <w:rPr>
          <w:lang w:bidi="th-TH"/>
        </w:rPr>
        <w:t xml:space="preserve">plan, signed by </w:t>
      </w:r>
      <w:proofErr w:type="gramStart"/>
      <w:r w:rsidRPr="00CC0B4E">
        <w:rPr>
          <w:lang w:bidi="th-TH"/>
        </w:rPr>
        <w:t>them</w:t>
      </w:r>
      <w:proofErr w:type="gramEnd"/>
      <w:r>
        <w:rPr>
          <w:lang w:bidi="th-TH"/>
        </w:rPr>
        <w:t xml:space="preserve"> and countersigned by the BC/DR corporate management liaison</w:t>
      </w:r>
      <w:r w:rsidRPr="00CC0B4E">
        <w:rPr>
          <w:lang w:bidi="th-TH"/>
        </w:rPr>
        <w:t xml:space="preserve">.  </w:t>
      </w:r>
    </w:p>
    <w:p w14:paraId="63C1A6D0" w14:textId="77777777" w:rsidR="00CB096F" w:rsidRDefault="00CB096F" w:rsidP="00CB096F">
      <w:pPr>
        <w:rPr>
          <w:lang w:bidi="th-TH"/>
        </w:rPr>
      </w:pPr>
    </w:p>
    <w:p w14:paraId="172958A6" w14:textId="77777777" w:rsidR="00CB096F" w:rsidRPr="00CC0B4E" w:rsidRDefault="00CB096F" w:rsidP="00CB096F">
      <w:pPr>
        <w:numPr>
          <w:ilvl w:val="0"/>
          <w:numId w:val="43"/>
        </w:numPr>
        <w:tabs>
          <w:tab w:val="clear" w:pos="720"/>
          <w:tab w:val="num" w:pos="360"/>
        </w:tabs>
        <w:ind w:left="360"/>
      </w:pPr>
      <w:r>
        <w:rPr>
          <w:lang w:bidi="th-TH"/>
        </w:rPr>
        <w:t xml:space="preserve">Each department must have </w:t>
      </w:r>
      <w:r w:rsidRPr="00CC0B4E">
        <w:t xml:space="preserve">a </w:t>
      </w:r>
      <w:r>
        <w:t>BC/DR c</w:t>
      </w:r>
      <w:r w:rsidRPr="00CC0B4E">
        <w:t xml:space="preserve">oordinator to assist in the implementation and maintenance of </w:t>
      </w:r>
      <w:r>
        <w:t xml:space="preserve">BC/DR </w:t>
      </w:r>
      <w:r w:rsidRPr="00CC0B4E">
        <w:t>plans</w:t>
      </w:r>
      <w:r w:rsidR="004F325A">
        <w:t>, as well as</w:t>
      </w:r>
      <w:r w:rsidRPr="00CC0B4E">
        <w:t xml:space="preserve"> readiness reporting for </w:t>
      </w:r>
      <w:r w:rsidR="004F325A">
        <w:t xml:space="preserve">that </w:t>
      </w:r>
      <w:r>
        <w:t>department</w:t>
      </w:r>
      <w:r w:rsidRPr="00CC0B4E">
        <w:t xml:space="preserve">. </w:t>
      </w:r>
    </w:p>
    <w:p w14:paraId="283A9F0A" w14:textId="77777777" w:rsidR="00CB096F" w:rsidRPr="00CC0B4E" w:rsidRDefault="00CB096F" w:rsidP="00CB096F"/>
    <w:p w14:paraId="6BF40817" w14:textId="77777777" w:rsidR="00CB096F" w:rsidRDefault="00CB096F" w:rsidP="00CB096F">
      <w:pPr>
        <w:numPr>
          <w:ilvl w:val="0"/>
          <w:numId w:val="43"/>
        </w:numPr>
        <w:tabs>
          <w:tab w:val="clear" w:pos="720"/>
          <w:tab w:val="num" w:pos="360"/>
        </w:tabs>
        <w:autoSpaceDE w:val="0"/>
        <w:autoSpaceDN w:val="0"/>
        <w:adjustRightInd w:val="0"/>
        <w:ind w:left="360"/>
        <w:rPr>
          <w:lang w:bidi="th-TH"/>
        </w:rPr>
      </w:pPr>
      <w:r w:rsidRPr="00CC0B4E">
        <w:t>B</w:t>
      </w:r>
      <w:r>
        <w:t>C/DR r</w:t>
      </w:r>
      <w:r w:rsidRPr="00CC0B4E">
        <w:t xml:space="preserve">eadiness </w:t>
      </w:r>
      <w:r>
        <w:t xml:space="preserve">within the Company </w:t>
      </w:r>
      <w:r w:rsidRPr="00CC0B4E">
        <w:t xml:space="preserve">must be reported on a </w:t>
      </w:r>
      <w:r>
        <w:t>q</w:t>
      </w:r>
      <w:r w:rsidRPr="00CC0B4E">
        <w:rPr>
          <w:lang w:bidi="th-TH"/>
        </w:rPr>
        <w:t xml:space="preserve">uarterly basis to the </w:t>
      </w:r>
      <w:r>
        <w:rPr>
          <w:lang w:bidi="th-TH"/>
        </w:rPr>
        <w:t>BC/DR corporate management liaison</w:t>
      </w:r>
      <w:r w:rsidRPr="00CC0B4E">
        <w:rPr>
          <w:lang w:bidi="th-TH"/>
        </w:rPr>
        <w:t xml:space="preserve">.  </w:t>
      </w:r>
    </w:p>
    <w:p w14:paraId="0BE742CF" w14:textId="77777777" w:rsidR="00CB096F" w:rsidRDefault="00CB096F" w:rsidP="00CB096F">
      <w:pPr>
        <w:autoSpaceDE w:val="0"/>
        <w:autoSpaceDN w:val="0"/>
        <w:adjustRightInd w:val="0"/>
        <w:rPr>
          <w:lang w:bidi="th-TH"/>
        </w:rPr>
      </w:pPr>
    </w:p>
    <w:p w14:paraId="41FABAC4" w14:textId="77777777" w:rsidR="00CB096F" w:rsidRPr="00CC0B4E" w:rsidRDefault="00CB096F" w:rsidP="00CB096F">
      <w:pPr>
        <w:numPr>
          <w:ilvl w:val="0"/>
          <w:numId w:val="43"/>
        </w:numPr>
        <w:tabs>
          <w:tab w:val="clear" w:pos="720"/>
          <w:tab w:val="num" w:pos="360"/>
        </w:tabs>
        <w:autoSpaceDE w:val="0"/>
        <w:autoSpaceDN w:val="0"/>
        <w:adjustRightInd w:val="0"/>
        <w:ind w:left="360"/>
        <w:rPr>
          <w:lang w:bidi="th-TH"/>
        </w:rPr>
      </w:pPr>
      <w:r w:rsidRPr="00CC0B4E">
        <w:t xml:space="preserve">Deviations from this </w:t>
      </w:r>
      <w:r>
        <w:t>p</w:t>
      </w:r>
      <w:r w:rsidRPr="00CC0B4E">
        <w:t xml:space="preserve">olicy must be approved by the </w:t>
      </w:r>
      <w:r>
        <w:t>BC/DR corporate management liaison and others he/she shall designate. The i</w:t>
      </w:r>
      <w:r w:rsidRPr="00CC0B4E">
        <w:rPr>
          <w:lang w:bidi="th-TH"/>
        </w:rPr>
        <w:t xml:space="preserve">nternal </w:t>
      </w:r>
      <w:r>
        <w:rPr>
          <w:lang w:bidi="th-TH"/>
        </w:rPr>
        <w:t>a</w:t>
      </w:r>
      <w:r w:rsidRPr="00CC0B4E">
        <w:rPr>
          <w:lang w:bidi="th-TH"/>
        </w:rPr>
        <w:t xml:space="preserve">udit </w:t>
      </w:r>
      <w:r>
        <w:rPr>
          <w:lang w:bidi="th-TH"/>
        </w:rPr>
        <w:t xml:space="preserve">department </w:t>
      </w:r>
      <w:r w:rsidRPr="00CC0B4E">
        <w:rPr>
          <w:lang w:bidi="th-TH"/>
        </w:rPr>
        <w:t xml:space="preserve">will review </w:t>
      </w:r>
      <w:r>
        <w:rPr>
          <w:lang w:bidi="th-TH"/>
        </w:rPr>
        <w:t xml:space="preserve">policy </w:t>
      </w:r>
      <w:r w:rsidRPr="00CC0B4E">
        <w:rPr>
          <w:lang w:bidi="th-TH"/>
        </w:rPr>
        <w:t>compliance.</w:t>
      </w:r>
      <w:r>
        <w:rPr>
          <w:lang w:bidi="th-TH"/>
        </w:rPr>
        <w:t xml:space="preserve">  </w:t>
      </w:r>
    </w:p>
    <w:p w14:paraId="4ADBDA8D" w14:textId="77777777" w:rsidR="00CB096F" w:rsidRDefault="00CB096F"/>
    <w:sectPr w:rsidR="00CB096F" w:rsidSect="00072374">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1BD2" w14:textId="77777777" w:rsidR="008373A5" w:rsidRDefault="008373A5" w:rsidP="00B34E78">
      <w:r>
        <w:separator/>
      </w:r>
    </w:p>
  </w:endnote>
  <w:endnote w:type="continuationSeparator" w:id="0">
    <w:p w14:paraId="4BCFED56" w14:textId="77777777" w:rsidR="008373A5" w:rsidRDefault="008373A5" w:rsidP="00B3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FEE4" w14:textId="77777777" w:rsidR="005C684C" w:rsidRDefault="00D941F4">
    <w:pPr>
      <w:pStyle w:val="Footer"/>
    </w:pPr>
    <w:r>
      <w:fldChar w:fldCharType="begin"/>
    </w:r>
    <w:r>
      <w:instrText xml:space="preserve"> PAGE   \* MERGEFORMAT </w:instrText>
    </w:r>
    <w:r>
      <w:fldChar w:fldCharType="separate"/>
    </w:r>
    <w:r w:rsidR="006846C0">
      <w:rPr>
        <w:noProof/>
      </w:rPr>
      <w:t>1</w:t>
    </w:r>
    <w:r>
      <w:fldChar w:fldCharType="end"/>
    </w:r>
  </w:p>
  <w:p w14:paraId="1F36232B" w14:textId="77777777" w:rsidR="005C684C" w:rsidRDefault="005C6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3BE5" w14:textId="77777777" w:rsidR="008373A5" w:rsidRDefault="008373A5" w:rsidP="00B34E78">
      <w:r>
        <w:separator/>
      </w:r>
    </w:p>
  </w:footnote>
  <w:footnote w:type="continuationSeparator" w:id="0">
    <w:p w14:paraId="0BDEA4CB" w14:textId="77777777" w:rsidR="008373A5" w:rsidRDefault="008373A5" w:rsidP="00B34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118D" w14:textId="4E949DDA" w:rsidR="005C684C" w:rsidRDefault="005C684C" w:rsidP="00FD1E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06F"/>
    <w:multiLevelType w:val="hybridMultilevel"/>
    <w:tmpl w:val="85B860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583081"/>
    <w:multiLevelType w:val="hybridMultilevel"/>
    <w:tmpl w:val="07443F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B60332"/>
    <w:multiLevelType w:val="hybridMultilevel"/>
    <w:tmpl w:val="9CDE74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C11B32"/>
    <w:multiLevelType w:val="hybridMultilevel"/>
    <w:tmpl w:val="18864E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7C3E6E"/>
    <w:multiLevelType w:val="hybridMultilevel"/>
    <w:tmpl w:val="9EF81E6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B78216A"/>
    <w:multiLevelType w:val="hybridMultilevel"/>
    <w:tmpl w:val="0FDA9E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C61176E"/>
    <w:multiLevelType w:val="hybridMultilevel"/>
    <w:tmpl w:val="39F2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69750E"/>
    <w:multiLevelType w:val="hybridMultilevel"/>
    <w:tmpl w:val="C2CA77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A01002"/>
    <w:multiLevelType w:val="hybridMultilevel"/>
    <w:tmpl w:val="C070FB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0484169"/>
    <w:multiLevelType w:val="hybridMultilevel"/>
    <w:tmpl w:val="42FA024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241718A"/>
    <w:multiLevelType w:val="hybridMultilevel"/>
    <w:tmpl w:val="B8BC8E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8523B29"/>
    <w:multiLevelType w:val="hybridMultilevel"/>
    <w:tmpl w:val="9B52164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8EC3B2F"/>
    <w:multiLevelType w:val="hybridMultilevel"/>
    <w:tmpl w:val="98EC1A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1C2612"/>
    <w:multiLevelType w:val="hybridMultilevel"/>
    <w:tmpl w:val="2F622E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EE35C0"/>
    <w:multiLevelType w:val="hybridMultilevel"/>
    <w:tmpl w:val="B076547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13B132A"/>
    <w:multiLevelType w:val="hybridMultilevel"/>
    <w:tmpl w:val="C4C2F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16548B"/>
    <w:multiLevelType w:val="hybridMultilevel"/>
    <w:tmpl w:val="26864A0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5B2DC5"/>
    <w:multiLevelType w:val="hybridMultilevel"/>
    <w:tmpl w:val="3A1CCAF2"/>
    <w:lvl w:ilvl="0" w:tplc="AB7082E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D95B20"/>
    <w:multiLevelType w:val="hybridMultilevel"/>
    <w:tmpl w:val="5D608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9814DC"/>
    <w:multiLevelType w:val="hybridMultilevel"/>
    <w:tmpl w:val="77A2E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159633B"/>
    <w:multiLevelType w:val="hybridMultilevel"/>
    <w:tmpl w:val="37787C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B23DEF"/>
    <w:multiLevelType w:val="hybridMultilevel"/>
    <w:tmpl w:val="5256329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6017BAE"/>
    <w:multiLevelType w:val="hybridMultilevel"/>
    <w:tmpl w:val="14E61A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2A06C4"/>
    <w:multiLevelType w:val="hybridMultilevel"/>
    <w:tmpl w:val="77CA2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6F3E8D"/>
    <w:multiLevelType w:val="hybridMultilevel"/>
    <w:tmpl w:val="B482904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F625228"/>
    <w:multiLevelType w:val="hybridMultilevel"/>
    <w:tmpl w:val="1DE65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9B6B6B"/>
    <w:multiLevelType w:val="hybridMultilevel"/>
    <w:tmpl w:val="54ACCB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A065A2"/>
    <w:multiLevelType w:val="hybridMultilevel"/>
    <w:tmpl w:val="02C6A3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1A03A29"/>
    <w:multiLevelType w:val="hybridMultilevel"/>
    <w:tmpl w:val="E65E1F7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5887EF2"/>
    <w:multiLevelType w:val="hybridMultilevel"/>
    <w:tmpl w:val="DAC41F4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62E6676"/>
    <w:multiLevelType w:val="hybridMultilevel"/>
    <w:tmpl w:val="16C4C55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AFA6496"/>
    <w:multiLevelType w:val="hybridMultilevel"/>
    <w:tmpl w:val="3C5AC48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CBA1637"/>
    <w:multiLevelType w:val="hybridMultilevel"/>
    <w:tmpl w:val="E8B048D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D750F93"/>
    <w:multiLevelType w:val="hybridMultilevel"/>
    <w:tmpl w:val="3C0C0C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965B27"/>
    <w:multiLevelType w:val="hybridMultilevel"/>
    <w:tmpl w:val="5B88E8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1216BA1"/>
    <w:multiLevelType w:val="hybridMultilevel"/>
    <w:tmpl w:val="B9FA31A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26C109D"/>
    <w:multiLevelType w:val="hybridMultilevel"/>
    <w:tmpl w:val="040234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27576D0"/>
    <w:multiLevelType w:val="multilevel"/>
    <w:tmpl w:val="A08231B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8" w15:restartNumberingAfterBreak="0">
    <w:nsid w:val="65BF10F0"/>
    <w:multiLevelType w:val="hybridMultilevel"/>
    <w:tmpl w:val="FEAE0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734046B"/>
    <w:multiLevelType w:val="hybridMultilevel"/>
    <w:tmpl w:val="62F4C77E"/>
    <w:lvl w:ilvl="0" w:tplc="911EA3A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E0574B0"/>
    <w:multiLevelType w:val="hybridMultilevel"/>
    <w:tmpl w:val="B54EFDF6"/>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0542665"/>
    <w:multiLevelType w:val="hybridMultilevel"/>
    <w:tmpl w:val="3A461F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755319"/>
    <w:multiLevelType w:val="hybridMultilevel"/>
    <w:tmpl w:val="A08231BC"/>
    <w:lvl w:ilvl="0" w:tplc="D95C586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568031205">
    <w:abstractNumId w:val="8"/>
  </w:num>
  <w:num w:numId="2" w16cid:durableId="1309048490">
    <w:abstractNumId w:val="20"/>
  </w:num>
  <w:num w:numId="3" w16cid:durableId="281771414">
    <w:abstractNumId w:val="22"/>
  </w:num>
  <w:num w:numId="4" w16cid:durableId="610943611">
    <w:abstractNumId w:val="23"/>
  </w:num>
  <w:num w:numId="5" w16cid:durableId="714425432">
    <w:abstractNumId w:val="36"/>
  </w:num>
  <w:num w:numId="6" w16cid:durableId="853693665">
    <w:abstractNumId w:val="16"/>
  </w:num>
  <w:num w:numId="7" w16cid:durableId="1913461971">
    <w:abstractNumId w:val="38"/>
  </w:num>
  <w:num w:numId="8" w16cid:durableId="1931231753">
    <w:abstractNumId w:val="13"/>
  </w:num>
  <w:num w:numId="9" w16cid:durableId="144706018">
    <w:abstractNumId w:val="0"/>
  </w:num>
  <w:num w:numId="10" w16cid:durableId="1485926332">
    <w:abstractNumId w:val="34"/>
  </w:num>
  <w:num w:numId="11" w16cid:durableId="1183666178">
    <w:abstractNumId w:val="39"/>
  </w:num>
  <w:num w:numId="12" w16cid:durableId="861019760">
    <w:abstractNumId w:val="4"/>
  </w:num>
  <w:num w:numId="13" w16cid:durableId="1954509366">
    <w:abstractNumId w:val="12"/>
  </w:num>
  <w:num w:numId="14" w16cid:durableId="1644043603">
    <w:abstractNumId w:val="31"/>
  </w:num>
  <w:num w:numId="15" w16cid:durableId="654140602">
    <w:abstractNumId w:val="5"/>
  </w:num>
  <w:num w:numId="16" w16cid:durableId="2044285419">
    <w:abstractNumId w:val="32"/>
  </w:num>
  <w:num w:numId="17" w16cid:durableId="1950577154">
    <w:abstractNumId w:val="24"/>
  </w:num>
  <w:num w:numId="18" w16cid:durableId="26874672">
    <w:abstractNumId w:val="21"/>
  </w:num>
  <w:num w:numId="19" w16cid:durableId="1139809201">
    <w:abstractNumId w:val="11"/>
  </w:num>
  <w:num w:numId="20" w16cid:durableId="282268579">
    <w:abstractNumId w:val="29"/>
  </w:num>
  <w:num w:numId="21" w16cid:durableId="260995642">
    <w:abstractNumId w:val="26"/>
  </w:num>
  <w:num w:numId="22" w16cid:durableId="1479807432">
    <w:abstractNumId w:val="1"/>
  </w:num>
  <w:num w:numId="23" w16cid:durableId="1620450226">
    <w:abstractNumId w:val="17"/>
  </w:num>
  <w:num w:numId="24" w16cid:durableId="1136294289">
    <w:abstractNumId w:val="9"/>
  </w:num>
  <w:num w:numId="25" w16cid:durableId="1927155181">
    <w:abstractNumId w:val="19"/>
  </w:num>
  <w:num w:numId="26" w16cid:durableId="2020038971">
    <w:abstractNumId w:val="3"/>
  </w:num>
  <w:num w:numId="27" w16cid:durableId="85156173">
    <w:abstractNumId w:val="15"/>
  </w:num>
  <w:num w:numId="28" w16cid:durableId="185214694">
    <w:abstractNumId w:val="6"/>
  </w:num>
  <w:num w:numId="29" w16cid:durableId="1825075749">
    <w:abstractNumId w:val="33"/>
  </w:num>
  <w:num w:numId="30" w16cid:durableId="1007752671">
    <w:abstractNumId w:val="41"/>
  </w:num>
  <w:num w:numId="31" w16cid:durableId="1348212502">
    <w:abstractNumId w:val="7"/>
  </w:num>
  <w:num w:numId="32" w16cid:durableId="1402756436">
    <w:abstractNumId w:val="18"/>
  </w:num>
  <w:num w:numId="33" w16cid:durableId="906383935">
    <w:abstractNumId w:val="10"/>
  </w:num>
  <w:num w:numId="34" w16cid:durableId="2128964759">
    <w:abstractNumId w:val="27"/>
  </w:num>
  <w:num w:numId="35" w16cid:durableId="1023676370">
    <w:abstractNumId w:val="14"/>
  </w:num>
  <w:num w:numId="36" w16cid:durableId="453989640">
    <w:abstractNumId w:val="2"/>
  </w:num>
  <w:num w:numId="37" w16cid:durableId="1817525886">
    <w:abstractNumId w:val="42"/>
  </w:num>
  <w:num w:numId="38" w16cid:durableId="841816070">
    <w:abstractNumId w:val="37"/>
  </w:num>
  <w:num w:numId="39" w16cid:durableId="1712875199">
    <w:abstractNumId w:val="35"/>
  </w:num>
  <w:num w:numId="40" w16cid:durableId="125128791">
    <w:abstractNumId w:val="30"/>
  </w:num>
  <w:num w:numId="41" w16cid:durableId="1597909333">
    <w:abstractNumId w:val="40"/>
  </w:num>
  <w:num w:numId="42" w16cid:durableId="1761246855">
    <w:abstractNumId w:val="28"/>
  </w:num>
  <w:num w:numId="43" w16cid:durableId="15269470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7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43"/>
    <w:rsid w:val="000141CA"/>
    <w:rsid w:val="00053C72"/>
    <w:rsid w:val="00072374"/>
    <w:rsid w:val="0008698E"/>
    <w:rsid w:val="000900E0"/>
    <w:rsid w:val="000A1276"/>
    <w:rsid w:val="000B2B82"/>
    <w:rsid w:val="000B6264"/>
    <w:rsid w:val="000E3992"/>
    <w:rsid w:val="00117F38"/>
    <w:rsid w:val="00131588"/>
    <w:rsid w:val="00141B21"/>
    <w:rsid w:val="00156E66"/>
    <w:rsid w:val="00164F20"/>
    <w:rsid w:val="00183143"/>
    <w:rsid w:val="001A6266"/>
    <w:rsid w:val="001A7DA6"/>
    <w:rsid w:val="001F31BC"/>
    <w:rsid w:val="0021044A"/>
    <w:rsid w:val="00221B25"/>
    <w:rsid w:val="00226BBF"/>
    <w:rsid w:val="00287411"/>
    <w:rsid w:val="002951CB"/>
    <w:rsid w:val="0029637C"/>
    <w:rsid w:val="002A582E"/>
    <w:rsid w:val="002B74C2"/>
    <w:rsid w:val="002D789F"/>
    <w:rsid w:val="002E5EBA"/>
    <w:rsid w:val="00314303"/>
    <w:rsid w:val="00340871"/>
    <w:rsid w:val="00365C03"/>
    <w:rsid w:val="00390398"/>
    <w:rsid w:val="00393A43"/>
    <w:rsid w:val="003E5C31"/>
    <w:rsid w:val="004031F5"/>
    <w:rsid w:val="00422598"/>
    <w:rsid w:val="00430E84"/>
    <w:rsid w:val="00431F03"/>
    <w:rsid w:val="00432B39"/>
    <w:rsid w:val="00435E61"/>
    <w:rsid w:val="00464D8D"/>
    <w:rsid w:val="004D514C"/>
    <w:rsid w:val="004F325A"/>
    <w:rsid w:val="004F56AF"/>
    <w:rsid w:val="004F7F1E"/>
    <w:rsid w:val="0052139E"/>
    <w:rsid w:val="00546220"/>
    <w:rsid w:val="00557A4C"/>
    <w:rsid w:val="00570E74"/>
    <w:rsid w:val="005714FE"/>
    <w:rsid w:val="005C684C"/>
    <w:rsid w:val="005E7514"/>
    <w:rsid w:val="00624AC4"/>
    <w:rsid w:val="006371C6"/>
    <w:rsid w:val="00640A9B"/>
    <w:rsid w:val="00681B4A"/>
    <w:rsid w:val="006846C0"/>
    <w:rsid w:val="00691A1B"/>
    <w:rsid w:val="00691C1C"/>
    <w:rsid w:val="006A172F"/>
    <w:rsid w:val="006B3FDD"/>
    <w:rsid w:val="006B691B"/>
    <w:rsid w:val="00711A5E"/>
    <w:rsid w:val="00714D17"/>
    <w:rsid w:val="00733F2C"/>
    <w:rsid w:val="007575C7"/>
    <w:rsid w:val="0077724E"/>
    <w:rsid w:val="00781FA5"/>
    <w:rsid w:val="00782A5B"/>
    <w:rsid w:val="00792B43"/>
    <w:rsid w:val="007B662E"/>
    <w:rsid w:val="007C6959"/>
    <w:rsid w:val="007E1E1A"/>
    <w:rsid w:val="007E4892"/>
    <w:rsid w:val="00811ECD"/>
    <w:rsid w:val="008209C3"/>
    <w:rsid w:val="008232DD"/>
    <w:rsid w:val="008373A5"/>
    <w:rsid w:val="008802B6"/>
    <w:rsid w:val="00881CC8"/>
    <w:rsid w:val="008D53BA"/>
    <w:rsid w:val="00913101"/>
    <w:rsid w:val="009434C3"/>
    <w:rsid w:val="00946222"/>
    <w:rsid w:val="009B63C6"/>
    <w:rsid w:val="009C2383"/>
    <w:rsid w:val="009D0792"/>
    <w:rsid w:val="009F3BCC"/>
    <w:rsid w:val="00A058ED"/>
    <w:rsid w:val="00A218B2"/>
    <w:rsid w:val="00A441BB"/>
    <w:rsid w:val="00A630A3"/>
    <w:rsid w:val="00A75DF6"/>
    <w:rsid w:val="00A80F4C"/>
    <w:rsid w:val="00A83E54"/>
    <w:rsid w:val="00AB2522"/>
    <w:rsid w:val="00AF1C4D"/>
    <w:rsid w:val="00B0734A"/>
    <w:rsid w:val="00B31FA2"/>
    <w:rsid w:val="00B3328E"/>
    <w:rsid w:val="00B34E78"/>
    <w:rsid w:val="00B75995"/>
    <w:rsid w:val="00BD6243"/>
    <w:rsid w:val="00C17969"/>
    <w:rsid w:val="00C54B59"/>
    <w:rsid w:val="00CB096F"/>
    <w:rsid w:val="00CB3360"/>
    <w:rsid w:val="00CD3B8C"/>
    <w:rsid w:val="00CE2315"/>
    <w:rsid w:val="00D0277A"/>
    <w:rsid w:val="00D1775E"/>
    <w:rsid w:val="00D20DC2"/>
    <w:rsid w:val="00D30E02"/>
    <w:rsid w:val="00D33444"/>
    <w:rsid w:val="00D338A9"/>
    <w:rsid w:val="00D352DF"/>
    <w:rsid w:val="00D45EEF"/>
    <w:rsid w:val="00D568FA"/>
    <w:rsid w:val="00D941F4"/>
    <w:rsid w:val="00E17937"/>
    <w:rsid w:val="00E22FEA"/>
    <w:rsid w:val="00E56FC5"/>
    <w:rsid w:val="00E91395"/>
    <w:rsid w:val="00EA5896"/>
    <w:rsid w:val="00EB5AEF"/>
    <w:rsid w:val="00F02CE8"/>
    <w:rsid w:val="00F0522D"/>
    <w:rsid w:val="00F61367"/>
    <w:rsid w:val="00F647BB"/>
    <w:rsid w:val="00F7305B"/>
    <w:rsid w:val="00F8506D"/>
    <w:rsid w:val="00F92792"/>
    <w:rsid w:val="00FB4D34"/>
    <w:rsid w:val="00FC114E"/>
    <w:rsid w:val="00FD1E1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14:docId w14:val="2D414E49"/>
  <w15:chartTrackingRefBased/>
  <w15:docId w15:val="{39362305-F626-49CC-BE7D-B4D25E0F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bn-BD"/>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243"/>
    <w:rPr>
      <w:sz w:val="24"/>
      <w:szCs w:val="24"/>
      <w:lang w:bidi="ar-SA"/>
    </w:rPr>
  </w:style>
  <w:style w:type="paragraph" w:styleId="Heading1">
    <w:name w:val="heading 1"/>
    <w:basedOn w:val="Normal"/>
    <w:next w:val="Normal"/>
    <w:qFormat/>
    <w:rsid w:val="00BD624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CB096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ecec765114121-06112008">
    <w:name w:val="ec_ec_ec_765114121-06112008"/>
    <w:basedOn w:val="DefaultParagraphFont"/>
    <w:rsid w:val="00BD6243"/>
    <w:rPr>
      <w:rFonts w:cs="Times New Roman"/>
    </w:rPr>
  </w:style>
  <w:style w:type="table" w:styleId="TableGrid">
    <w:name w:val="Table Grid"/>
    <w:basedOn w:val="TableNormal"/>
    <w:rsid w:val="001F3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441BB"/>
    <w:rPr>
      <w:rFonts w:cs="Times New Roman"/>
      <w:color w:val="0000FF"/>
      <w:u w:val="single"/>
    </w:rPr>
  </w:style>
  <w:style w:type="paragraph" w:styleId="Header">
    <w:name w:val="header"/>
    <w:basedOn w:val="Normal"/>
    <w:link w:val="HeaderChar"/>
    <w:rsid w:val="00B34E78"/>
    <w:pPr>
      <w:tabs>
        <w:tab w:val="center" w:pos="4680"/>
        <w:tab w:val="right" w:pos="9360"/>
      </w:tabs>
    </w:pPr>
  </w:style>
  <w:style w:type="character" w:customStyle="1" w:styleId="HeaderChar">
    <w:name w:val="Header Char"/>
    <w:basedOn w:val="DefaultParagraphFont"/>
    <w:link w:val="Header"/>
    <w:rsid w:val="00B34E78"/>
    <w:rPr>
      <w:sz w:val="24"/>
      <w:szCs w:val="24"/>
    </w:rPr>
  </w:style>
  <w:style w:type="paragraph" w:styleId="Footer">
    <w:name w:val="footer"/>
    <w:basedOn w:val="Normal"/>
    <w:link w:val="FooterChar"/>
    <w:uiPriority w:val="99"/>
    <w:rsid w:val="00B34E78"/>
    <w:pPr>
      <w:tabs>
        <w:tab w:val="center" w:pos="4680"/>
        <w:tab w:val="right" w:pos="9360"/>
      </w:tabs>
    </w:pPr>
  </w:style>
  <w:style w:type="character" w:customStyle="1" w:styleId="FooterChar">
    <w:name w:val="Footer Char"/>
    <w:basedOn w:val="DefaultParagraphFont"/>
    <w:link w:val="Footer"/>
    <w:uiPriority w:val="99"/>
    <w:rsid w:val="00B34E78"/>
    <w:rPr>
      <w:sz w:val="24"/>
      <w:szCs w:val="24"/>
    </w:rPr>
  </w:style>
  <w:style w:type="paragraph" w:styleId="ListParagraph">
    <w:name w:val="List Paragraph"/>
    <w:basedOn w:val="Normal"/>
    <w:uiPriority w:val="34"/>
    <w:qFormat/>
    <w:rsid w:val="00B34E78"/>
    <w:pPr>
      <w:ind w:left="720"/>
    </w:pPr>
  </w:style>
  <w:style w:type="paragraph" w:styleId="BalloonText">
    <w:name w:val="Balloon Text"/>
    <w:basedOn w:val="Normal"/>
    <w:link w:val="BalloonTextChar"/>
    <w:rsid w:val="00E22FEA"/>
    <w:rPr>
      <w:rFonts w:ascii="Tahoma" w:hAnsi="Tahoma" w:cs="Tahoma"/>
      <w:sz w:val="16"/>
      <w:szCs w:val="16"/>
    </w:rPr>
  </w:style>
  <w:style w:type="character" w:customStyle="1" w:styleId="BalloonTextChar">
    <w:name w:val="Balloon Text Char"/>
    <w:basedOn w:val="DefaultParagraphFont"/>
    <w:link w:val="BalloonText"/>
    <w:rsid w:val="00E22FEA"/>
    <w:rPr>
      <w:rFonts w:ascii="Tahoma" w:hAnsi="Tahoma" w:cs="Tahoma"/>
      <w:sz w:val="16"/>
      <w:szCs w:val="16"/>
    </w:rPr>
  </w:style>
  <w:style w:type="character" w:customStyle="1" w:styleId="Heading2Char">
    <w:name w:val="Heading 2 Char"/>
    <w:basedOn w:val="DefaultParagraphFont"/>
    <w:link w:val="Heading2"/>
    <w:semiHidden/>
    <w:rsid w:val="00CB096F"/>
    <w:rPr>
      <w:rFonts w:ascii="Cambria" w:eastAsia="Times New Roman" w:hAnsi="Cambria" w:cs="Times New Roman"/>
      <w:b/>
      <w:bCs/>
      <w:i/>
      <w:iCs/>
      <w:sz w:val="28"/>
      <w:szCs w:val="28"/>
    </w:rPr>
  </w:style>
  <w:style w:type="paragraph" w:styleId="BodyText">
    <w:name w:val="Body Text"/>
    <w:basedOn w:val="Normal"/>
    <w:link w:val="BodyTextChar"/>
    <w:rsid w:val="00CB096F"/>
    <w:pPr>
      <w:jc w:val="both"/>
    </w:pPr>
    <w:rPr>
      <w:rFonts w:ascii="Arial" w:eastAsia="Times New Roman" w:hAnsi="Arial" w:cs="Arial"/>
      <w:sz w:val="18"/>
      <w:lang w:val="en-GB"/>
    </w:rPr>
  </w:style>
  <w:style w:type="character" w:customStyle="1" w:styleId="BodyTextChar">
    <w:name w:val="Body Text Char"/>
    <w:basedOn w:val="DefaultParagraphFont"/>
    <w:link w:val="BodyText"/>
    <w:rsid w:val="00CB096F"/>
    <w:rPr>
      <w:rFonts w:ascii="Arial" w:eastAsia="Times New Roman" w:hAnsi="Arial" w:cs="Arial"/>
      <w:sz w:val="18"/>
      <w:szCs w:val="24"/>
      <w:lang w:val="en-GB"/>
    </w:rPr>
  </w:style>
  <w:style w:type="character" w:styleId="Strong">
    <w:name w:val="Strong"/>
    <w:basedOn w:val="DefaultParagraphFont"/>
    <w:qFormat/>
    <w:locked/>
    <w:rsid w:val="00CB096F"/>
    <w:rPr>
      <w:b/>
      <w:bCs/>
    </w:rPr>
  </w:style>
  <w:style w:type="character" w:styleId="PageNumber">
    <w:name w:val="page number"/>
    <w:basedOn w:val="DefaultParagraphFont"/>
    <w:rsid w:val="00FD1E1C"/>
  </w:style>
  <w:style w:type="paragraph" w:styleId="Revision">
    <w:name w:val="Revision"/>
    <w:hidden/>
    <w:uiPriority w:val="99"/>
    <w:semiHidden/>
    <w:rsid w:val="004F325A"/>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831</Words>
  <Characters>4871</Characters>
  <DocSecurity>0</DocSecurity>
  <Lines>40</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5691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