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b/>
          <w:bCs/>
          <w:color w:val="333333"/>
          <w:sz w:val="21"/>
          <w:szCs w:val="21"/>
        </w:rPr>
        <w:t>IT Disaster Recovery Plan.</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1. A plan revision and approval page as a cover sheet, containing date of most recent plan review and revision, name(s) of reviewer(s), date of most recent plan test, and approval of plan as indicated by signature of department head.</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 xml:space="preserve">2. Identify vital servers or services (e.g., </w:t>
      </w:r>
      <w:proofErr w:type="gramStart"/>
      <w:r w:rsidRPr="0045282E">
        <w:rPr>
          <w:rFonts w:ascii="Helvetica" w:eastAsia="Times New Roman" w:hAnsi="Helvetica" w:cs="Helvetica"/>
          <w:color w:val="333333"/>
          <w:sz w:val="21"/>
          <w:szCs w:val="21"/>
        </w:rPr>
        <w:t>file ,</w:t>
      </w:r>
      <w:proofErr w:type="gramEnd"/>
      <w:r w:rsidRPr="0045282E">
        <w:rPr>
          <w:rFonts w:ascii="Helvetica" w:eastAsia="Times New Roman" w:hAnsi="Helvetica" w:cs="Helvetica"/>
          <w:color w:val="333333"/>
          <w:sz w:val="21"/>
          <w:szCs w:val="21"/>
        </w:rPr>
        <w:t xml:space="preserve"> Web, application, e-mail, etc.) Provide the relevant information for each instance.</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Name and description</w:t>
      </w:r>
      <w:r w:rsidRPr="0045282E">
        <w:rPr>
          <w:rFonts w:ascii="Helvetica" w:eastAsia="Times New Roman" w:hAnsi="Helvetica" w:cs="Helvetica"/>
          <w:color w:val="333333"/>
          <w:sz w:val="21"/>
          <w:szCs w:val="21"/>
        </w:rPr>
        <w:br/>
        <w:t>• Campus inventory number</w:t>
      </w:r>
      <w:bookmarkStart w:id="0" w:name="_GoBack"/>
      <w:bookmarkEnd w:id="0"/>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If a service, the number of physical servers supporting the service</w:t>
      </w:r>
      <w:r w:rsidRPr="0045282E">
        <w:rPr>
          <w:rFonts w:ascii="Helvetica" w:eastAsia="Times New Roman" w:hAnsi="Helvetica" w:cs="Helvetica"/>
          <w:color w:val="333333"/>
          <w:sz w:val="21"/>
          <w:szCs w:val="21"/>
        </w:rPr>
        <w:br/>
        <w:t>• Server type (virtual or physical)</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Operating System and patch level</w:t>
      </w:r>
      <w:r w:rsidRPr="0045282E">
        <w:rPr>
          <w:rFonts w:ascii="Helvetica" w:eastAsia="Times New Roman" w:hAnsi="Helvetica" w:cs="Helvetica"/>
          <w:color w:val="333333"/>
          <w:sz w:val="21"/>
          <w:szCs w:val="21"/>
        </w:rPr>
        <w:br/>
        <w:t>• List of essential application software and patch level</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 of Cores</w:t>
      </w:r>
      <w:r w:rsidRPr="0045282E">
        <w:rPr>
          <w:rFonts w:ascii="Helvetica" w:eastAsia="Times New Roman" w:hAnsi="Helvetica" w:cs="Helvetica"/>
          <w:color w:val="333333"/>
          <w:sz w:val="21"/>
          <w:szCs w:val="21"/>
        </w:rPr>
        <w:br/>
        <w:t>• Disk storage and amount (internal and attached)</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RAM</w:t>
      </w:r>
      <w:r w:rsidRPr="0045282E">
        <w:rPr>
          <w:rFonts w:ascii="Helvetica" w:eastAsia="Times New Roman" w:hAnsi="Helvetica" w:cs="Helvetica"/>
          <w:color w:val="333333"/>
          <w:sz w:val="21"/>
          <w:szCs w:val="21"/>
        </w:rPr>
        <w:br/>
        <w:t xml:space="preserve">• Backup type (full, incremental, </w:t>
      </w:r>
      <w:proofErr w:type="spellStart"/>
      <w:r w:rsidRPr="0045282E">
        <w:rPr>
          <w:rFonts w:ascii="Helvetica" w:eastAsia="Times New Roman" w:hAnsi="Helvetica" w:cs="Helvetica"/>
          <w:color w:val="333333"/>
          <w:sz w:val="21"/>
          <w:szCs w:val="21"/>
        </w:rPr>
        <w:t>etc</w:t>
      </w:r>
      <w:proofErr w:type="spellEnd"/>
      <w:r w:rsidRPr="0045282E">
        <w:rPr>
          <w:rFonts w:ascii="Helvetica" w:eastAsia="Times New Roman" w:hAnsi="Helvetica" w:cs="Helvetica"/>
          <w:color w:val="333333"/>
          <w:sz w:val="21"/>
          <w:szCs w:val="21"/>
        </w:rPr>
        <w:t>)</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Backup generation frequency</w:t>
      </w:r>
      <w:r w:rsidRPr="0045282E">
        <w:rPr>
          <w:rFonts w:ascii="Helvetica" w:eastAsia="Times New Roman" w:hAnsi="Helvetica" w:cs="Helvetica"/>
          <w:color w:val="333333"/>
          <w:sz w:val="21"/>
          <w:szCs w:val="21"/>
        </w:rPr>
        <w:br/>
        <w:t>• Number of backup generations available onsite</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Number of backup generations available off-site</w:t>
      </w:r>
      <w:r w:rsidRPr="0045282E">
        <w:rPr>
          <w:rFonts w:ascii="Helvetica" w:eastAsia="Times New Roman" w:hAnsi="Helvetica" w:cs="Helvetica"/>
          <w:color w:val="333333"/>
          <w:sz w:val="21"/>
          <w:szCs w:val="21"/>
        </w:rPr>
        <w:br/>
        <w:t>• Location of backups</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Media type</w:t>
      </w:r>
      <w:r w:rsidRPr="0045282E">
        <w:rPr>
          <w:rFonts w:ascii="Helvetica" w:eastAsia="Times New Roman" w:hAnsi="Helvetica" w:cs="Helvetica"/>
          <w:color w:val="333333"/>
          <w:sz w:val="21"/>
          <w:szCs w:val="21"/>
        </w:rPr>
        <w:br/>
        <w:t>• Retention period</w:t>
      </w:r>
    </w:p>
    <w:p w:rsidR="0045282E" w:rsidRPr="0045282E" w:rsidRDefault="0045282E" w:rsidP="00AD20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Rotation cycle</w:t>
      </w:r>
      <w:r w:rsidRPr="0045282E">
        <w:rPr>
          <w:rFonts w:ascii="Helvetica" w:eastAsia="Times New Roman" w:hAnsi="Helvetica" w:cs="Helvetica"/>
          <w:color w:val="333333"/>
          <w:sz w:val="21"/>
          <w:szCs w:val="21"/>
        </w:rPr>
        <w:br/>
        <w:t>• List of personnel authorized to retrieve the backups</w:t>
      </w:r>
    </w:p>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b/>
          <w:bCs/>
          <w:color w:val="333333"/>
          <w:sz w:val="21"/>
          <w:szCs w:val="21"/>
        </w:rPr>
        <w:t>For each server, service, or application, address the following subjects if relevant to the specific instance.</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3. Identify if a severe, long term disruption occurred what would be the minimum requirements/replacement needs to perform the critical function during the disruption if it is less than the capabilities of the current server.</w:t>
      </w:r>
    </w:p>
    <w:p w:rsidR="0045282E" w:rsidRPr="0045282E" w:rsidRDefault="0045282E" w:rsidP="0045282E">
      <w:pP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Type (e.g. server hardware, software, research materials, etc.)</w:t>
      </w:r>
      <w:r w:rsidRPr="0045282E">
        <w:rPr>
          <w:rFonts w:ascii="Helvetica" w:eastAsia="Times New Roman" w:hAnsi="Helvetica" w:cs="Helvetica"/>
          <w:color w:val="333333"/>
          <w:sz w:val="21"/>
          <w:szCs w:val="21"/>
        </w:rPr>
        <w:br/>
        <w:t>• Item name and description</w:t>
      </w:r>
    </w:p>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w:t>
      </w:r>
    </w:p>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w:t>
      </w:r>
    </w:p>
    <w:p w:rsidR="0045282E" w:rsidRPr="0045282E" w:rsidRDefault="0045282E" w:rsidP="0045282E">
      <w:pP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Quantity required</w:t>
      </w:r>
      <w:r w:rsidRPr="0045282E">
        <w:rPr>
          <w:rFonts w:ascii="Helvetica" w:eastAsia="Times New Roman" w:hAnsi="Helvetica" w:cs="Helvetica"/>
          <w:color w:val="333333"/>
          <w:sz w:val="21"/>
          <w:szCs w:val="21"/>
        </w:rPr>
        <w:br/>
        <w:t>• Vendor/supplier</w:t>
      </w:r>
    </w:p>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lastRenderedPageBreak/>
        <w:t>4. Identify if alternate methods of providing the affected services or processes either exist or could be developed, quantifying where possible, impact on processing. (Include alternative manual processes if they exist.)</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r>
      <w:r w:rsidRPr="0045282E">
        <w:rPr>
          <w:rFonts w:ascii="Helvetica" w:eastAsia="Times New Roman" w:hAnsi="Helvetica" w:cs="Helvetica"/>
          <w:b/>
          <w:bCs/>
          <w:color w:val="333333"/>
          <w:sz w:val="21"/>
          <w:szCs w:val="21"/>
        </w:rPr>
        <w:t>5. Identify person(s) who supports the server, service, or application </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6. Identify primary person to contact if server, service, or application cannot function as normal</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r>
      <w:r w:rsidRPr="0045282E">
        <w:rPr>
          <w:rFonts w:ascii="Helvetica" w:eastAsia="Times New Roman" w:hAnsi="Helvetica" w:cs="Helvetica"/>
          <w:b/>
          <w:bCs/>
          <w:color w:val="333333"/>
          <w:sz w:val="21"/>
          <w:szCs w:val="21"/>
        </w:rPr>
        <w:t>7. Identify secondary person to contact if server, service, or application cannot function as normal </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8. Identify all vendors associated with the server, service, or application</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r>
      <w:r w:rsidRPr="0045282E">
        <w:rPr>
          <w:rFonts w:ascii="Helvetica" w:eastAsia="Times New Roman" w:hAnsi="Helvetica" w:cs="Helvetica"/>
          <w:b/>
          <w:bCs/>
          <w:color w:val="333333"/>
          <w:sz w:val="21"/>
          <w:szCs w:val="21"/>
        </w:rPr>
        <w:t>9. Document unit strategy during recovery (conceptually how will the unit function?) </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10. Identify how soon after a re-commencement of unit operations the server or service would be required to be back in operation</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r>
      <w:r w:rsidRPr="0045282E">
        <w:rPr>
          <w:rFonts w:ascii="Helvetica" w:eastAsia="Times New Roman" w:hAnsi="Helvetica" w:cs="Helvetica"/>
          <w:b/>
          <w:bCs/>
          <w:color w:val="333333"/>
          <w:sz w:val="21"/>
          <w:szCs w:val="21"/>
        </w:rPr>
        <w:t>11. Identify maximum age limit of backup data that can be used to restore the server or service</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t>12. Quantify required resources and time frame required for recovery including resources external to your unit (e.g., server hardware, 2 people for 8 hours, etc.)</w:t>
      </w:r>
      <w:r w:rsidRPr="0045282E">
        <w:rPr>
          <w:rFonts w:ascii="Helvetica" w:eastAsia="Times New Roman" w:hAnsi="Helvetica" w:cs="Helvetica"/>
          <w:color w:val="333333"/>
          <w:sz w:val="21"/>
          <w:szCs w:val="21"/>
        </w:rPr>
        <w:br/>
      </w:r>
      <w:r w:rsidRPr="0045282E">
        <w:rPr>
          <w:rFonts w:ascii="Helvetica" w:eastAsia="Times New Roman" w:hAnsi="Helvetica" w:cs="Helvetica"/>
          <w:color w:val="333333"/>
          <w:sz w:val="21"/>
          <w:szCs w:val="21"/>
        </w:rPr>
        <w:br/>
      </w:r>
      <w:r w:rsidRPr="0045282E">
        <w:rPr>
          <w:rFonts w:ascii="Helvetica" w:eastAsia="Times New Roman" w:hAnsi="Helvetica" w:cs="Helvetica"/>
          <w:b/>
          <w:bCs/>
          <w:color w:val="333333"/>
          <w:sz w:val="21"/>
          <w:szCs w:val="21"/>
        </w:rPr>
        <w:t>13. Develop and document recovery strategies for each server, service, or application including:</w:t>
      </w:r>
    </w:p>
    <w:p w:rsidR="0045282E" w:rsidRPr="0045282E" w:rsidRDefault="0045282E" w:rsidP="0045282E">
      <w:pPr>
        <w:shd w:val="clear" w:color="auto" w:fill="FFFFFF"/>
        <w:spacing w:after="15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w:t>
      </w:r>
    </w:p>
    <w:p w:rsidR="0045282E" w:rsidRPr="0045282E" w:rsidRDefault="0045282E" w:rsidP="0045282E">
      <w:pP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Assumptions upon which the recovery strategies depend</w:t>
      </w:r>
      <w:r w:rsidRPr="0045282E">
        <w:rPr>
          <w:rFonts w:ascii="Helvetica" w:eastAsia="Times New Roman" w:hAnsi="Helvetica" w:cs="Helvetica"/>
          <w:color w:val="333333"/>
          <w:sz w:val="21"/>
          <w:szCs w:val="21"/>
        </w:rPr>
        <w:br/>
        <w:t>• Priorities for recovering system/function components</w:t>
      </w:r>
    </w:p>
    <w:p w:rsidR="0045282E" w:rsidRPr="0045282E" w:rsidRDefault="0045282E" w:rsidP="0045282E">
      <w:pPr>
        <w:shd w:val="clear" w:color="auto" w:fill="FFFFFF"/>
        <w:spacing w:after="0" w:line="300" w:lineRule="atLeast"/>
        <w:rPr>
          <w:rFonts w:ascii="Helvetica" w:eastAsia="Times New Roman" w:hAnsi="Helvetica" w:cs="Helvetica"/>
          <w:color w:val="333333"/>
          <w:sz w:val="21"/>
          <w:szCs w:val="21"/>
        </w:rPr>
      </w:pPr>
      <w:r w:rsidRPr="0045282E">
        <w:rPr>
          <w:rFonts w:ascii="Helvetica" w:eastAsia="Times New Roman" w:hAnsi="Helvetica" w:cs="Helvetica"/>
          <w:color w:val="333333"/>
          <w:sz w:val="21"/>
          <w:szCs w:val="21"/>
        </w:rPr>
        <w:t>• Recovery schedule</w:t>
      </w:r>
      <w:r w:rsidRPr="0045282E">
        <w:rPr>
          <w:rFonts w:ascii="Helvetica" w:eastAsia="Times New Roman" w:hAnsi="Helvetica" w:cs="Helvetica"/>
          <w:color w:val="333333"/>
          <w:sz w:val="21"/>
          <w:szCs w:val="21"/>
        </w:rPr>
        <w:br/>
        <w:t>• Location of documented step-by-step recovery procedures, if not attached to the IT Disaster Recovery Plan</w:t>
      </w:r>
    </w:p>
    <w:p w:rsidR="00B86119" w:rsidRDefault="00B86119"/>
    <w:sectPr w:rsidR="00B86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2E"/>
    <w:rsid w:val="0045282E"/>
    <w:rsid w:val="00AD2088"/>
    <w:rsid w:val="00B8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BCC4D-B2C5-47F9-A097-F9D1F85C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09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212">
          <w:marLeft w:val="600"/>
          <w:marRight w:val="0"/>
          <w:marTop w:val="0"/>
          <w:marBottom w:val="0"/>
          <w:divBdr>
            <w:top w:val="none" w:sz="0" w:space="0" w:color="auto"/>
            <w:left w:val="none" w:sz="0" w:space="0" w:color="auto"/>
            <w:bottom w:val="none" w:sz="0" w:space="0" w:color="auto"/>
            <w:right w:val="none" w:sz="0" w:space="0" w:color="auto"/>
          </w:divBdr>
        </w:div>
        <w:div w:id="726223517">
          <w:marLeft w:val="600"/>
          <w:marRight w:val="0"/>
          <w:marTop w:val="0"/>
          <w:marBottom w:val="0"/>
          <w:divBdr>
            <w:top w:val="none" w:sz="0" w:space="0" w:color="auto"/>
            <w:left w:val="none" w:sz="0" w:space="0" w:color="auto"/>
            <w:bottom w:val="none" w:sz="0" w:space="0" w:color="auto"/>
            <w:right w:val="none" w:sz="0" w:space="0" w:color="auto"/>
          </w:divBdr>
        </w:div>
        <w:div w:id="238029693">
          <w:marLeft w:val="600"/>
          <w:marRight w:val="0"/>
          <w:marTop w:val="0"/>
          <w:marBottom w:val="0"/>
          <w:divBdr>
            <w:top w:val="none" w:sz="0" w:space="0" w:color="auto"/>
            <w:left w:val="none" w:sz="0" w:space="0" w:color="auto"/>
            <w:bottom w:val="none" w:sz="0" w:space="0" w:color="auto"/>
            <w:right w:val="none" w:sz="0" w:space="0" w:color="auto"/>
          </w:divBdr>
        </w:div>
        <w:div w:id="931397898">
          <w:marLeft w:val="600"/>
          <w:marRight w:val="0"/>
          <w:marTop w:val="0"/>
          <w:marBottom w:val="0"/>
          <w:divBdr>
            <w:top w:val="none" w:sz="0" w:space="0" w:color="auto"/>
            <w:left w:val="none" w:sz="0" w:space="0" w:color="auto"/>
            <w:bottom w:val="none" w:sz="0" w:space="0" w:color="auto"/>
            <w:right w:val="none" w:sz="0" w:space="0" w:color="auto"/>
          </w:divBdr>
        </w:div>
        <w:div w:id="1455562990">
          <w:marLeft w:val="600"/>
          <w:marRight w:val="0"/>
          <w:marTop w:val="0"/>
          <w:marBottom w:val="0"/>
          <w:divBdr>
            <w:top w:val="none" w:sz="0" w:space="0" w:color="auto"/>
            <w:left w:val="none" w:sz="0" w:space="0" w:color="auto"/>
            <w:bottom w:val="none" w:sz="0" w:space="0" w:color="auto"/>
            <w:right w:val="none" w:sz="0" w:space="0" w:color="auto"/>
          </w:divBdr>
        </w:div>
        <w:div w:id="1702896597">
          <w:marLeft w:val="600"/>
          <w:marRight w:val="0"/>
          <w:marTop w:val="0"/>
          <w:marBottom w:val="0"/>
          <w:divBdr>
            <w:top w:val="none" w:sz="0" w:space="0" w:color="auto"/>
            <w:left w:val="none" w:sz="0" w:space="0" w:color="auto"/>
            <w:bottom w:val="none" w:sz="0" w:space="0" w:color="auto"/>
            <w:right w:val="none" w:sz="0" w:space="0" w:color="auto"/>
          </w:divBdr>
        </w:div>
        <w:div w:id="987827317">
          <w:marLeft w:val="600"/>
          <w:marRight w:val="0"/>
          <w:marTop w:val="0"/>
          <w:marBottom w:val="0"/>
          <w:divBdr>
            <w:top w:val="none" w:sz="0" w:space="0" w:color="auto"/>
            <w:left w:val="none" w:sz="0" w:space="0" w:color="auto"/>
            <w:bottom w:val="none" w:sz="0" w:space="0" w:color="auto"/>
            <w:right w:val="none" w:sz="0" w:space="0" w:color="auto"/>
          </w:divBdr>
        </w:div>
        <w:div w:id="1916739659">
          <w:marLeft w:val="600"/>
          <w:marRight w:val="0"/>
          <w:marTop w:val="0"/>
          <w:marBottom w:val="0"/>
          <w:divBdr>
            <w:top w:val="none" w:sz="0" w:space="0" w:color="auto"/>
            <w:left w:val="none" w:sz="0" w:space="0" w:color="auto"/>
            <w:bottom w:val="none" w:sz="0" w:space="0" w:color="auto"/>
            <w:right w:val="none" w:sz="0" w:space="0" w:color="auto"/>
          </w:divBdr>
        </w:div>
        <w:div w:id="1807967771">
          <w:marLeft w:val="600"/>
          <w:marRight w:val="0"/>
          <w:marTop w:val="0"/>
          <w:marBottom w:val="0"/>
          <w:divBdr>
            <w:top w:val="none" w:sz="0" w:space="0" w:color="auto"/>
            <w:left w:val="none" w:sz="0" w:space="0" w:color="auto"/>
            <w:bottom w:val="none" w:sz="0" w:space="0" w:color="auto"/>
            <w:right w:val="none" w:sz="0" w:space="0" w:color="auto"/>
          </w:divBdr>
        </w:div>
        <w:div w:id="904604922">
          <w:marLeft w:val="600"/>
          <w:marRight w:val="0"/>
          <w:marTop w:val="0"/>
          <w:marBottom w:val="0"/>
          <w:divBdr>
            <w:top w:val="none" w:sz="0" w:space="0" w:color="auto"/>
            <w:left w:val="none" w:sz="0" w:space="0" w:color="auto"/>
            <w:bottom w:val="none" w:sz="0" w:space="0" w:color="auto"/>
            <w:right w:val="none" w:sz="0" w:space="0" w:color="auto"/>
          </w:divBdr>
        </w:div>
        <w:div w:id="373238899">
          <w:marLeft w:val="600"/>
          <w:marRight w:val="0"/>
          <w:marTop w:val="0"/>
          <w:marBottom w:val="0"/>
          <w:divBdr>
            <w:top w:val="none" w:sz="0" w:space="0" w:color="auto"/>
            <w:left w:val="none" w:sz="0" w:space="0" w:color="auto"/>
            <w:bottom w:val="none" w:sz="0" w:space="0" w:color="auto"/>
            <w:right w:val="none" w:sz="0" w:space="0" w:color="auto"/>
          </w:divBdr>
        </w:div>
        <w:div w:id="1245602467">
          <w:marLeft w:val="600"/>
          <w:marRight w:val="0"/>
          <w:marTop w:val="0"/>
          <w:marBottom w:val="0"/>
          <w:divBdr>
            <w:top w:val="none" w:sz="0" w:space="0" w:color="auto"/>
            <w:left w:val="none" w:sz="0" w:space="0" w:color="auto"/>
            <w:bottom w:val="none" w:sz="0" w:space="0" w:color="auto"/>
            <w:right w:val="none" w:sz="0" w:space="0" w:color="auto"/>
          </w:divBdr>
        </w:div>
        <w:div w:id="66049848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428</Words>
  <Characters>2446</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