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21.399994pt;margin-top:35.415588pt;width:119.55pt;height:14.2pt;mso-position-horizontal-relative:page;mso-position-vertical-relative:page;z-index:-5896" type="#_x0000_t202" filled="false" stroked="false">
            <v:textbox inset="0,0,0,0">
              <w:txbxContent>
                <w:p>
                  <w:pPr>
                    <w:spacing w:before="10"/>
                    <w:ind w:left="20" w:right="0" w:firstLine="0"/>
                    <w:jc w:val="left"/>
                    <w:rPr>
                      <w:i/>
                      <w:sz w:val="22"/>
                    </w:rPr>
                  </w:pPr>
                  <w:r>
                    <w:rPr>
                      <w:i/>
                      <w:sz w:val="22"/>
                    </w:rPr>
                    <w:t>Enclosure 4: Attachment 2</w:t>
                  </w:r>
                </w:p>
              </w:txbxContent>
            </v:textbox>
            <w10:wrap type="none"/>
          </v:shape>
        </w:pict>
      </w:r>
      <w:r>
        <w:rPr/>
        <w:pict>
          <v:shape style="position:absolute;margin-left:126.139977pt;margin-top:71.466667pt;width:359.7pt;height:29.1pt;mso-position-horizontal-relative:page;mso-position-vertical-relative:page;z-index:-5872" type="#_x0000_t202" filled="false" stroked="false">
            <v:textbox inset="0,0,0,0">
              <w:txbxContent>
                <w:p>
                  <w:pPr>
                    <w:spacing w:before="10"/>
                    <w:ind w:left="30" w:right="30" w:firstLine="0"/>
                    <w:jc w:val="center"/>
                    <w:rPr>
                      <w:b/>
                      <w:sz w:val="24"/>
                    </w:rPr>
                  </w:pPr>
                  <w:r>
                    <w:rPr>
                      <w:b/>
                      <w:sz w:val="24"/>
                    </w:rPr>
                    <w:t>Mission Statement Examples</w:t>
                  </w:r>
                </w:p>
                <w:p>
                  <w:pPr>
                    <w:spacing w:before="0"/>
                    <w:ind w:left="30" w:right="30" w:firstLine="0"/>
                    <w:jc w:val="center"/>
                    <w:rPr>
                      <w:b/>
                      <w:sz w:val="24"/>
                    </w:rPr>
                  </w:pPr>
                  <w:r>
                    <w:rPr>
                      <w:b/>
                      <w:sz w:val="24"/>
                    </w:rPr>
                    <w:t>Community College of Rhode Island Peer &amp; Aspirational Institutions</w:t>
                  </w:r>
                </w:p>
              </w:txbxContent>
            </v:textbox>
            <w10:wrap type="none"/>
          </v:shape>
        </w:pict>
      </w:r>
      <w:r>
        <w:rPr/>
        <w:pict>
          <v:shape style="position:absolute;margin-left:71.000153pt;margin-top:112.746704pt;width:457.55pt;height:56.7pt;mso-position-horizontal-relative:page;mso-position-vertical-relative:page;z-index:-5848" type="#_x0000_t202" filled="false" stroked="false">
            <v:textbox inset="0,0,0,0">
              <w:txbxContent>
                <w:p>
                  <w:pPr>
                    <w:pStyle w:val="BodyText"/>
                  </w:pPr>
                  <w:r>
                    <w:rPr>
                      <w:b/>
                    </w:rPr>
                    <w:t>Bergen Community College </w:t>
                  </w:r>
                  <w:r>
                    <w:rPr/>
                    <w:t>provides high-quality, relevant, and varied educational programs and opportunities for the intellectual, cultural, and personal growth of all members of its community. The College values its role as an educational leader, embracing change and responding to the complex needs of those it serves.</w:t>
                  </w:r>
                </w:p>
              </w:txbxContent>
            </v:textbox>
            <w10:wrap type="none"/>
          </v:shape>
        </w:pict>
      </w:r>
      <w:r>
        <w:rPr/>
        <w:pict>
          <v:shape style="position:absolute;margin-left:71.000343pt;margin-top:181.746521pt;width:446.55pt;height:42.9pt;mso-position-horizontal-relative:page;mso-position-vertical-relative:page;z-index:-5824" type="#_x0000_t202" filled="false" stroked="false">
            <v:textbox inset="0,0,0,0">
              <w:txbxContent>
                <w:p>
                  <w:pPr>
                    <w:pStyle w:val="BodyText"/>
                    <w:ind w:right="17"/>
                    <w:jc w:val="both"/>
                  </w:pPr>
                  <w:r>
                    <w:rPr/>
                    <w:t>The mission of the </w:t>
                  </w:r>
                  <w:r>
                    <w:rPr>
                      <w:b/>
                    </w:rPr>
                    <w:t>Community College of Allegheny County </w:t>
                  </w:r>
                  <w:r>
                    <w:rPr/>
                    <w:t>is to make quality education affordable and accessible to the community, to provide leadership in workforce training, and support the economic development of the region.</w:t>
                  </w:r>
                </w:p>
              </w:txbxContent>
            </v:textbox>
            <w10:wrap type="none"/>
          </v:shape>
        </w:pict>
      </w:r>
      <w:r>
        <w:rPr/>
        <w:pict>
          <v:shape style="position:absolute;margin-left:71.000343pt;margin-top:236.946228pt;width:138.75pt;height:15.3pt;mso-position-horizontal-relative:page;mso-position-vertical-relative:page;z-index:-5800" type="#_x0000_t202" filled="false" stroked="false">
            <v:textbox inset="0,0,0,0">
              <w:txbxContent>
                <w:p>
                  <w:pPr>
                    <w:pStyle w:val="BodyText"/>
                  </w:pPr>
                  <w:r>
                    <w:rPr/>
                    <w:t>CCAC’s Institutional Goals:</w:t>
                  </w:r>
                </w:p>
              </w:txbxContent>
            </v:textbox>
            <w10:wrap type="none"/>
          </v:shape>
        </w:pict>
      </w:r>
      <w:r>
        <w:rPr/>
        <w:pict>
          <v:shape style="position:absolute;margin-left:89.000343pt;margin-top:250.275208pt;width:7.5pt;height:90pt;mso-position-horizontal-relative:page;mso-position-vertical-relative:page;z-index:-5776"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07.000343pt;margin-top:251.646301pt;width:425.25pt;height:160.15pt;mso-position-horizontal-relative:page;mso-position-vertical-relative:page;z-index:-5752" type="#_x0000_t202" filled="false" stroked="false">
            <v:textbox inset="0,0,0,0">
              <w:txbxContent>
                <w:p>
                  <w:pPr>
                    <w:pStyle w:val="BodyText"/>
                  </w:pPr>
                  <w:r>
                    <w:rPr/>
                    <w:t>To provide access to education without the limits of time, place, and distance.</w:t>
                  </w:r>
                </w:p>
                <w:p>
                  <w:pPr>
                    <w:pStyle w:val="BodyText"/>
                    <w:spacing w:line="254" w:lineRule="auto" w:before="16"/>
                    <w:ind w:right="447"/>
                  </w:pPr>
                  <w:r>
                    <w:rPr/>
                    <w:t>To make four-year degrees more accessible by providing quality transfer programs. To provide career programs that meet the needs of students and employers.</w:t>
                  </w:r>
                </w:p>
                <w:p>
                  <w:pPr>
                    <w:pStyle w:val="BodyText"/>
                    <w:spacing w:line="254" w:lineRule="auto" w:before="2"/>
                    <w:ind w:right="1726"/>
                  </w:pPr>
                  <w:r>
                    <w:rPr/>
                    <w:t>To provide opportunities for personal growth and cultural enrichment. To deliver support programs to help students achieve their goals.</w:t>
                  </w:r>
                </w:p>
                <w:p>
                  <w:pPr>
                    <w:pStyle w:val="BodyText"/>
                    <w:spacing w:before="1"/>
                    <w:ind w:right="1"/>
                  </w:pPr>
                  <w:r>
                    <w:rPr/>
                    <w:t>To foster institutional diversity that reflects the demographic and cultural characteristics of our community.</w:t>
                  </w:r>
                </w:p>
                <w:p>
                  <w:pPr>
                    <w:pStyle w:val="BodyText"/>
                    <w:spacing w:before="18"/>
                    <w:ind w:right="527"/>
                  </w:pPr>
                  <w:r>
                    <w:rPr/>
                    <w:t>To lead in the creation of partnerships that foster the economic development of the region.</w:t>
                  </w:r>
                </w:p>
                <w:p>
                  <w:pPr>
                    <w:pStyle w:val="BodyText"/>
                    <w:spacing w:line="254" w:lineRule="auto" w:before="16"/>
                    <w:ind w:right="953"/>
                  </w:pPr>
                  <w:r>
                    <w:rPr/>
                    <w:t>To provide students with an understanding and appreciation of world cultures. To help prepare our community to succeed in the global economy.</w:t>
                  </w:r>
                </w:p>
              </w:txbxContent>
            </v:textbox>
            <w10:wrap type="none"/>
          </v:shape>
        </w:pict>
      </w:r>
      <w:r>
        <w:rPr/>
        <w:pict>
          <v:shape style="position:absolute;margin-left:89.000519pt;margin-top:352.035339pt;width:7.5pt;height:16.75pt;mso-position-horizontal-relative:page;mso-position-vertical-relative:page;z-index:-57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000519pt;margin-top:380.475464pt;width:7.5pt;height:31.35pt;mso-position-horizontal-relative:page;mso-position-vertical-relative:page;z-index:-5704"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71.000519pt;margin-top:424.086609pt;width:464.9pt;height:56.7pt;mso-position-horizontal-relative:page;mso-position-vertical-relative:page;z-index:-5680" type="#_x0000_t202" filled="false" stroked="false">
            <v:textbox inset="0,0,0,0">
              <w:txbxContent>
                <w:p>
                  <w:pPr>
                    <w:pStyle w:val="BodyText"/>
                  </w:pPr>
                  <w:r>
                    <w:rPr>
                      <w:b/>
                    </w:rPr>
                    <w:t>Cuyahoga Community College</w:t>
                  </w:r>
                  <w:r>
                    <w:rPr/>
                    <w:t>: To provide high quality, accessible and affordable educational opportunities and services — including university transfer, technical and lifelong learning programs —that promote individual development and improve the overall quality of life in a multicultural community.</w:t>
                  </w:r>
                </w:p>
              </w:txbxContent>
            </v:textbox>
            <w10:wrap type="none"/>
          </v:shape>
        </w:pict>
      </w:r>
      <w:r>
        <w:rPr/>
        <w:pict>
          <v:shape style="position:absolute;margin-left:71.000702pt;margin-top:493.086243pt;width:460.55pt;height:70.5pt;mso-position-horizontal-relative:page;mso-position-vertical-relative:page;z-index:-5656" type="#_x0000_t202" filled="false" stroked="false">
            <v:textbox inset="0,0,0,0">
              <w:txbxContent>
                <w:p>
                  <w:pPr>
                    <w:pStyle w:val="BodyText"/>
                    <w:ind w:right="1"/>
                  </w:pPr>
                  <w:r>
                    <w:rPr/>
                    <w:t>We at </w:t>
                  </w:r>
                  <w:r>
                    <w:rPr>
                      <w:b/>
                    </w:rPr>
                    <w:t>Massasoit Community College </w:t>
                  </w:r>
                  <w:r>
                    <w:rPr/>
                    <w:t>pride ourselves in our tradition of excellence and in our historic mission of accepting all who desire to learn. We are dedicated to creating a challenging and supportive environment where the members of our community can attain their educational and personal goals. We encourage all to take responsibility for their learning, to discover their potential, and to achieve their ambitions.</w:t>
                  </w:r>
                </w:p>
              </w:txbxContent>
            </v:textbox>
            <w10:wrap type="none"/>
          </v:shape>
        </w:pict>
      </w:r>
      <w:r>
        <w:rPr/>
        <w:pict>
          <v:shape style="position:absolute;margin-left:71.000458pt;margin-top:575.825928pt;width:464.9pt;height:56.7pt;mso-position-horizontal-relative:page;mso-position-vertical-relative:page;z-index:-5632" type="#_x0000_t202" filled="false" stroked="false">
            <v:textbox inset="0,0,0,0">
              <w:txbxContent>
                <w:p>
                  <w:pPr>
                    <w:pStyle w:val="BodyText"/>
                  </w:pPr>
                  <w:r>
                    <w:rPr/>
                    <w:t>Recognizing that our diversity is an important source of our strength, we respond to the needs of our community and expect that everyone at Massasoit respects the rights and affirms the dignity of all people. We strive to construct a safe and trustful environment where together we can engage in open dialogue.</w:t>
                  </w:r>
                </w:p>
              </w:txbxContent>
            </v:textbox>
            <w10:wrap type="none"/>
          </v:shape>
        </w:pict>
      </w:r>
      <w:r>
        <w:rPr/>
        <w:pict>
          <v:shape style="position:absolute;margin-left:71.000282pt;margin-top:645.065796pt;width:460.85pt;height:56.75pt;mso-position-horizontal-relative:page;mso-position-vertical-relative:page;z-index:-5608" type="#_x0000_t202" filled="false" stroked="false">
            <v:textbox inset="0,0,0,0">
              <w:txbxContent>
                <w:p>
                  <w:pPr>
                    <w:pStyle w:val="BodyText"/>
                    <w:ind w:right="-2"/>
                  </w:pPr>
                  <w:r>
                    <w:rPr/>
                    <w:t>The mission of </w:t>
                  </w:r>
                  <w:r>
                    <w:rPr>
                      <w:b/>
                    </w:rPr>
                    <w:t>Monroe Community College </w:t>
                  </w:r>
                  <w:r>
                    <w:rPr/>
                    <w:t>is to provide a high quality learning environment to a diverse community. In offering education and training opportunities, student success is the College's highest priority; as such, the College is committed to access, teaching excellence, comprehensiveness, lifelong learning, partnership building and economic development.</w:t>
                  </w:r>
                </w:p>
              </w:txbxContent>
            </v:textbox>
            <w10:wrap type="none"/>
          </v:shape>
        </w:pict>
      </w:r>
    </w:p>
    <w:p>
      <w:pPr>
        <w:spacing w:after="0"/>
        <w:rPr>
          <w:sz w:val="2"/>
          <w:szCs w:val="2"/>
        </w:rPr>
        <w:sectPr>
          <w:type w:val="continuous"/>
          <w:pgSz w:w="12240" w:h="15840"/>
          <w:pgMar w:top="700" w:bottom="280" w:left="1300" w:right="700"/>
        </w:sectPr>
      </w:pPr>
    </w:p>
    <w:p>
      <w:pPr>
        <w:rPr>
          <w:sz w:val="2"/>
          <w:szCs w:val="2"/>
        </w:rPr>
      </w:pPr>
      <w:r>
        <w:rPr/>
        <w:pict>
          <v:shape style="position:absolute;margin-left:74pt;margin-top:71.466599pt;width:380.7pt;height:15.3pt;mso-position-horizontal-relative:page;mso-position-vertical-relative:page;z-index:-5584" type="#_x0000_t202" filled="false" stroked="false">
            <v:textbox inset="0,0,0,0">
              <w:txbxContent>
                <w:p>
                  <w:pPr>
                    <w:spacing w:before="10"/>
                    <w:ind w:left="20" w:right="0" w:firstLine="0"/>
                    <w:jc w:val="left"/>
                    <w:rPr>
                      <w:b/>
                      <w:sz w:val="24"/>
                    </w:rPr>
                  </w:pPr>
                  <w:r>
                    <w:rPr>
                      <w:b/>
                      <w:sz w:val="24"/>
                    </w:rPr>
                    <w:t>Mission Statement Examples – Rhode Island College Peer &amp; Aspirational</w:t>
                  </w:r>
                </w:p>
              </w:txbxContent>
            </v:textbox>
            <w10:wrap type="none"/>
          </v:shape>
        </w:pict>
      </w:r>
      <w:r>
        <w:rPr/>
        <w:pict>
          <v:shape style="position:absolute;margin-left:71pt;margin-top:98.946518pt;width:469.8pt;height:56.7pt;mso-position-horizontal-relative:page;mso-position-vertical-relative:page;z-index:-5560" type="#_x0000_t202" filled="false" stroked="false">
            <v:textbox inset="0,0,0,0">
              <w:txbxContent>
                <w:p>
                  <w:pPr>
                    <w:pStyle w:val="BodyText"/>
                    <w:ind w:right="-1"/>
                  </w:pPr>
                  <w:r>
                    <w:rPr>
                      <w:b/>
                    </w:rPr>
                    <w:t>Central Connecticut State University </w:t>
                  </w:r>
                  <w:r>
                    <w:rPr/>
                    <w:t>is a community of learners dedicated to teaching and to scholarship. We encourage the development and application of knowledge and ideas through research and outreach activities. We prepare students to be thoughtful, responsible and successful citizens.</w:t>
                  </w:r>
                </w:p>
              </w:txbxContent>
            </v:textbox>
            <w10:wrap type="none"/>
          </v:shape>
        </w:pict>
      </w:r>
      <w:r>
        <w:rPr/>
        <w:pict>
          <v:shape style="position:absolute;margin-left:70.999817pt;margin-top:167.946335pt;width:467.9pt;height:84.3pt;mso-position-horizontal-relative:page;mso-position-vertical-relative:page;z-index:-5536" type="#_x0000_t202" filled="false" stroked="false">
            <v:textbox inset="0,0,0,0">
              <w:txbxContent>
                <w:p>
                  <w:pPr>
                    <w:pStyle w:val="BodyText"/>
                  </w:pPr>
                  <w:r>
                    <w:rPr>
                      <w:b/>
                    </w:rPr>
                    <w:t>University of Wisconsin Oshkosh</w:t>
                  </w:r>
                  <w:r>
                    <w:rPr/>
                    <w:t>: Ours is a comprehensive public university with unique ties to both urban and rural environments. We have a tradition of strong programs in the arts and sciences and in select professional career fields. Our faculty and staff are united in believing that the fundamental purpose of a university education is to develop thinking men and women capable of independent growth and adaptation in all roles of life. Accordingly, our select mission as a university is:</w:t>
                  </w:r>
                </w:p>
              </w:txbxContent>
            </v:textbox>
            <w10:wrap type="none"/>
          </v:shape>
        </w:pict>
      </w:r>
      <w:r>
        <w:rPr/>
        <w:pict>
          <v:shape style="position:absolute;margin-left:89pt;margin-top:250.274948pt;width:7.5pt;height:31.35pt;mso-position-horizontal-relative:page;mso-position-vertical-relative:page;z-index:-5512"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06.999634pt;margin-top:251.646042pt;width:433.85pt;height:324.850pt;mso-position-horizontal-relative:page;mso-position-vertical-relative:page;z-index:-5488" type="#_x0000_t202" filled="false" stroked="false">
            <v:textbox inset="0,0,0,0">
              <w:txbxContent>
                <w:p>
                  <w:pPr>
                    <w:pStyle w:val="BodyText"/>
                  </w:pPr>
                  <w:r>
                    <w:rPr/>
                    <w:t>To acquire, preserve, and disseminate knowledge.</w:t>
                  </w:r>
                </w:p>
                <w:p>
                  <w:pPr>
                    <w:pStyle w:val="BodyText"/>
                    <w:spacing w:before="16"/>
                    <w:ind w:right="17"/>
                  </w:pPr>
                  <w:r>
                    <w:rPr/>
                    <w:t>To provide undergraduate course-work designed to develop learning proficiencies and to cultivate the values and perspectives of educated citizens--in particular, respect for human dignity and cultural diversity, commitment to personal excellence, and the habit of taking</w:t>
                  </w:r>
                  <w:r>
                    <w:rPr>
                      <w:spacing w:val="-2"/>
                    </w:rPr>
                    <w:t> </w:t>
                  </w:r>
                  <w:r>
                    <w:rPr/>
                    <w:t>thought.</w:t>
                  </w:r>
                </w:p>
                <w:p>
                  <w:pPr>
                    <w:pStyle w:val="BodyText"/>
                    <w:spacing w:before="17"/>
                    <w:ind w:right="17"/>
                  </w:pPr>
                  <w:r>
                    <w:rPr/>
                    <w:t>To provide undergraduate course-work designed to develop learning proficiencies and to cultivate the values and perspectives of educated citizens--in particular, respect for human dignity and cultural diversity, commitment to personal excellence, and the habit of taking</w:t>
                  </w:r>
                  <w:r>
                    <w:rPr>
                      <w:spacing w:val="-2"/>
                    </w:rPr>
                    <w:t> </w:t>
                  </w:r>
                  <w:r>
                    <w:rPr/>
                    <w:t>thought.</w:t>
                  </w:r>
                </w:p>
                <w:p>
                  <w:pPr>
                    <w:pStyle w:val="BodyText"/>
                    <w:spacing w:before="18"/>
                    <w:ind w:right="73"/>
                  </w:pPr>
                  <w:r>
                    <w:rPr/>
                    <w:t>To challenge students to develop their talents, intellectual interests, and creative abilities; to promote an appreciation for both continuity and change; to provide the impetus for a lifelong commitment to, and enthusiasm for, learning; and to prepare persons for critical evaluation and decision making.</w:t>
                  </w:r>
                </w:p>
                <w:p>
                  <w:pPr>
                    <w:pStyle w:val="BodyText"/>
                    <w:spacing w:before="17"/>
                    <w:ind w:right="220"/>
                  </w:pPr>
                  <w:r>
                    <w:rPr/>
                    <w:t>To expect scholarly activity, including research, scholarship, and creative endeavor that supports its programs at the associate and baccalaureate degree level, its selected graduate programs, and its special mission.</w:t>
                  </w:r>
                </w:p>
                <w:p>
                  <w:pPr>
                    <w:pStyle w:val="BodyText"/>
                    <w:spacing w:before="17"/>
                    <w:ind w:right="520"/>
                  </w:pPr>
                  <w:r>
                    <w:rPr/>
                    <w:t>To provide a broad range of undergraduate degree programs in the arts and sciences, business administration, education, and nursing.</w:t>
                  </w:r>
                </w:p>
                <w:p>
                  <w:pPr>
                    <w:pStyle w:val="BodyText"/>
                    <w:spacing w:before="18"/>
                    <w:ind w:right="226"/>
                    <w:jc w:val="both"/>
                  </w:pPr>
                  <w:r>
                    <w:rPr/>
                    <w:t>To offer an array of master's and specialist level graduate programs which grow clearly from areas of undergraduate strength and meet the emerging needs of the regions which we serve.</w:t>
                  </w:r>
                </w:p>
                <w:p>
                  <w:pPr>
                    <w:pStyle w:val="BodyText"/>
                    <w:spacing w:before="17"/>
                    <w:ind w:right="706"/>
                  </w:pPr>
                  <w:r>
                    <w:rPr/>
                    <w:t>To develop and offer programs and services responding to the needs of the people, institutions, and communities which we serve.</w:t>
                  </w:r>
                </w:p>
              </w:txbxContent>
            </v:textbox>
            <w10:wrap type="none"/>
          </v:shape>
        </w:pict>
      </w:r>
      <w:r>
        <w:rPr/>
        <w:pict>
          <v:shape style="position:absolute;margin-left:88.999817pt;margin-top:320.954926pt;width:7.5pt;height:16.75pt;mso-position-horizontal-relative:page;mso-position-vertical-relative:page;z-index:-546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8.999634pt;margin-top:377.05481pt;width:7.5pt;height:16.75pt;mso-position-horizontal-relative:page;mso-position-vertical-relative:page;z-index:-544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8.999634pt;margin-top:433.094788pt;width:7.5pt;height:16.75pt;mso-position-horizontal-relative:page;mso-position-vertical-relative:page;z-index:-5416"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8.999634pt;margin-top:475.334839pt;width:7.5pt;height:16.75pt;mso-position-horizontal-relative:page;mso-position-vertical-relative:page;z-index:-5392"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8.999634pt;margin-top:503.834839pt;width:7.5pt;height:16.75pt;mso-position-horizontal-relative:page;mso-position-vertical-relative:page;z-index:-536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8.999634pt;margin-top:546.07489pt;width:7.5pt;height:16.75pt;mso-position-horizontal-relative:page;mso-position-vertical-relative:page;z-index:-534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0.999634pt;margin-top:588.786072pt;width:460.3pt;height:84.3pt;mso-position-horizontal-relative:page;mso-position-vertical-relative:page;z-index:-5320" type="#_x0000_t202" filled="false" stroked="false">
            <v:textbox inset="0,0,0,0">
              <w:txbxContent>
                <w:p>
                  <w:pPr>
                    <w:pStyle w:val="BodyText"/>
                    <w:ind w:right="1"/>
                  </w:pPr>
                  <w:r>
                    <w:rPr>
                      <w:b/>
                    </w:rPr>
                    <w:t>Western Connecticut State University </w:t>
                  </w:r>
                  <w:r>
                    <w:rPr/>
                    <w:t>is committed to the philosophy that all individuals should be given an opportunity for the development of their skills and knowledge, as well as an awareness of their role and responsibilities in society. WCSU's population consists of many individuals with varied interests and backgrounds. The Student Center/Student Life Office mission seeks to create for the individual student an environment that provides for the personal integration of educational, recreational and social experiences.</w:t>
                  </w:r>
                </w:p>
              </w:txbxContent>
            </v:textbox>
            <w10:wrap type="none"/>
          </v:shape>
        </w:pict>
      </w:r>
      <w:r>
        <w:rPr/>
        <w:pict>
          <v:shape style="position:absolute;margin-left:302pt;margin-top:743.886658pt;width:8pt;height:15.3pt;mso-position-horizontal-relative:page;mso-position-vertical-relative:page;z-index:-5296" type="#_x0000_t202" filled="false" stroked="false">
            <v:textbox inset="0,0,0,0">
              <w:txbxContent>
                <w:p>
                  <w:pPr>
                    <w:pStyle w:val="BodyText"/>
                  </w:pPr>
                  <w:r>
                    <w:rPr/>
                    <w:t>2</w:t>
                  </w:r>
                </w:p>
              </w:txbxContent>
            </v:textbox>
            <w10:wrap type="none"/>
          </v:shape>
        </w:pict>
      </w:r>
      <w:r>
        <w:rPr/>
        <w:pict>
          <v:shape style="position:absolute;margin-left:506.718964pt;margin-top:743.730957pt;width:65.1500pt;height:13.1pt;mso-position-horizontal-relative:page;mso-position-vertical-relative:page;z-index:-5272" type="#_x0000_t202" filled="false" stroked="false">
            <v:textbox inset="0,0,0,0">
              <w:txbxContent>
                <w:p>
                  <w:pPr>
                    <w:spacing w:before="12"/>
                    <w:ind w:left="20" w:right="0" w:firstLine="0"/>
                    <w:jc w:val="left"/>
                    <w:rPr>
                      <w:i/>
                      <w:sz w:val="20"/>
                    </w:rPr>
                  </w:pPr>
                  <w:r>
                    <w:rPr>
                      <w:i/>
                      <w:sz w:val="20"/>
                    </w:rPr>
                    <w:t>RIOHE 10/7/04</w:t>
                  </w:r>
                </w:p>
              </w:txbxContent>
            </v:textbox>
            <w10:wrap type="none"/>
          </v:shape>
        </w:pict>
      </w:r>
    </w:p>
    <w:p>
      <w:pPr>
        <w:spacing w:after="0"/>
        <w:rPr>
          <w:sz w:val="2"/>
          <w:szCs w:val="2"/>
        </w:rPr>
        <w:sectPr>
          <w:pgSz w:w="12240" w:h="15840"/>
          <w:pgMar w:top="1420" w:bottom="280" w:left="1300" w:right="700"/>
        </w:sectPr>
      </w:pPr>
    </w:p>
    <w:p>
      <w:pPr>
        <w:rPr>
          <w:sz w:val="2"/>
          <w:szCs w:val="2"/>
        </w:rPr>
      </w:pPr>
      <w:r>
        <w:rPr/>
        <w:pict>
          <v:shape style="position:absolute;margin-left:102.979919pt;margin-top:71.466599pt;width:406pt;height:15.3pt;mso-position-horizontal-relative:page;mso-position-vertical-relative:page;z-index:-5248" type="#_x0000_t202" filled="false" stroked="false">
            <v:textbox inset="0,0,0,0">
              <w:txbxContent>
                <w:p>
                  <w:pPr>
                    <w:spacing w:before="10"/>
                    <w:ind w:left="20" w:right="0" w:firstLine="0"/>
                    <w:jc w:val="left"/>
                    <w:rPr>
                      <w:b/>
                      <w:sz w:val="24"/>
                    </w:rPr>
                  </w:pPr>
                  <w:r>
                    <w:rPr>
                      <w:b/>
                      <w:sz w:val="24"/>
                    </w:rPr>
                    <w:t>Mission Statement Examples – University of Rhode Island Peer &amp; Aspirational</w:t>
                  </w:r>
                </w:p>
              </w:txbxContent>
            </v:textbox>
            <w10:wrap type="none"/>
          </v:shape>
        </w:pict>
      </w:r>
      <w:r>
        <w:rPr/>
        <w:pict>
          <v:shape style="position:absolute;margin-left:71pt;margin-top:98.946518pt;width:465.55pt;height:139.5pt;mso-position-horizontal-relative:page;mso-position-vertical-relative:page;z-index:-5224" type="#_x0000_t202" filled="false" stroked="false">
            <v:textbox inset="0,0,0,0">
              <w:txbxContent>
                <w:p>
                  <w:pPr>
                    <w:pStyle w:val="BodyText"/>
                  </w:pPr>
                  <w:r>
                    <w:rPr>
                      <w:b/>
                    </w:rPr>
                    <w:t>North Dakota State University </w:t>
                  </w:r>
                  <w:r>
                    <w:rPr/>
                    <w:t>affirms its heritage as North Dakota's land-grant institution. Through its colleges, station and extension, NDSU, as a member of North Dakota University System, provides instruction, research and public service. NDSU educates and serves the people of North Dakota, the region, the nation and the international community by discovering, communicating, applying and preserving knowledge. The university fosters the personal growth of individuals by creating an environment which nurtures intellectual, social and cultural development. It offers academic and professional programs, which lead to degrees from the baccalaureate through the doctorate. NDSU assumes a coordinating role in the North Dakota University System for academic computing and economic development. The university provides information systems necessary to accomplish its mission.</w:t>
                  </w:r>
                </w:p>
              </w:txbxContent>
            </v:textbox>
            <w10:wrap type="none"/>
          </v:shape>
        </w:pict>
      </w:r>
      <w:r>
        <w:rPr/>
        <w:pict>
          <v:shape style="position:absolute;margin-left:71pt;margin-top:250.745895pt;width:468pt;height:70.5pt;mso-position-horizontal-relative:page;mso-position-vertical-relative:page;z-index:-5200" type="#_x0000_t202" filled="false" stroked="false">
            <v:textbox inset="0,0,0,0">
              <w:txbxContent>
                <w:p>
                  <w:pPr>
                    <w:pStyle w:val="BodyText"/>
                  </w:pPr>
                  <w:r>
                    <w:rPr>
                      <w:b/>
                    </w:rPr>
                    <w:t>The University of Vermont </w:t>
                  </w:r>
                  <w:r>
                    <w:rPr/>
                    <w:t>is a distinguished institution with a proud history, based on a strong intellectual community and a concern for the quality of life in the communities that it serves.</w:t>
                  </w:r>
                </w:p>
                <w:p>
                  <w:pPr>
                    <w:pStyle w:val="BodyText"/>
                    <w:spacing w:before="0"/>
                    <w:ind w:right="42"/>
                  </w:pPr>
                  <w:r>
                    <w:rPr/>
                    <w:t>UVM combines the intellectual resources and breadth of opportunity of a research university with the close student-teacher interactions typical of a liberal education, and supports its mission through the effective use of technology. Our aspirations reflect our values, which include:</w:t>
                  </w:r>
                </w:p>
              </w:txbxContent>
            </v:textbox>
            <w10:wrap type="none"/>
          </v:shape>
        </w:pict>
      </w:r>
      <w:r>
        <w:rPr/>
        <w:pict>
          <v:shape style="position:absolute;margin-left:89.000183pt;margin-top:319.274597pt;width:7.5pt;height:46pt;mso-position-horizontal-relative:page;mso-position-vertical-relative:page;z-index:-5176"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07.000183pt;margin-top:320.645691pt;width:426.6pt;height:129.15pt;mso-position-horizontal-relative:page;mso-position-vertical-relative:page;z-index:-5152" type="#_x0000_t202" filled="false" stroked="false">
            <v:textbox inset="0,0,0,0">
              <w:txbxContent>
                <w:p>
                  <w:pPr>
                    <w:pStyle w:val="BodyText"/>
                    <w:spacing w:line="254" w:lineRule="auto"/>
                    <w:ind w:right="1727"/>
                  </w:pPr>
                  <w:r>
                    <w:rPr/>
                    <w:t>A commitment to rigorous intellectual inquiry and critical thinking; An abiding concern for the environment, health, and liberal education;</w:t>
                  </w:r>
                </w:p>
                <w:p>
                  <w:pPr>
                    <w:pStyle w:val="BodyText"/>
                    <w:spacing w:before="0"/>
                    <w:ind w:right="493"/>
                  </w:pPr>
                  <w:r>
                    <w:rPr/>
                    <w:t>A strong commitment to diversity in the student body, the faculty and staff, and the curriculum;</w:t>
                  </w:r>
                </w:p>
                <w:p>
                  <w:pPr>
                    <w:pStyle w:val="BodyText"/>
                    <w:spacing w:before="18"/>
                    <w:ind w:right="120"/>
                  </w:pPr>
                  <w:r>
                    <w:rPr/>
                    <w:t>A willingness to address difficult societal issues with honesty, civility, and practicality. We are a community that values respect, integrity, innovation, openness, justice, and responsibility and promotes the intellectual capacity to engage in ethical decision making; and</w:t>
                  </w:r>
                </w:p>
                <w:p>
                  <w:pPr>
                    <w:pStyle w:val="BodyText"/>
                    <w:spacing w:before="17"/>
                  </w:pPr>
                  <w:r>
                    <w:rPr/>
                    <w:t>An appreciation of our commitment to the State of Vermont and our land-grant heritage.</w:t>
                  </w:r>
                </w:p>
              </w:txbxContent>
            </v:textbox>
            <w10:wrap type="none"/>
          </v:shape>
        </w:pict>
      </w:r>
      <w:r>
        <w:rPr/>
        <w:pict>
          <v:shape style="position:absolute;margin-left:89.000183pt;margin-top:377.054596pt;width:7.5pt;height:16.75pt;mso-position-horizontal-relative:page;mso-position-vertical-relative:page;z-index:-5128"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89.000366pt;margin-top:433.094574pt;width:7.5pt;height:16.75pt;mso-position-horizontal-relative:page;mso-position-vertical-relative:page;z-index:-5104"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71.000366pt;margin-top:462.005646pt;width:468.6pt;height:98.1pt;mso-position-horizontal-relative:page;mso-position-vertical-relative:page;z-index:-5080" type="#_x0000_t202" filled="false" stroked="false">
            <v:textbox inset="0,0,0,0">
              <w:txbxContent>
                <w:p>
                  <w:pPr>
                    <w:pStyle w:val="BodyText"/>
                    <w:ind w:right="1"/>
                  </w:pPr>
                  <w:r>
                    <w:rPr/>
                    <w:t>The central purpose of the </w:t>
                  </w:r>
                  <w:r>
                    <w:rPr>
                      <w:b/>
                    </w:rPr>
                    <w:t>University of Virginia </w:t>
                  </w:r>
                  <w:r>
                    <w:rPr/>
                    <w:t>is to enrich the mind by stimulating and sustaining a spirit of free inquiry directed to understanding the nature of the universe and the role of mankind in it. Activities designed to quicken, discipline, and enlarge the intellectual and creative capacities, as well as the aesthetic and ethical awareness, of the members of the University and to record, preserve, and disseminate the results of intellectual discovery and creative endeavor serve this purpose. In fulfilling it, the University places the highest priority on achieving eminence as a center of higher learning.</w:t>
                  </w:r>
                </w:p>
              </w:txbxContent>
            </v:textbox>
            <w10:wrap type="none"/>
          </v:shape>
        </w:pict>
      </w:r>
      <w:r>
        <w:rPr/>
        <w:pict>
          <v:shape style="position:absolute;margin-left:302pt;margin-top:743.886658pt;width:8pt;height:15.3pt;mso-position-horizontal-relative:page;mso-position-vertical-relative:page;z-index:-5056" type="#_x0000_t202" filled="false" stroked="false">
            <v:textbox inset="0,0,0,0">
              <w:txbxContent>
                <w:p>
                  <w:pPr>
                    <w:pStyle w:val="BodyText"/>
                  </w:pPr>
                  <w:r>
                    <w:rPr/>
                    <w:t>3</w:t>
                  </w:r>
                </w:p>
              </w:txbxContent>
            </v:textbox>
            <w10:wrap type="none"/>
          </v:shape>
        </w:pict>
      </w:r>
      <w:r>
        <w:rPr/>
        <w:pict>
          <v:shape style="position:absolute;margin-left:506.718964pt;margin-top:743.730957pt;width:65.1500pt;height:13.1pt;mso-position-horizontal-relative:page;mso-position-vertical-relative:page;z-index:-5032" type="#_x0000_t202" filled="false" stroked="false">
            <v:textbox inset="0,0,0,0">
              <w:txbxContent>
                <w:p>
                  <w:pPr>
                    <w:spacing w:before="12"/>
                    <w:ind w:left="20" w:right="0" w:firstLine="0"/>
                    <w:jc w:val="left"/>
                    <w:rPr>
                      <w:i/>
                      <w:sz w:val="20"/>
                    </w:rPr>
                  </w:pPr>
                  <w:r>
                    <w:rPr>
                      <w:i/>
                      <w:sz w:val="20"/>
                    </w:rPr>
                    <w:t>RIOHE 10/7/04</w:t>
                  </w:r>
                </w:p>
              </w:txbxContent>
            </v:textbox>
            <w10:wrap type="none"/>
          </v:shape>
        </w:pict>
      </w:r>
    </w:p>
    <w:sectPr>
      <w:pgSz w:w="12240" w:h="15840"/>
      <w:pgMar w:top="1420" w:bottom="280" w:left="13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