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E82" w:rsidRDefault="00D37414" w:rsidP="00D37414">
      <w:pPr>
        <w:pStyle w:val="Heading1"/>
      </w:pPr>
      <w:r>
        <w:t>Payment Security Policies</w:t>
      </w:r>
      <w:r w:rsidR="003412DD">
        <w:t xml:space="preserve"> and Procedures</w:t>
      </w:r>
    </w:p>
    <w:p w:rsidR="00D37414" w:rsidRDefault="00D37414" w:rsidP="00D37414">
      <w:pPr>
        <w:pStyle w:val="Subtitle"/>
      </w:pPr>
      <w:r>
        <w:t>For Department/Office of</w:t>
      </w:r>
      <w:r w:rsidR="00C30294">
        <w:t>__________</w:t>
      </w:r>
    </w:p>
    <w:p w:rsidR="001E54B0" w:rsidRPr="00C00B1B" w:rsidRDefault="00E33C37" w:rsidP="0099416B">
      <w:pPr>
        <w:pStyle w:val="Heading2"/>
      </w:pPr>
      <w:r w:rsidRPr="00C00B1B">
        <w:t xml:space="preserve">System </w:t>
      </w:r>
      <w:r w:rsidR="001E54B0" w:rsidRPr="00C00B1B">
        <w:t>Policy:  21.01.02 Receipt, Custody and Deposit of Revenues, Section 2.5</w:t>
      </w:r>
    </w:p>
    <w:p w:rsidR="00C00B1B" w:rsidRDefault="001E54B0" w:rsidP="0099416B">
      <w:r w:rsidRPr="00C00B1B">
        <w:t>System members accepting credit and/or debit cards as a method of payment must adhere to industry standards to protect cardholder data and must certify annually that the processes and systems used to accept and transmit cardholder data are in compliance with industry standards.  Members must complete the payment card industry data security training.</w:t>
      </w:r>
    </w:p>
    <w:p w:rsidR="001E54B0" w:rsidRPr="001E54B0" w:rsidRDefault="001E54B0" w:rsidP="00C00B1B">
      <w:pPr>
        <w:pStyle w:val="Heading2"/>
      </w:pPr>
      <w:r w:rsidRPr="00C00B1B">
        <w:t>Policy Implementation Procedures:</w:t>
      </w:r>
    </w:p>
    <w:p w:rsidR="00BB6F30" w:rsidRDefault="00C30294" w:rsidP="00D37414">
      <w:pPr>
        <w:rPr>
          <w:b/>
        </w:rPr>
      </w:pPr>
      <w:r w:rsidRPr="00B80305">
        <w:rPr>
          <w:b/>
        </w:rPr>
        <w:t>[</w:t>
      </w:r>
      <w:r w:rsidR="00B80305" w:rsidRPr="00B80305">
        <w:rPr>
          <w:b/>
        </w:rPr>
        <w:t>Bolded n</w:t>
      </w:r>
      <w:r w:rsidRPr="00B80305">
        <w:rPr>
          <w:b/>
        </w:rPr>
        <w:t>otes within brackets, such as this one, are intended to provide information or instruction as you complete this template.</w:t>
      </w:r>
      <w:r>
        <w:t xml:space="preserve"> </w:t>
      </w:r>
      <w:r w:rsidR="004A6222" w:rsidRPr="00B80305">
        <w:rPr>
          <w:i/>
          <w:color w:val="943634" w:themeColor="accent2" w:themeShade="BF"/>
        </w:rPr>
        <w:t>Italicized sections</w:t>
      </w:r>
      <w:r w:rsidR="004A6222" w:rsidRPr="00B80305">
        <w:rPr>
          <w:color w:val="943634" w:themeColor="accent2" w:themeShade="BF"/>
        </w:rPr>
        <w:t xml:space="preserve"> </w:t>
      </w:r>
      <w:r w:rsidR="00437F4B" w:rsidRPr="00B80305">
        <w:rPr>
          <w:i/>
          <w:color w:val="943634" w:themeColor="accent2" w:themeShade="BF"/>
        </w:rPr>
        <w:t>in maroon</w:t>
      </w:r>
      <w:r w:rsidR="00437F4B" w:rsidRPr="00B80305">
        <w:rPr>
          <w:color w:val="943634" w:themeColor="accent2" w:themeShade="BF"/>
        </w:rPr>
        <w:t xml:space="preserve"> </w:t>
      </w:r>
      <w:r w:rsidR="004A6222" w:rsidRPr="00B80305">
        <w:rPr>
          <w:b/>
        </w:rPr>
        <w:t xml:space="preserve">are meant to be filled out by you. </w:t>
      </w:r>
      <w:r w:rsidRPr="00B80305">
        <w:rPr>
          <w:b/>
        </w:rPr>
        <w:t>Delete these instructions as you complete each section, leaving a clean, complete policy document.</w:t>
      </w:r>
      <w:r w:rsidR="00C00B1B">
        <w:rPr>
          <w:b/>
        </w:rPr>
        <w:t xml:space="preserve"> Numbers in parenthesis like this </w:t>
      </w:r>
      <w:r w:rsidR="00C00B1B" w:rsidRPr="00C00B1B">
        <w:t>(12.1)</w:t>
      </w:r>
      <w:r w:rsidR="00C00B1B">
        <w:rPr>
          <w:b/>
        </w:rPr>
        <w:t xml:space="preserve"> are references to specific sections of the PCI-DSS that call for the policy or procedure in question. These references can be removed or left in.</w:t>
      </w:r>
      <w:r w:rsidR="004A6222" w:rsidRPr="00B80305">
        <w:rPr>
          <w:b/>
        </w:rPr>
        <w:t>]</w:t>
      </w:r>
    </w:p>
    <w:p w:rsidR="004F727B" w:rsidRDefault="004F727B" w:rsidP="004F727B">
      <w:pPr>
        <w:pStyle w:val="Heading2"/>
      </w:pPr>
      <w:r>
        <w:t>Definitions</w:t>
      </w:r>
    </w:p>
    <w:p w:rsidR="004F727B" w:rsidRPr="008E07BA" w:rsidRDefault="004F727B" w:rsidP="008E07BA">
      <w:pPr>
        <w:pStyle w:val="ListParagraph"/>
        <w:numPr>
          <w:ilvl w:val="0"/>
          <w:numId w:val="5"/>
        </w:numPr>
        <w:rPr>
          <w:b/>
        </w:rPr>
      </w:pPr>
      <w:r w:rsidRPr="008E07BA">
        <w:rPr>
          <w:b/>
        </w:rPr>
        <w:t>Confidential</w:t>
      </w:r>
      <w:r w:rsidR="008E07BA" w:rsidRPr="008E07BA">
        <w:rPr>
          <w:b/>
        </w:rPr>
        <w:t xml:space="preserve"> - </w:t>
      </w:r>
      <w:r w:rsidR="008E07BA">
        <w:t>information that must be protected from unauthorized disclosure or public release based on state or federal law, (e.g. the Texas Public Information Act and other constitutional, statutory, judicial, and legal agreements.)</w:t>
      </w:r>
    </w:p>
    <w:p w:rsidR="004F727B" w:rsidRPr="004F727B" w:rsidRDefault="004F727B" w:rsidP="004F727B">
      <w:pPr>
        <w:pStyle w:val="ListParagraph"/>
        <w:numPr>
          <w:ilvl w:val="0"/>
          <w:numId w:val="5"/>
        </w:numPr>
        <w:rPr>
          <w:b/>
        </w:rPr>
      </w:pPr>
      <w:r w:rsidRPr="004F727B">
        <w:rPr>
          <w:b/>
        </w:rPr>
        <w:t>Primary Account Number (PAN)</w:t>
      </w:r>
      <w:r w:rsidR="008E07BA">
        <w:rPr>
          <w:b/>
        </w:rPr>
        <w:t xml:space="preserve"> – </w:t>
      </w:r>
      <w:r w:rsidR="008E07BA" w:rsidRPr="008E07BA">
        <w:t xml:space="preserve">The </w:t>
      </w:r>
      <w:r w:rsidR="008E07BA">
        <w:t xml:space="preserve">full </w:t>
      </w:r>
      <w:r w:rsidR="008E07BA" w:rsidRPr="008E07BA">
        <w:t xml:space="preserve">account number </w:t>
      </w:r>
      <w:r w:rsidR="008E07BA">
        <w:t xml:space="preserve">(typically 15 to 19 digits) </w:t>
      </w:r>
      <w:r w:rsidR="008E07BA" w:rsidRPr="008E07BA">
        <w:t>associated with the customer’s</w:t>
      </w:r>
      <w:r w:rsidR="008E07BA">
        <w:rPr>
          <w:b/>
        </w:rPr>
        <w:t xml:space="preserve"> </w:t>
      </w:r>
      <w:r w:rsidR="008E07BA" w:rsidRPr="008E07BA">
        <w:t>credit or debit account</w:t>
      </w:r>
      <w:r w:rsidR="008E07BA">
        <w:t>. Typically</w:t>
      </w:r>
      <w:r w:rsidR="008E07BA" w:rsidRPr="008E07BA">
        <w:t xml:space="preserve"> </w:t>
      </w:r>
      <w:r w:rsidR="008E07BA">
        <w:t>printed or stamped</w:t>
      </w:r>
      <w:r w:rsidR="008E07BA" w:rsidRPr="008E07BA">
        <w:t xml:space="preserve"> on the front of the customer’s card</w:t>
      </w:r>
      <w:r w:rsidR="008E07BA">
        <w:t>, stored on a magnetic strip, and sometimes on an embedded chip.</w:t>
      </w:r>
    </w:p>
    <w:p w:rsidR="004F727B" w:rsidRPr="00027DD1" w:rsidRDefault="004F727B" w:rsidP="004F727B">
      <w:pPr>
        <w:pStyle w:val="ListParagraph"/>
        <w:numPr>
          <w:ilvl w:val="0"/>
          <w:numId w:val="5"/>
        </w:numPr>
        <w:rPr>
          <w:b/>
        </w:rPr>
      </w:pPr>
      <w:r w:rsidRPr="004F727B">
        <w:rPr>
          <w:b/>
        </w:rPr>
        <w:t>Cardholder Data</w:t>
      </w:r>
      <w:r w:rsidR="008E07BA">
        <w:rPr>
          <w:b/>
        </w:rPr>
        <w:t xml:space="preserve"> </w:t>
      </w:r>
      <w:r w:rsidR="008E07BA" w:rsidRPr="008E07BA">
        <w:t>– At a minimum, any amount of the PAN greater than the first 5 and last 4 digits.</w:t>
      </w:r>
      <w:r w:rsidR="00B807B0">
        <w:t xml:space="preserve"> When that threshold is exceeded, the customer name and card expiration date become in scope as cardholder data. If only the first 5 and last 4 digits of a PAN are exposed, then customer name and card expiration </w:t>
      </w:r>
      <w:proofErr w:type="gramStart"/>
      <w:r w:rsidR="00B807B0">
        <w:t>date are</w:t>
      </w:r>
      <w:proofErr w:type="gramEnd"/>
      <w:r w:rsidR="00B807B0">
        <w:t xml:space="preserve"> not considered part of cardholder data.</w:t>
      </w:r>
    </w:p>
    <w:p w:rsidR="00027DD1" w:rsidRPr="004F727B" w:rsidRDefault="00027DD1" w:rsidP="004F727B">
      <w:pPr>
        <w:pStyle w:val="ListParagraph"/>
        <w:numPr>
          <w:ilvl w:val="0"/>
          <w:numId w:val="5"/>
        </w:numPr>
        <w:rPr>
          <w:b/>
        </w:rPr>
      </w:pPr>
      <w:r>
        <w:rPr>
          <w:b/>
        </w:rPr>
        <w:t xml:space="preserve">Card </w:t>
      </w:r>
      <w:r w:rsidRPr="00027DD1">
        <w:t xml:space="preserve">– Here, used generically to refer to </w:t>
      </w:r>
      <w:r w:rsidR="00814992">
        <w:t xml:space="preserve">debit and </w:t>
      </w:r>
      <w:r w:rsidRPr="00027DD1">
        <w:t xml:space="preserve">credit </w:t>
      </w:r>
      <w:r w:rsidR="00814992">
        <w:t xml:space="preserve">cards accepted by Texas </w:t>
      </w:r>
      <w:proofErr w:type="gramStart"/>
      <w:r w:rsidR="00814992">
        <w:t>A&amp;M</w:t>
      </w:r>
      <w:proofErr w:type="gramEnd"/>
      <w:r w:rsidR="00814992">
        <w:t xml:space="preserve"> merchants as a form of payment for goods or services</w:t>
      </w:r>
      <w:r w:rsidRPr="00027DD1">
        <w:t>.</w:t>
      </w:r>
    </w:p>
    <w:p w:rsidR="00545B03" w:rsidRDefault="001E54B0" w:rsidP="00545B03">
      <w:pPr>
        <w:pStyle w:val="Heading2"/>
      </w:pPr>
      <w:r w:rsidRPr="00C00B1B">
        <w:t>Policy and Procedure Objectives:</w:t>
      </w:r>
    </w:p>
    <w:p w:rsidR="00545B03" w:rsidRDefault="00545B03" w:rsidP="00545B03">
      <w:r>
        <w:t xml:space="preserve">(12.1.1) </w:t>
      </w:r>
      <w:proofErr w:type="gramStart"/>
      <w:r>
        <w:t>All</w:t>
      </w:r>
      <w:proofErr w:type="gramEnd"/>
      <w:r>
        <w:t xml:space="preserve"> card processing activities and related technologies must comply with the Payment Card Industry Data Security Standard (PCI-DSS) in its entirety. Card processing activities must be conducted as described herein and in accordance with the standards and procedures listed in the Related Documents section of this Policy. No activity may be conducted nor any technology employed that might obstruct compliance with any portion of the PCI-DSS.</w:t>
      </w:r>
    </w:p>
    <w:p w:rsidR="00545B03" w:rsidRDefault="00545B03" w:rsidP="00545B03">
      <w:r>
        <w:t xml:space="preserve">(12.1.3) </w:t>
      </w:r>
      <w:proofErr w:type="gramStart"/>
      <w:r>
        <w:t>This</w:t>
      </w:r>
      <w:proofErr w:type="gramEnd"/>
      <w:r>
        <w:t xml:space="preserve"> policy shall be reviewed at least annually and updated as needed to reflect changes to business objectives or the risk environment.</w:t>
      </w:r>
    </w:p>
    <w:p w:rsidR="00B80305" w:rsidRDefault="00B80305" w:rsidP="00B80305">
      <w:pPr>
        <w:pStyle w:val="Heading2"/>
      </w:pPr>
      <w:r>
        <w:lastRenderedPageBreak/>
        <w:t>Applicability and Availability</w:t>
      </w:r>
    </w:p>
    <w:p w:rsidR="00B80305" w:rsidRDefault="00B80305" w:rsidP="00B80305">
      <w:r>
        <w:t>This policy applies to all employees</w:t>
      </w:r>
      <w:r w:rsidR="00C55F8C">
        <w:t>,</w:t>
      </w:r>
      <w:r>
        <w:t xml:space="preserve"> contractors</w:t>
      </w:r>
      <w:r w:rsidR="00C55F8C">
        <w:t>,</w:t>
      </w:r>
      <w:r>
        <w:t xml:space="preserve"> and consultants. (12.1) Relevant sections of this policy apply to vendors, off-site contractors, and business partners. The most current version of this policy is available </w:t>
      </w:r>
      <w:r w:rsidRPr="00B80305">
        <w:rPr>
          <w:i/>
          <w:color w:val="943634" w:themeColor="accent2" w:themeShade="BF"/>
        </w:rPr>
        <w:t>at X URL or through Y office</w:t>
      </w:r>
      <w:r>
        <w:t>.</w:t>
      </w:r>
    </w:p>
    <w:p w:rsidR="00B80305" w:rsidRPr="00B80305" w:rsidRDefault="00B80305" w:rsidP="00B80305">
      <w:pPr>
        <w:rPr>
          <w:rFonts w:eastAsia="Times New Roman"/>
          <w:b/>
        </w:rPr>
      </w:pPr>
      <w:r w:rsidRPr="00B80305">
        <w:rPr>
          <w:rFonts w:eastAsia="Times New Roman"/>
          <w:b/>
        </w:rPr>
        <w:t xml:space="preserve">[The section </w:t>
      </w:r>
      <w:r w:rsidR="00892843">
        <w:rPr>
          <w:rFonts w:eastAsia="Times New Roman"/>
          <w:b/>
        </w:rPr>
        <w:t xml:space="preserve">immediately below </w:t>
      </w:r>
      <w:r w:rsidRPr="00B80305">
        <w:rPr>
          <w:rFonts w:eastAsia="Times New Roman"/>
          <w:b/>
        </w:rPr>
        <w:t>is understood to apply to systems that transmit, process, or store cardholder data through anything other than analog phone lines.]</w:t>
      </w:r>
    </w:p>
    <w:p w:rsidR="00B80305" w:rsidRDefault="00B80305" w:rsidP="00B80305">
      <w:pPr>
        <w:pStyle w:val="Heading2"/>
        <w:rPr>
          <w:rFonts w:eastAsia="Times New Roman"/>
        </w:rPr>
      </w:pPr>
      <w:r>
        <w:rPr>
          <w:rFonts w:eastAsia="Times New Roman"/>
        </w:rPr>
        <w:t xml:space="preserve">Adherence to </w:t>
      </w:r>
      <w:r w:rsidRPr="00B80305">
        <w:t>Standards</w:t>
      </w:r>
    </w:p>
    <w:p w:rsidR="00B80305" w:rsidRPr="00B80305" w:rsidRDefault="00B80305" w:rsidP="00B80305">
      <w:pPr>
        <w:rPr>
          <w:rFonts w:eastAsia="Times New Roman"/>
        </w:rPr>
      </w:pPr>
      <w:r w:rsidRPr="00B80305">
        <w:rPr>
          <w:rFonts w:eastAsia="Times New Roman"/>
        </w:rPr>
        <w:t xml:space="preserve">(2.2.a) </w:t>
      </w:r>
      <w:r w:rsidR="004F727B">
        <w:rPr>
          <w:rFonts w:eastAsia="Times New Roman"/>
        </w:rPr>
        <w:t>Documented c</w:t>
      </w:r>
      <w:r w:rsidRPr="00B80305">
        <w:rPr>
          <w:rFonts w:eastAsia="Times New Roman"/>
        </w:rPr>
        <w:t xml:space="preserve">onfiguration standards must be maintained for applications, network components, critical servers, and wireless access points. These standards must be consistent with industry-accepted hardening standards as defined, for example, by </w:t>
      </w:r>
      <w:proofErr w:type="spellStart"/>
      <w:r w:rsidRPr="00B80305">
        <w:rPr>
          <w:rFonts w:eastAsia="Times New Roman"/>
        </w:rPr>
        <w:t>SysAdmin</w:t>
      </w:r>
      <w:proofErr w:type="spellEnd"/>
      <w:r w:rsidRPr="00B80305">
        <w:rPr>
          <w:rFonts w:eastAsia="Times New Roman"/>
        </w:rPr>
        <w:t xml:space="preserve"> Assessment Network Security Network (SANS), National Institute of Standards Technology (NIST), and Center for Internet Security (CIS).</w:t>
      </w:r>
      <w:r w:rsidRPr="00B80305">
        <w:rPr>
          <w:rFonts w:eastAsia="Times New Roman"/>
          <w:b/>
        </w:rPr>
        <w:t xml:space="preserve"> </w:t>
      </w:r>
      <w:r w:rsidRPr="000E29A4">
        <w:rPr>
          <w:rFonts w:eastAsia="Times New Roman"/>
        </w:rPr>
        <w:t xml:space="preserve">These standards must also be consistent with </w:t>
      </w:r>
      <w:r w:rsidR="000E29A4" w:rsidRPr="000E29A4">
        <w:rPr>
          <w:rFonts w:eastAsia="Times New Roman"/>
        </w:rPr>
        <w:t>university Standard Administrative Procedure (SAP) 29.01.99.M1 and supporting procedures.</w:t>
      </w:r>
      <w:r w:rsidR="000E29A4">
        <w:rPr>
          <w:rFonts w:eastAsia="Times New Roman"/>
          <w:b/>
        </w:rPr>
        <w:t xml:space="preserve"> </w:t>
      </w:r>
      <w:r w:rsidRPr="00B80305">
        <w:rPr>
          <w:rFonts w:eastAsia="Times New Roman"/>
          <w:b/>
        </w:rPr>
        <w:t>[2.2.b should be captured in your system configuration standard; 2.2.c and 2.2.3.b should be covered in your procedure for new server set-up]</w:t>
      </w:r>
    </w:p>
    <w:p w:rsidR="00B80305" w:rsidRPr="00B80305" w:rsidRDefault="00B80305" w:rsidP="00B80305">
      <w:pPr>
        <w:rPr>
          <w:rFonts w:eastAsia="Times New Roman"/>
        </w:rPr>
      </w:pPr>
      <w:r w:rsidRPr="00B80305">
        <w:rPr>
          <w:rFonts w:eastAsia="Times New Roman"/>
        </w:rPr>
        <w:t>Configuration standards must include:</w:t>
      </w:r>
    </w:p>
    <w:p w:rsidR="00B80305" w:rsidRPr="00B80305" w:rsidRDefault="00B80305" w:rsidP="00B80305">
      <w:pPr>
        <w:pStyle w:val="ListParagraph"/>
        <w:numPr>
          <w:ilvl w:val="0"/>
          <w:numId w:val="3"/>
        </w:numPr>
        <w:rPr>
          <w:rFonts w:eastAsia="Times New Roman"/>
        </w:rPr>
      </w:pPr>
      <w:r w:rsidRPr="00B80305">
        <w:rPr>
          <w:rFonts w:eastAsia="Times New Roman"/>
        </w:rPr>
        <w:t>(5.2) updating of anti-virus software and definitions</w:t>
      </w:r>
    </w:p>
    <w:p w:rsidR="00B80305" w:rsidRPr="00B80305" w:rsidRDefault="00B80305" w:rsidP="00B80305">
      <w:pPr>
        <w:pStyle w:val="ListParagraph"/>
        <w:numPr>
          <w:ilvl w:val="0"/>
          <w:numId w:val="3"/>
        </w:numPr>
        <w:rPr>
          <w:rFonts w:eastAsia="Times New Roman"/>
        </w:rPr>
      </w:pPr>
      <w:r w:rsidRPr="00B80305">
        <w:rPr>
          <w:rFonts w:eastAsia="Times New Roman"/>
        </w:rPr>
        <w:t>(6.1.b) provision for installation of all relevant new security patches within one month</w:t>
      </w:r>
    </w:p>
    <w:p w:rsidR="00B80305" w:rsidRDefault="00B80305" w:rsidP="00B80305">
      <w:pPr>
        <w:pStyle w:val="ListParagraph"/>
        <w:numPr>
          <w:ilvl w:val="0"/>
          <w:numId w:val="3"/>
        </w:numPr>
        <w:rPr>
          <w:rFonts w:eastAsia="Times New Roman"/>
        </w:rPr>
      </w:pPr>
      <w:r w:rsidRPr="00B80305">
        <w:rPr>
          <w:rFonts w:eastAsia="Times New Roman"/>
        </w:rPr>
        <w:t>(8.5.8.b) prohibition of group and shared passwords</w:t>
      </w:r>
    </w:p>
    <w:p w:rsidR="000E29A4" w:rsidRDefault="000E29A4" w:rsidP="000E29A4">
      <w:pPr>
        <w:pStyle w:val="Heading2"/>
        <w:rPr>
          <w:rFonts w:eastAsia="Times New Roman"/>
        </w:rPr>
      </w:pPr>
      <w:r>
        <w:rPr>
          <w:rFonts w:eastAsia="Times New Roman"/>
        </w:rPr>
        <w:t>Handling of Cardholder Data</w:t>
      </w:r>
    </w:p>
    <w:p w:rsidR="008F6DD4" w:rsidRDefault="008F6DD4" w:rsidP="008F6DD4">
      <w:r>
        <w:t xml:space="preserve">(3.1) Texas </w:t>
      </w:r>
      <w:proofErr w:type="gramStart"/>
      <w:r>
        <w:t>A&amp;M</w:t>
      </w:r>
      <w:proofErr w:type="gramEnd"/>
      <w:r>
        <w:t xml:space="preserve"> System’s records retention policy is founded on Texas Government Code 441.180. The System’s policy is found at </w:t>
      </w:r>
      <w:hyperlink r:id="rId10" w:history="1">
        <w:r w:rsidRPr="00AA01E3">
          <w:rPr>
            <w:rStyle w:val="Hyperlink"/>
          </w:rPr>
          <w:t>http://policies</w:t>
        </w:r>
        <w:r w:rsidRPr="00AA01E3">
          <w:rPr>
            <w:rStyle w:val="Hyperlink"/>
          </w:rPr>
          <w:t>.</w:t>
        </w:r>
        <w:r w:rsidRPr="00AA01E3">
          <w:rPr>
            <w:rStyle w:val="Hyperlink"/>
          </w:rPr>
          <w:t>tamus.edu</w:t>
        </w:r>
      </w:hyperlink>
      <w:r>
        <w:t xml:space="preserve">, document 61.99.01. This policy links to Texas </w:t>
      </w:r>
      <w:proofErr w:type="gramStart"/>
      <w:r>
        <w:t>A&amp;M</w:t>
      </w:r>
      <w:proofErr w:type="gramEnd"/>
      <w:r>
        <w:t xml:space="preserve"> System Records Retention Schedule. Credit card receipts are listed under section 4.108.10 – Credit/Debit Card Merchant Receipt found on page 34. The retention period for these items is “expiration of dispute resolution period”. However, the customer’s full card number is not considered a necessary component of the receipt information and can be redacted immediately.</w:t>
      </w:r>
    </w:p>
    <w:p w:rsidR="00AB0B40" w:rsidRDefault="008F6DD4" w:rsidP="008F6DD4">
      <w:r w:rsidRPr="000E29A4">
        <w:rPr>
          <w:rFonts w:eastAsia="Times New Roman"/>
        </w:rPr>
        <w:t xml:space="preserve"> </w:t>
      </w:r>
      <w:bookmarkStart w:id="0" w:name="_GoBack"/>
      <w:bookmarkEnd w:id="0"/>
      <w:r w:rsidR="004F727B" w:rsidRPr="000E29A4">
        <w:rPr>
          <w:rFonts w:eastAsia="Times New Roman"/>
        </w:rPr>
        <w:t xml:space="preserve">(3.3) </w:t>
      </w:r>
      <w:r w:rsidR="00AB0B40">
        <w:t xml:space="preserve">In accordance with Fair and Accurate Credit Transactions (FACTA) law, Primary Account Numbers (PAN) and expiration dates are always hidden or masked on </w:t>
      </w:r>
      <w:r w:rsidR="00AB0B40" w:rsidRPr="00BB6F30">
        <w:rPr>
          <w:i/>
        </w:rPr>
        <w:t>customer</w:t>
      </w:r>
      <w:r w:rsidR="00AB0B40">
        <w:t xml:space="preserve"> receipts, both on screen and printable. </w:t>
      </w:r>
      <w:r w:rsidR="00AB0B40" w:rsidRPr="009E19F6">
        <w:rPr>
          <w:b/>
        </w:rPr>
        <w:t>[Verify that this is so.]</w:t>
      </w:r>
      <w:r w:rsidR="00AB0B40">
        <w:t xml:space="preserve"> PANs on the merchant copy of the receipt </w:t>
      </w:r>
      <w:r w:rsidR="00AB0B40" w:rsidRPr="00437F4B">
        <w:rPr>
          <w:i/>
          <w:color w:val="943634" w:themeColor="accent2" w:themeShade="BF"/>
        </w:rPr>
        <w:t>are/are no</w:t>
      </w:r>
      <w:r w:rsidR="00074BB3">
        <w:rPr>
          <w:i/>
          <w:color w:val="943634" w:themeColor="accent2" w:themeShade="BF"/>
        </w:rPr>
        <w:t>t</w:t>
      </w:r>
      <w:r w:rsidR="00AB0B40">
        <w:t xml:space="preserve"> masked, and thus </w:t>
      </w:r>
      <w:r w:rsidR="00074BB3">
        <w:rPr>
          <w:i/>
          <w:color w:val="943634" w:themeColor="accent2" w:themeShade="BF"/>
        </w:rPr>
        <w:t>do/do not</w:t>
      </w:r>
      <w:r w:rsidR="00AB0B40">
        <w:t xml:space="preserve"> fall under the document retention policy above. Full PANs on daily batch reports or other retrievable reports are </w:t>
      </w:r>
      <w:r w:rsidR="00AB0B40" w:rsidRPr="00437F4B">
        <w:rPr>
          <w:i/>
          <w:color w:val="943634" w:themeColor="accent2" w:themeShade="BF"/>
        </w:rPr>
        <w:t>masked</w:t>
      </w:r>
      <w:r w:rsidR="00AB0B40">
        <w:rPr>
          <w:i/>
          <w:color w:val="943634" w:themeColor="accent2" w:themeShade="BF"/>
        </w:rPr>
        <w:t>/not masked</w:t>
      </w:r>
      <w:r w:rsidR="00AB0B40">
        <w:t>.</w:t>
      </w:r>
    </w:p>
    <w:p w:rsidR="00AB0B40" w:rsidRDefault="00074BB3" w:rsidP="00AB0B40">
      <w:r w:rsidRPr="000E29A4">
        <w:rPr>
          <w:rFonts w:eastAsia="Times New Roman"/>
        </w:rPr>
        <w:t xml:space="preserve">Those with a need to see full credit card numbers must request an exception to this policy using </w:t>
      </w:r>
      <w:r>
        <w:rPr>
          <w:rFonts w:eastAsia="Times New Roman"/>
        </w:rPr>
        <w:t>a</w:t>
      </w:r>
      <w:r w:rsidR="00892843">
        <w:rPr>
          <w:rFonts w:eastAsia="Times New Roman"/>
        </w:rPr>
        <w:t xml:space="preserve"> written</w:t>
      </w:r>
      <w:r w:rsidRPr="000E29A4">
        <w:rPr>
          <w:rFonts w:eastAsia="Times New Roman"/>
        </w:rPr>
        <w:t xml:space="preserve"> exception process.</w:t>
      </w:r>
      <w:r>
        <w:rPr>
          <w:rFonts w:eastAsia="Times New Roman"/>
        </w:rPr>
        <w:t xml:space="preserve"> </w:t>
      </w:r>
      <w:r w:rsidR="00AB0B40">
        <w:t xml:space="preserve">Instances in which PANs are not masked are done so for the following business reasons: </w:t>
      </w:r>
      <w:r w:rsidR="00AB0B40">
        <w:rPr>
          <w:i/>
          <w:color w:val="943634" w:themeColor="accent2" w:themeShade="BF"/>
        </w:rPr>
        <w:t>I</w:t>
      </w:r>
      <w:r>
        <w:rPr>
          <w:i/>
          <w:color w:val="943634" w:themeColor="accent2" w:themeShade="BF"/>
        </w:rPr>
        <w:t>nsert business justification</w:t>
      </w:r>
      <w:r w:rsidR="00AB0B40">
        <w:t>.</w:t>
      </w:r>
    </w:p>
    <w:p w:rsidR="00074BB3" w:rsidRDefault="004F727B" w:rsidP="00074BB3">
      <w:pPr>
        <w:rPr>
          <w:i/>
          <w:color w:val="943634" w:themeColor="accent2" w:themeShade="BF"/>
        </w:rPr>
      </w:pPr>
      <w:r w:rsidRPr="000E29A4">
        <w:rPr>
          <w:rFonts w:eastAsia="Times New Roman"/>
        </w:rPr>
        <w:t xml:space="preserve">(4.2.b) </w:t>
      </w:r>
      <w:r w:rsidR="00074BB3">
        <w:rPr>
          <w:rFonts w:eastAsia="Times New Roman"/>
        </w:rPr>
        <w:t>U</w:t>
      </w:r>
      <w:r w:rsidR="00074BB3">
        <w:t>nencrypted PANS may never be transmitted via email, instant messaging, texting/SMS, or other messaging tools. In the event that a customer or 3</w:t>
      </w:r>
      <w:r w:rsidR="00074BB3" w:rsidRPr="003F4FE4">
        <w:rPr>
          <w:vertAlign w:val="superscript"/>
        </w:rPr>
        <w:t>rd</w:t>
      </w:r>
      <w:r w:rsidR="00074BB3">
        <w:t xml:space="preserve"> party sends a PAN using such a method, we respond </w:t>
      </w:r>
      <w:r w:rsidR="00074BB3">
        <w:lastRenderedPageBreak/>
        <w:t xml:space="preserve">by </w:t>
      </w:r>
      <w:r w:rsidR="00074BB3" w:rsidRPr="003F4FE4">
        <w:rPr>
          <w:i/>
          <w:color w:val="943634" w:themeColor="accent2" w:themeShade="BF"/>
        </w:rPr>
        <w:t>Insert your response here. It is recommended that you erase the message from your system and notify the sender that you do not accep</w:t>
      </w:r>
      <w:r w:rsidR="00074BB3">
        <w:rPr>
          <w:i/>
          <w:color w:val="943634" w:themeColor="accent2" w:themeShade="BF"/>
        </w:rPr>
        <w:t>t</w:t>
      </w:r>
      <w:r w:rsidR="00074BB3" w:rsidRPr="003F4FE4">
        <w:rPr>
          <w:i/>
          <w:color w:val="943634" w:themeColor="accent2" w:themeShade="BF"/>
        </w:rPr>
        <w:t xml:space="preserve"> PANs in that manner, asking them </w:t>
      </w:r>
      <w:r w:rsidR="00ED4ECA">
        <w:rPr>
          <w:i/>
          <w:color w:val="943634" w:themeColor="accent2" w:themeShade="BF"/>
        </w:rPr>
        <w:t>to resubmit in a secure manner.</w:t>
      </w:r>
    </w:p>
    <w:p w:rsidR="007B3247" w:rsidRPr="00D37414" w:rsidRDefault="007B3247" w:rsidP="007B3247">
      <w:r>
        <w:t xml:space="preserve">Our department </w:t>
      </w:r>
      <w:r w:rsidRPr="00437F4B">
        <w:rPr>
          <w:i/>
          <w:color w:val="943634" w:themeColor="accent2" w:themeShade="BF"/>
        </w:rPr>
        <w:t>does/does not</w:t>
      </w:r>
      <w:r>
        <w:t xml:space="preserve"> store cardholder data after authorization.</w:t>
      </w:r>
      <w:r w:rsidR="004F727B">
        <w:t xml:space="preserve"> </w:t>
      </w:r>
    </w:p>
    <w:p w:rsidR="00C57CC0" w:rsidRDefault="007B3247" w:rsidP="007B3247">
      <w:pPr>
        <w:rPr>
          <w:color w:val="000000" w:themeColor="text1"/>
        </w:rPr>
      </w:pPr>
      <w:r w:rsidRPr="004A6222">
        <w:rPr>
          <w:b/>
        </w:rPr>
        <w:t>[</w:t>
      </w:r>
      <w:r w:rsidR="004F727B">
        <w:rPr>
          <w:b/>
        </w:rPr>
        <w:t>You may d</w:t>
      </w:r>
      <w:r w:rsidRPr="004A6222">
        <w:rPr>
          <w:b/>
        </w:rPr>
        <w:t xml:space="preserve">elete </w:t>
      </w:r>
      <w:r w:rsidR="008F53F5">
        <w:rPr>
          <w:b/>
        </w:rPr>
        <w:t xml:space="preserve">the remainder of </w:t>
      </w:r>
      <w:r w:rsidRPr="004A6222">
        <w:rPr>
          <w:b/>
        </w:rPr>
        <w:t>this section if you do not store cardholder data on paper or electronically.</w:t>
      </w:r>
      <w:r w:rsidR="005529B9">
        <w:rPr>
          <w:b/>
        </w:rPr>
        <w:t xml:space="preserve"> If you do store cardholder data, University Records Management can </w:t>
      </w:r>
      <w:r w:rsidR="004F727B">
        <w:rPr>
          <w:b/>
        </w:rPr>
        <w:t>direct</w:t>
      </w:r>
      <w:r w:rsidR="005529B9">
        <w:rPr>
          <w:b/>
        </w:rPr>
        <w:t xml:space="preserve"> you </w:t>
      </w:r>
      <w:r w:rsidR="0041188A">
        <w:rPr>
          <w:b/>
        </w:rPr>
        <w:t xml:space="preserve">to established </w:t>
      </w:r>
      <w:r w:rsidR="004F727B">
        <w:rPr>
          <w:b/>
        </w:rPr>
        <w:t xml:space="preserve">record management </w:t>
      </w:r>
      <w:r w:rsidR="005529B9">
        <w:rPr>
          <w:b/>
        </w:rPr>
        <w:t>processes complian</w:t>
      </w:r>
      <w:r w:rsidR="0041188A">
        <w:rPr>
          <w:b/>
        </w:rPr>
        <w:t>t</w:t>
      </w:r>
      <w:r w:rsidR="005529B9">
        <w:rPr>
          <w:b/>
        </w:rPr>
        <w:t xml:space="preserve"> with </w:t>
      </w:r>
      <w:r w:rsidR="0041188A">
        <w:rPr>
          <w:b/>
        </w:rPr>
        <w:t xml:space="preserve">all </w:t>
      </w:r>
      <w:r w:rsidR="005529B9">
        <w:rPr>
          <w:b/>
        </w:rPr>
        <w:t xml:space="preserve">the </w:t>
      </w:r>
      <w:r w:rsidR="0041188A">
        <w:rPr>
          <w:b/>
        </w:rPr>
        <w:t xml:space="preserve">relevant statutes, </w:t>
      </w:r>
      <w:r w:rsidR="005529B9">
        <w:rPr>
          <w:b/>
        </w:rPr>
        <w:t>laws</w:t>
      </w:r>
      <w:r w:rsidR="0041188A">
        <w:rPr>
          <w:b/>
        </w:rPr>
        <w:t xml:space="preserve">, regulations, and legal decisions to which we, as a public university, are </w:t>
      </w:r>
      <w:r w:rsidR="00EC22EB">
        <w:rPr>
          <w:b/>
        </w:rPr>
        <w:t>subject.</w:t>
      </w:r>
      <w:r w:rsidRPr="004A6222">
        <w:rPr>
          <w:b/>
        </w:rPr>
        <w:t xml:space="preserve">] </w:t>
      </w:r>
      <w:r>
        <w:t xml:space="preserve"> </w:t>
      </w:r>
      <w:r w:rsidRPr="000E29A4">
        <w:rPr>
          <w:rFonts w:eastAsia="Times New Roman"/>
        </w:rPr>
        <w:t>(9.7)</w:t>
      </w:r>
      <w:r>
        <w:rPr>
          <w:rFonts w:eastAsia="Times New Roman"/>
        </w:rPr>
        <w:t xml:space="preserve"> </w:t>
      </w:r>
      <w:r w:rsidRPr="007B3247">
        <w:rPr>
          <w:i/>
        </w:rPr>
        <w:t>University SAP 29.01.99.M1.29</w:t>
      </w:r>
      <w:r>
        <w:rPr>
          <w:i/>
        </w:rPr>
        <w:t>--</w:t>
      </w:r>
      <w:r w:rsidR="00861318">
        <w:rPr>
          <w:i/>
        </w:rPr>
        <w:t xml:space="preserve"> Data Classification and Prote</w:t>
      </w:r>
      <w:r w:rsidRPr="007B3247">
        <w:rPr>
          <w:i/>
        </w:rPr>
        <w:t>ction</w:t>
      </w:r>
      <w:r>
        <w:t xml:space="preserve"> applies to the identification and classification of confidential information. </w:t>
      </w:r>
      <w:r w:rsidRPr="00A24493">
        <w:rPr>
          <w:i/>
          <w:color w:val="943634" w:themeColor="accent2" w:themeShade="BF"/>
        </w:rPr>
        <w:t>Department name</w:t>
      </w:r>
      <w:r>
        <w:t xml:space="preserve"> uses the following classification system to identify media as Confidential: </w:t>
      </w:r>
      <w:r w:rsidR="003946A0" w:rsidRPr="003946A0">
        <w:rPr>
          <w:i/>
          <w:color w:val="943634" w:themeColor="accent2" w:themeShade="BF"/>
        </w:rPr>
        <w:t>(</w:t>
      </w:r>
      <w:r w:rsidR="008F53F5">
        <w:rPr>
          <w:i/>
          <w:color w:val="943634" w:themeColor="accent2" w:themeShade="BF"/>
        </w:rPr>
        <w:t xml:space="preserve">directory naming, database naming, </w:t>
      </w:r>
      <w:r w:rsidRPr="001B05F5">
        <w:rPr>
          <w:i/>
          <w:color w:val="943634" w:themeColor="accent2" w:themeShade="BF"/>
        </w:rPr>
        <w:t>numbering system, rubber stamp, filing system, etc</w:t>
      </w:r>
      <w:r w:rsidR="003946A0">
        <w:rPr>
          <w:i/>
          <w:color w:val="943634" w:themeColor="accent2" w:themeShade="BF"/>
        </w:rPr>
        <w:t>.)</w:t>
      </w:r>
      <w:r>
        <w:rPr>
          <w:i/>
          <w:color w:val="943634" w:themeColor="accent2" w:themeShade="BF"/>
        </w:rPr>
        <w:t xml:space="preserve">. </w:t>
      </w:r>
      <w:r w:rsidR="008F53F5">
        <w:rPr>
          <w:rFonts w:eastAsia="Times New Roman"/>
        </w:rPr>
        <w:t xml:space="preserve">Information resources (including </w:t>
      </w:r>
      <w:r w:rsidR="00A4257A">
        <w:rPr>
          <w:rFonts w:eastAsia="Times New Roman"/>
        </w:rPr>
        <w:t xml:space="preserve">hard copies) </w:t>
      </w:r>
      <w:r w:rsidRPr="00BB0B11">
        <w:rPr>
          <w:color w:val="000000" w:themeColor="text1"/>
        </w:rPr>
        <w:t xml:space="preserve">classified as </w:t>
      </w:r>
      <w:r>
        <w:rPr>
          <w:color w:val="000000" w:themeColor="text1"/>
        </w:rPr>
        <w:t>C</w:t>
      </w:r>
      <w:r w:rsidRPr="00BB0B11">
        <w:rPr>
          <w:color w:val="000000" w:themeColor="text1"/>
        </w:rPr>
        <w:t xml:space="preserve">onfidential due to the presence of cardholder data </w:t>
      </w:r>
      <w:r w:rsidR="00A4257A">
        <w:rPr>
          <w:color w:val="000000" w:themeColor="text1"/>
        </w:rPr>
        <w:t>are</w:t>
      </w:r>
      <w:r w:rsidRPr="00BB0B11">
        <w:rPr>
          <w:color w:val="000000" w:themeColor="text1"/>
        </w:rPr>
        <w:t xml:space="preserve"> logged</w:t>
      </w:r>
      <w:r w:rsidR="005529B9">
        <w:rPr>
          <w:color w:val="000000" w:themeColor="text1"/>
        </w:rPr>
        <w:t xml:space="preserve"> using the Records Inventory Worksheet provided by University Records Management</w:t>
      </w:r>
      <w:r w:rsidRPr="00BB0B11">
        <w:rPr>
          <w:color w:val="000000" w:themeColor="text1"/>
        </w:rPr>
        <w:t>.</w:t>
      </w:r>
      <w:r w:rsidR="003946A0">
        <w:rPr>
          <w:color w:val="000000" w:themeColor="text1"/>
        </w:rPr>
        <w:t xml:space="preserve"> Because the log notates the location of </w:t>
      </w:r>
      <w:proofErr w:type="gramStart"/>
      <w:r w:rsidR="003946A0">
        <w:rPr>
          <w:color w:val="000000" w:themeColor="text1"/>
        </w:rPr>
        <w:t>Confidential</w:t>
      </w:r>
      <w:proofErr w:type="gramEnd"/>
      <w:r w:rsidR="003946A0">
        <w:rPr>
          <w:color w:val="000000" w:themeColor="text1"/>
        </w:rPr>
        <w:t xml:space="preserve"> location, the log itself is Confidential and is secured as such.</w:t>
      </w:r>
    </w:p>
    <w:p w:rsidR="0053533B" w:rsidRDefault="007B3247" w:rsidP="0053533B">
      <w:pPr>
        <w:rPr>
          <w:color w:val="943634" w:themeColor="accent2" w:themeShade="BF"/>
        </w:rPr>
      </w:pPr>
      <w:r>
        <w:t>Cardholder data that meets the following criteria:</w:t>
      </w:r>
      <w:r w:rsidRPr="00437F4B">
        <w:rPr>
          <w:color w:val="943634" w:themeColor="accent2" w:themeShade="BF"/>
        </w:rPr>
        <w:t xml:space="preserve"> </w:t>
      </w:r>
      <w:r w:rsidRPr="00437F4B">
        <w:rPr>
          <w:i/>
          <w:color w:val="943634" w:themeColor="accent2" w:themeShade="BF"/>
        </w:rPr>
        <w:t xml:space="preserve">Insert criteria. An example would be, “Cardholder data </w:t>
      </w:r>
      <w:r w:rsidR="003946A0">
        <w:rPr>
          <w:i/>
          <w:color w:val="943634" w:themeColor="accent2" w:themeShade="BF"/>
        </w:rPr>
        <w:t xml:space="preserve">no longer needed for dispute resolution.” </w:t>
      </w:r>
      <w:r w:rsidRPr="0053442C">
        <w:rPr>
          <w:color w:val="000000" w:themeColor="text1"/>
        </w:rPr>
        <w:t xml:space="preserve"> </w:t>
      </w:r>
      <w:proofErr w:type="gramStart"/>
      <w:r w:rsidRPr="0053442C">
        <w:rPr>
          <w:color w:val="000000" w:themeColor="text1"/>
        </w:rPr>
        <w:t>is</w:t>
      </w:r>
      <w:proofErr w:type="gramEnd"/>
      <w:r w:rsidRPr="0053442C">
        <w:rPr>
          <w:color w:val="000000" w:themeColor="text1"/>
        </w:rPr>
        <w:t xml:space="preserve"> </w:t>
      </w:r>
      <w:r w:rsidR="003946A0" w:rsidRPr="003946A0">
        <w:rPr>
          <w:i/>
          <w:color w:val="943634" w:themeColor="accent2" w:themeShade="BF"/>
        </w:rPr>
        <w:t>(</w:t>
      </w:r>
      <w:r w:rsidR="003946A0">
        <w:rPr>
          <w:i/>
          <w:color w:val="943634" w:themeColor="accent2" w:themeShade="BF"/>
        </w:rPr>
        <w:t>automatically/manually)</w:t>
      </w:r>
      <w:r w:rsidR="008F53F5">
        <w:rPr>
          <w:i/>
          <w:color w:val="943634" w:themeColor="accent2" w:themeShade="BF"/>
        </w:rPr>
        <w:t xml:space="preserve"> </w:t>
      </w:r>
      <w:r w:rsidR="003946A0">
        <w:rPr>
          <w:i/>
          <w:color w:val="943634" w:themeColor="accent2" w:themeShade="BF"/>
        </w:rPr>
        <w:t>(redacted /deleted) on a (daily/week</w:t>
      </w:r>
      <w:r w:rsidR="00C57CC0">
        <w:rPr>
          <w:i/>
          <w:color w:val="943634" w:themeColor="accent2" w:themeShade="BF"/>
        </w:rPr>
        <w:t xml:space="preserve">ly/monthly/quarterly) </w:t>
      </w:r>
      <w:r w:rsidR="00C57CC0" w:rsidRPr="00C57CC0">
        <w:rPr>
          <w:i/>
          <w:color w:val="000000" w:themeColor="text1"/>
        </w:rPr>
        <w:t xml:space="preserve"> </w:t>
      </w:r>
      <w:r w:rsidR="00C57CC0" w:rsidRPr="00C57CC0">
        <w:rPr>
          <w:color w:val="000000" w:themeColor="text1"/>
        </w:rPr>
        <w:t>schedule via</w:t>
      </w:r>
      <w:r w:rsidR="00C57CC0" w:rsidRPr="00C57CC0">
        <w:rPr>
          <w:color w:val="943634" w:themeColor="accent2" w:themeShade="BF"/>
        </w:rPr>
        <w:t xml:space="preserve"> </w:t>
      </w:r>
      <w:r w:rsidR="00C57CC0" w:rsidRPr="00C57CC0">
        <w:rPr>
          <w:i/>
          <w:color w:val="943634" w:themeColor="accent2" w:themeShade="BF"/>
        </w:rPr>
        <w:t>describe method</w:t>
      </w:r>
      <w:r w:rsidR="00C57CC0">
        <w:rPr>
          <w:color w:val="943634" w:themeColor="accent2" w:themeShade="BF"/>
        </w:rPr>
        <w:t>.</w:t>
      </w:r>
      <w:r w:rsidR="0053533B">
        <w:rPr>
          <w:color w:val="943634" w:themeColor="accent2" w:themeShade="BF"/>
        </w:rPr>
        <w:t xml:space="preserve"> </w:t>
      </w:r>
      <w:r w:rsidR="0053533B" w:rsidRPr="00C57CC0">
        <w:rPr>
          <w:b/>
          <w:color w:val="000000" w:themeColor="text1"/>
        </w:rPr>
        <w:t xml:space="preserve">[When cardholder data cannot be removed automatically, </w:t>
      </w:r>
      <w:r w:rsidR="0053533B">
        <w:rPr>
          <w:b/>
          <w:color w:val="000000" w:themeColor="text1"/>
        </w:rPr>
        <w:t xml:space="preserve">also </w:t>
      </w:r>
      <w:r w:rsidR="0053533B" w:rsidRPr="00C57CC0">
        <w:rPr>
          <w:b/>
          <w:color w:val="000000" w:themeColor="text1"/>
        </w:rPr>
        <w:t xml:space="preserve">describe your audit process—conducted </w:t>
      </w:r>
      <w:r w:rsidR="0053533B">
        <w:rPr>
          <w:b/>
          <w:color w:val="000000" w:themeColor="text1"/>
        </w:rPr>
        <w:t>at least</w:t>
      </w:r>
      <w:r w:rsidR="0053533B" w:rsidRPr="00C57CC0">
        <w:rPr>
          <w:b/>
          <w:color w:val="000000" w:themeColor="text1"/>
        </w:rPr>
        <w:t xml:space="preserve"> quarterly—to verify that stored cardholder data does not exceed retention requirements.]</w:t>
      </w:r>
    </w:p>
    <w:p w:rsidR="0053533B" w:rsidRDefault="001E50A9" w:rsidP="0053533B">
      <w:pPr>
        <w:rPr>
          <w:color w:val="943634" w:themeColor="accent2" w:themeShade="BF"/>
        </w:rPr>
      </w:pPr>
      <w:r w:rsidRPr="001E50A9">
        <w:rPr>
          <w:color w:val="000000" w:themeColor="text1"/>
        </w:rPr>
        <w:t>(9.10)</w:t>
      </w:r>
      <w:r w:rsidR="0053533B" w:rsidRPr="0053533B">
        <w:rPr>
          <w:b/>
          <w:color w:val="000000" w:themeColor="text1"/>
        </w:rPr>
        <w:t xml:space="preserve"> [Be sure to include </w:t>
      </w:r>
      <w:r w:rsidR="0053533B">
        <w:rPr>
          <w:b/>
          <w:color w:val="000000" w:themeColor="text1"/>
        </w:rPr>
        <w:t xml:space="preserve">processes for </w:t>
      </w:r>
      <w:r w:rsidR="0053533B" w:rsidRPr="0053533B">
        <w:rPr>
          <w:b/>
          <w:color w:val="000000" w:themeColor="text1"/>
        </w:rPr>
        <w:t xml:space="preserve">any cardholder data stored on transportable media as well. </w:t>
      </w:r>
      <w:r w:rsidR="00C57CC0" w:rsidRPr="0053533B">
        <w:rPr>
          <w:b/>
          <w:color w:val="000000" w:themeColor="text1"/>
        </w:rPr>
        <w:t xml:space="preserve"> </w:t>
      </w:r>
      <w:r w:rsidR="0077469A">
        <w:rPr>
          <w:b/>
          <w:color w:val="000000" w:themeColor="text1"/>
        </w:rPr>
        <w:t xml:space="preserve">This applies </w:t>
      </w:r>
      <w:r>
        <w:rPr>
          <w:b/>
          <w:color w:val="000000" w:themeColor="text1"/>
        </w:rPr>
        <w:t xml:space="preserve">equally </w:t>
      </w:r>
      <w:r w:rsidR="0077469A">
        <w:rPr>
          <w:b/>
          <w:color w:val="000000" w:themeColor="text1"/>
        </w:rPr>
        <w:t xml:space="preserve">to paper or electronic </w:t>
      </w:r>
      <w:r>
        <w:rPr>
          <w:b/>
          <w:color w:val="000000" w:themeColor="text1"/>
        </w:rPr>
        <w:t>material</w:t>
      </w:r>
      <w:r w:rsidR="0077469A">
        <w:rPr>
          <w:b/>
          <w:color w:val="000000" w:themeColor="text1"/>
        </w:rPr>
        <w:t xml:space="preserve"> kept on-site AND off-site. </w:t>
      </w:r>
      <w:r w:rsidR="0053533B" w:rsidRPr="0053533B">
        <w:rPr>
          <w:b/>
          <w:color w:val="000000" w:themeColor="text1"/>
        </w:rPr>
        <w:t xml:space="preserve">Approved </w:t>
      </w:r>
      <w:r w:rsidR="0053533B">
        <w:rPr>
          <w:b/>
          <w:color w:val="000000" w:themeColor="text1"/>
        </w:rPr>
        <w:t xml:space="preserve">destruction </w:t>
      </w:r>
      <w:r w:rsidR="0053533B" w:rsidRPr="0053533B">
        <w:rPr>
          <w:b/>
          <w:color w:val="000000" w:themeColor="text1"/>
        </w:rPr>
        <w:t xml:space="preserve">methods </w:t>
      </w:r>
      <w:r w:rsidR="0053533B">
        <w:rPr>
          <w:b/>
          <w:color w:val="000000" w:themeColor="text1"/>
        </w:rPr>
        <w:t xml:space="preserve">for hardcopy materials </w:t>
      </w:r>
      <w:r w:rsidR="0053533B" w:rsidRPr="0053533B">
        <w:rPr>
          <w:b/>
          <w:color w:val="000000" w:themeColor="text1"/>
        </w:rPr>
        <w:t>are cross-cut shred, incinerate, or pulping</w:t>
      </w:r>
      <w:r w:rsidR="0053533B">
        <w:rPr>
          <w:b/>
          <w:color w:val="000000" w:themeColor="text1"/>
        </w:rPr>
        <w:t xml:space="preserve">. For electronic media you may </w:t>
      </w:r>
      <w:r w:rsidR="0053533B" w:rsidRPr="0053533B">
        <w:rPr>
          <w:b/>
          <w:color w:val="000000" w:themeColor="text1"/>
        </w:rPr>
        <w:t>purge, degauss, shred, or otherwise destroy electronic media in such a way that data cannot be reconstructed. ]</w:t>
      </w:r>
    </w:p>
    <w:p w:rsidR="000E29A4" w:rsidRPr="00AB0B40" w:rsidRDefault="00AB0B40" w:rsidP="00AB0B40">
      <w:pPr>
        <w:rPr>
          <w:color w:val="000000" w:themeColor="text1"/>
        </w:rPr>
      </w:pPr>
      <w:r w:rsidRPr="00AB0B40">
        <w:t xml:space="preserve">(9.7) Distribution, maintenance, and storage of media containing cardholder data, must be controlled, including that distributed to individuals. (9.9) </w:t>
      </w:r>
      <w:r w:rsidRPr="00AB0B40">
        <w:rPr>
          <w:i/>
          <w:color w:val="943634" w:themeColor="accent2" w:themeShade="BF"/>
        </w:rPr>
        <w:t>The Chief Security Officer or similar</w:t>
      </w:r>
      <w:r>
        <w:t xml:space="preserve"> performs </w:t>
      </w:r>
      <w:r w:rsidRPr="00AB0B40">
        <w:t>periodic media inventories to validate the effectiveness of these controls.</w:t>
      </w:r>
      <w:r>
        <w:t xml:space="preserve"> </w:t>
      </w:r>
      <w:r w:rsidR="007B3247">
        <w:rPr>
          <w:color w:val="000000" w:themeColor="text1"/>
        </w:rPr>
        <w:t>Confidential m</w:t>
      </w:r>
      <w:r w:rsidR="007B3247" w:rsidRPr="001B05F5">
        <w:rPr>
          <w:color w:val="000000" w:themeColor="text1"/>
        </w:rPr>
        <w:t xml:space="preserve">edia sent </w:t>
      </w:r>
      <w:r w:rsidR="007B3247">
        <w:rPr>
          <w:color w:val="000000" w:themeColor="text1"/>
        </w:rPr>
        <w:t xml:space="preserve">or stored </w:t>
      </w:r>
      <w:r w:rsidR="0077469A">
        <w:rPr>
          <w:color w:val="000000" w:themeColor="text1"/>
        </w:rPr>
        <w:t>offsite</w:t>
      </w:r>
      <w:r w:rsidR="007B3247" w:rsidRPr="001B05F5">
        <w:rPr>
          <w:color w:val="000000" w:themeColor="text1"/>
        </w:rPr>
        <w:t xml:space="preserve"> is logged by </w:t>
      </w:r>
      <w:r w:rsidR="007B3247" w:rsidRPr="008F53F5">
        <w:rPr>
          <w:i/>
          <w:color w:val="943634" w:themeColor="accent2" w:themeShade="BF"/>
        </w:rPr>
        <w:t>employee name and/or title</w:t>
      </w:r>
      <w:r w:rsidR="007B3247">
        <w:rPr>
          <w:i/>
          <w:color w:val="943634" w:themeColor="accent2" w:themeShade="BF"/>
        </w:rPr>
        <w:t xml:space="preserve"> </w:t>
      </w:r>
      <w:r w:rsidR="007B3247" w:rsidRPr="001B05F5">
        <w:rPr>
          <w:color w:val="000000" w:themeColor="text1"/>
        </w:rPr>
        <w:t>and authorized by</w:t>
      </w:r>
      <w:r w:rsidR="007B3247" w:rsidRPr="001B05F5">
        <w:rPr>
          <w:i/>
          <w:color w:val="000000" w:themeColor="text1"/>
        </w:rPr>
        <w:t xml:space="preserve"> </w:t>
      </w:r>
      <w:r w:rsidR="008F53F5">
        <w:rPr>
          <w:i/>
          <w:color w:val="943634" w:themeColor="accent2" w:themeShade="BF"/>
        </w:rPr>
        <w:t>Chief Security Officer or similar</w:t>
      </w:r>
      <w:r w:rsidR="007B3247">
        <w:rPr>
          <w:i/>
          <w:color w:val="943634" w:themeColor="accent2" w:themeShade="BF"/>
        </w:rPr>
        <w:t xml:space="preserve">. </w:t>
      </w:r>
      <w:r w:rsidR="007B3247" w:rsidRPr="00A24493">
        <w:rPr>
          <w:color w:val="000000" w:themeColor="text1"/>
        </w:rPr>
        <w:t>Confidential</w:t>
      </w:r>
      <w:r w:rsidR="007B3247" w:rsidRPr="00A24493">
        <w:rPr>
          <w:i/>
          <w:color w:val="000000" w:themeColor="text1"/>
        </w:rPr>
        <w:t xml:space="preserve"> </w:t>
      </w:r>
      <w:r w:rsidR="007B3247" w:rsidRPr="00911B8E">
        <w:rPr>
          <w:color w:val="000000" w:themeColor="text1"/>
        </w:rPr>
        <w:t>m</w:t>
      </w:r>
      <w:r w:rsidR="007B3247" w:rsidRPr="00233664">
        <w:rPr>
          <w:color w:val="000000" w:themeColor="text1"/>
        </w:rPr>
        <w:t xml:space="preserve">edia is only </w:t>
      </w:r>
      <w:r w:rsidR="007B3247">
        <w:rPr>
          <w:color w:val="000000" w:themeColor="text1"/>
        </w:rPr>
        <w:t>released</w:t>
      </w:r>
      <w:r w:rsidR="007B3247" w:rsidRPr="00233664">
        <w:rPr>
          <w:color w:val="000000" w:themeColor="text1"/>
        </w:rPr>
        <w:t xml:space="preserve"> for the following reasons:</w:t>
      </w:r>
      <w:r w:rsidR="007B3247" w:rsidRPr="00233664">
        <w:rPr>
          <w:i/>
          <w:color w:val="000000" w:themeColor="text1"/>
        </w:rPr>
        <w:t xml:space="preserve"> </w:t>
      </w:r>
      <w:r w:rsidR="008F53F5" w:rsidRPr="008F53F5">
        <w:rPr>
          <w:i/>
          <w:color w:val="943634" w:themeColor="accent2" w:themeShade="BF"/>
        </w:rPr>
        <w:t>(</w:t>
      </w:r>
      <w:r w:rsidR="007B3247" w:rsidRPr="008F53F5">
        <w:rPr>
          <w:i/>
          <w:color w:val="943634" w:themeColor="accent2" w:themeShade="BF"/>
        </w:rPr>
        <w:t>offsite archival storage, analysis or processing by FMO, etc.</w:t>
      </w:r>
      <w:r w:rsidR="008F53F5" w:rsidRPr="008F53F5">
        <w:rPr>
          <w:i/>
          <w:color w:val="943634" w:themeColor="accent2" w:themeShade="BF"/>
        </w:rPr>
        <w:t>)</w:t>
      </w:r>
      <w:r w:rsidR="007B3247">
        <w:rPr>
          <w:color w:val="943634" w:themeColor="accent2" w:themeShade="BF"/>
        </w:rPr>
        <w:t xml:space="preserve">. </w:t>
      </w:r>
      <w:r w:rsidR="007B3247">
        <w:rPr>
          <w:color w:val="000000" w:themeColor="text1"/>
        </w:rPr>
        <w:t>Confidential</w:t>
      </w:r>
      <w:r w:rsidR="007B3247" w:rsidRPr="00BB0B11">
        <w:rPr>
          <w:color w:val="000000" w:themeColor="text1"/>
        </w:rPr>
        <w:t xml:space="preserve"> media is sent off-site via </w:t>
      </w:r>
      <w:r w:rsidR="008F53F5" w:rsidRPr="008F53F5">
        <w:rPr>
          <w:i/>
          <w:color w:val="943634" w:themeColor="accent2" w:themeShade="BF"/>
        </w:rPr>
        <w:t>(</w:t>
      </w:r>
      <w:r w:rsidR="007B3247" w:rsidRPr="008F53F5">
        <w:rPr>
          <w:i/>
          <w:color w:val="943634" w:themeColor="accent2" w:themeShade="BF"/>
        </w:rPr>
        <w:t>a secured courier or other delivery method that ca</w:t>
      </w:r>
      <w:r w:rsidR="008F53F5" w:rsidRPr="008F53F5">
        <w:rPr>
          <w:i/>
          <w:color w:val="943634" w:themeColor="accent2" w:themeShade="BF"/>
        </w:rPr>
        <w:t>n be tracked. Describe it here.)</w:t>
      </w:r>
      <w:r w:rsidR="001E50A9">
        <w:rPr>
          <w:i/>
          <w:color w:val="943634" w:themeColor="accent2" w:themeShade="BF"/>
        </w:rPr>
        <w:t>.</w:t>
      </w:r>
    </w:p>
    <w:p w:rsidR="00ED4ECA" w:rsidRPr="00ED4ECA" w:rsidRDefault="00ED4ECA" w:rsidP="00ED4ECA">
      <w:pPr>
        <w:pStyle w:val="Heading2"/>
      </w:pPr>
      <w:r w:rsidRPr="00ED4ECA">
        <w:t>Access to Cardholder Data</w:t>
      </w:r>
    </w:p>
    <w:p w:rsidR="00ED4ECA" w:rsidRDefault="00A83BBE" w:rsidP="00ED4ECA">
      <w:pPr>
        <w:rPr>
          <w:i/>
          <w:color w:val="943634" w:themeColor="accent2" w:themeShade="BF"/>
        </w:rPr>
      </w:pPr>
      <w:r>
        <w:t xml:space="preserve"> (7.1, 8.5.1) </w:t>
      </w:r>
      <w:r w:rsidR="00ED4ECA">
        <w:t xml:space="preserve">Access to full cardholder data is restricted to “need to know” based on job duties. Only those with the following job </w:t>
      </w:r>
      <w:r>
        <w:t>classification</w:t>
      </w:r>
      <w:r w:rsidR="00ED4ECA">
        <w:t xml:space="preserve"> or duties are allowed access to cardholder data: </w:t>
      </w:r>
      <w:r>
        <w:rPr>
          <w:i/>
          <w:color w:val="943634" w:themeColor="accent2" w:themeShade="BF"/>
        </w:rPr>
        <w:t>list job titles or duties</w:t>
      </w:r>
    </w:p>
    <w:p w:rsidR="00ED4ECA" w:rsidRDefault="00ED4ECA" w:rsidP="00ED4ECA">
      <w:pPr>
        <w:rPr>
          <w:i/>
          <w:color w:val="C00000"/>
        </w:rPr>
      </w:pPr>
      <w:r w:rsidRPr="00C72AEF">
        <w:rPr>
          <w:i/>
          <w:color w:val="943634" w:themeColor="accent2" w:themeShade="BF"/>
        </w:rPr>
        <w:lastRenderedPageBreak/>
        <w:t>[Office name]</w:t>
      </w:r>
      <w:r w:rsidRPr="00A7300D">
        <w:rPr>
          <w:color w:val="943634" w:themeColor="accent2" w:themeShade="BF"/>
        </w:rPr>
        <w:t xml:space="preserve"> </w:t>
      </w:r>
      <w:r>
        <w:t>requires current authorization forms for each employee with access to cardholder data. The authorization form specifies the type and extent of access the employee has, and is signed by management.</w:t>
      </w:r>
    </w:p>
    <w:p w:rsidR="00ED4ECA" w:rsidRDefault="00ED4ECA" w:rsidP="00ED4ECA">
      <w:r w:rsidRPr="00A83BBE">
        <w:rPr>
          <w:b/>
        </w:rPr>
        <w:t xml:space="preserve"> [If storing electronically]</w:t>
      </w:r>
      <w:r>
        <w:t xml:space="preserve">  Procedures for user account creation and management are documented in university SAP 29.01.99.M1.03 Account Management. </w:t>
      </w:r>
      <w:r w:rsidR="00A83BBE">
        <w:t xml:space="preserve">Access rights to privileged User IDs are restricted to least privileges necessary to perform job responsibilities. </w:t>
      </w:r>
      <w:r>
        <w:t xml:space="preserve">User access permissions are handled via the automated role-based control system, described as </w:t>
      </w:r>
      <w:r w:rsidRPr="00C72AEF">
        <w:rPr>
          <w:i/>
          <w:color w:val="943634" w:themeColor="accent2" w:themeShade="BF"/>
        </w:rPr>
        <w:t>[describe how you implement user roles in your access control system]</w:t>
      </w:r>
      <w:r>
        <w:t xml:space="preserve">. </w:t>
      </w:r>
    </w:p>
    <w:p w:rsidR="00341C69" w:rsidRPr="00B551F0" w:rsidRDefault="00341C69" w:rsidP="00341C69">
      <w:r w:rsidRPr="00B551F0">
        <w:t xml:space="preserve">Vendor user accounts </w:t>
      </w:r>
      <w:r w:rsidRPr="00B551F0">
        <w:rPr>
          <w:color w:val="943634" w:themeColor="accent2" w:themeShade="BF"/>
        </w:rPr>
        <w:t>[are/are not]</w:t>
      </w:r>
      <w:r w:rsidRPr="00B551F0">
        <w:t xml:space="preserve"> permitted in our department’s cardholder data environment. </w:t>
      </w:r>
      <w:r w:rsidRPr="00B551F0">
        <w:rPr>
          <w:b/>
        </w:rPr>
        <w:t>[If permitted]</w:t>
      </w:r>
      <w:r>
        <w:rPr>
          <w:b/>
        </w:rPr>
        <w:t xml:space="preserve">  </w:t>
      </w:r>
      <w:r w:rsidRPr="00B551F0">
        <w:t xml:space="preserve">Vendor accounts are </w:t>
      </w:r>
      <w:r>
        <w:t xml:space="preserve">governed by university SAP 29.01.99.M1.22 Vendor Access. Accounts are </w:t>
      </w:r>
      <w:r w:rsidRPr="00B551F0">
        <w:t>disabled except when needed by the vendor and monitored while in use.</w:t>
      </w:r>
    </w:p>
    <w:p w:rsidR="00A83BBE" w:rsidRDefault="00A83BBE" w:rsidP="00A83BBE">
      <w:pPr>
        <w:pStyle w:val="Heading2"/>
        <w:rPr>
          <w:rFonts w:eastAsia="Times New Roman"/>
        </w:rPr>
      </w:pPr>
      <w:r>
        <w:rPr>
          <w:rFonts w:eastAsia="Times New Roman"/>
        </w:rPr>
        <w:t>Critical Employee-Facing Technologies</w:t>
      </w:r>
    </w:p>
    <w:p w:rsidR="00A83BBE" w:rsidRDefault="00A83BBE" w:rsidP="00A83BBE">
      <w:r w:rsidRPr="00A83BBE">
        <w:rPr>
          <w:rFonts w:eastAsia="Times New Roman"/>
        </w:rPr>
        <w:t>(12.3</w:t>
      </w:r>
      <w:r w:rsidR="00450BD3">
        <w:rPr>
          <w:rFonts w:eastAsia="Times New Roman"/>
        </w:rPr>
        <w:t>.5</w:t>
      </w:r>
      <w:r w:rsidRPr="00A83BBE">
        <w:rPr>
          <w:rFonts w:eastAsia="Times New Roman"/>
        </w:rPr>
        <w:t xml:space="preserve">) </w:t>
      </w:r>
      <w:r w:rsidRPr="00C16C9B">
        <w:rPr>
          <w:color w:val="000000" w:themeColor="text1"/>
        </w:rPr>
        <w:t xml:space="preserve">University SAP 29.01.99.M1.02 Acceptable Use </w:t>
      </w:r>
      <w:r>
        <w:t xml:space="preserve">identifies relevant policies and procedures that pertain to aspects of acceptable use of information resources. Within the transaction environment, information technology </w:t>
      </w:r>
      <w:r w:rsidR="00450BD3">
        <w:t xml:space="preserve">is restricted </w:t>
      </w:r>
      <w:r>
        <w:t>to only mission-critical systems.</w:t>
      </w:r>
    </w:p>
    <w:p w:rsidR="00A2119D" w:rsidRPr="00A2119D" w:rsidRDefault="00A2119D" w:rsidP="00A2119D">
      <w:pPr>
        <w:rPr>
          <w:rFonts w:eastAsia="Times New Roman"/>
        </w:rPr>
      </w:pPr>
      <w:r>
        <w:t xml:space="preserve">Remote access to the cardholder data environment </w:t>
      </w:r>
      <w:r w:rsidRPr="00A2119D">
        <w:rPr>
          <w:i/>
          <w:color w:val="943634" w:themeColor="accent2" w:themeShade="BF"/>
        </w:rPr>
        <w:t>is/is not</w:t>
      </w:r>
      <w:r w:rsidRPr="00A2119D">
        <w:rPr>
          <w:color w:val="943634" w:themeColor="accent2" w:themeShade="BF"/>
        </w:rPr>
        <w:t xml:space="preserve"> </w:t>
      </w:r>
      <w:r>
        <w:t xml:space="preserve">permitted. </w:t>
      </w:r>
      <w:r w:rsidRPr="00A2119D">
        <w:rPr>
          <w:b/>
        </w:rPr>
        <w:t>[If permitted</w:t>
      </w:r>
      <w:r>
        <w:rPr>
          <w:b/>
        </w:rPr>
        <w:t>, add the following bullets.</w:t>
      </w:r>
      <w:r w:rsidRPr="00A2119D">
        <w:rPr>
          <w:b/>
        </w:rPr>
        <w:t>]</w:t>
      </w:r>
    </w:p>
    <w:p w:rsidR="00A2119D" w:rsidRPr="00A83BBE" w:rsidRDefault="00A2119D" w:rsidP="00A2119D">
      <w:pPr>
        <w:pStyle w:val="ListParagraph"/>
        <w:numPr>
          <w:ilvl w:val="0"/>
          <w:numId w:val="11"/>
        </w:numPr>
        <w:rPr>
          <w:rFonts w:eastAsia="Times New Roman"/>
        </w:rPr>
      </w:pPr>
      <w:r w:rsidRPr="00A83BBE">
        <w:rPr>
          <w:rFonts w:eastAsia="Times New Roman"/>
        </w:rPr>
        <w:t>(12.3.10) the storage of cardholder data onto local hard drives and removable electronic media when accessing such data via remote access technologies</w:t>
      </w:r>
      <w:r>
        <w:rPr>
          <w:rFonts w:eastAsia="Times New Roman"/>
        </w:rPr>
        <w:t xml:space="preserve"> is prohibited.</w:t>
      </w:r>
    </w:p>
    <w:p w:rsidR="00A2119D" w:rsidRPr="00A83BBE" w:rsidRDefault="00A2119D" w:rsidP="00A2119D">
      <w:pPr>
        <w:pStyle w:val="ListParagraph"/>
        <w:numPr>
          <w:ilvl w:val="0"/>
          <w:numId w:val="11"/>
        </w:numPr>
        <w:rPr>
          <w:rFonts w:eastAsia="Times New Roman"/>
        </w:rPr>
      </w:pPr>
      <w:r w:rsidRPr="00A83BBE">
        <w:rPr>
          <w:rFonts w:eastAsia="Times New Roman"/>
        </w:rPr>
        <w:t xml:space="preserve">(12.3.10) copy, move, storage and print functions </w:t>
      </w:r>
      <w:r>
        <w:rPr>
          <w:rFonts w:eastAsia="Times New Roman"/>
        </w:rPr>
        <w:t xml:space="preserve">are prohibited </w:t>
      </w:r>
      <w:r w:rsidRPr="00A83BBE">
        <w:rPr>
          <w:rFonts w:eastAsia="Times New Roman"/>
        </w:rPr>
        <w:t>during remote access</w:t>
      </w:r>
      <w:r>
        <w:rPr>
          <w:rFonts w:eastAsia="Times New Roman"/>
        </w:rPr>
        <w:t>.</w:t>
      </w:r>
    </w:p>
    <w:p w:rsidR="00A83BBE" w:rsidRPr="00A83BBE" w:rsidRDefault="00A83BBE" w:rsidP="00A83BBE">
      <w:pPr>
        <w:rPr>
          <w:rFonts w:eastAsia="Times New Roman"/>
        </w:rPr>
      </w:pPr>
      <w:r w:rsidRPr="00A83BBE">
        <w:rPr>
          <w:rFonts w:eastAsia="Times New Roman"/>
        </w:rPr>
        <w:t xml:space="preserve">For critical employee-facing technologies (inclusive of remote access technologies, wireless technologies, removable electronic media, email usage, internet usage, laptops, and personal data/digital assistants), </w:t>
      </w:r>
      <w:r w:rsidR="00A2119D">
        <w:rPr>
          <w:rFonts w:eastAsia="Times New Roman"/>
        </w:rPr>
        <w:t xml:space="preserve">the following is </w:t>
      </w:r>
      <w:r w:rsidRPr="00A83BBE">
        <w:rPr>
          <w:rFonts w:eastAsia="Times New Roman"/>
        </w:rPr>
        <w:t>require</w:t>
      </w:r>
      <w:r w:rsidR="00A2119D">
        <w:rPr>
          <w:rFonts w:eastAsia="Times New Roman"/>
        </w:rPr>
        <w:t>d</w:t>
      </w:r>
      <w:r w:rsidRPr="00A83BBE">
        <w:rPr>
          <w:rFonts w:eastAsia="Times New Roman"/>
        </w:rPr>
        <w:t>:</w:t>
      </w:r>
    </w:p>
    <w:p w:rsidR="00A83BBE" w:rsidRPr="00A83BBE" w:rsidRDefault="00A83BBE" w:rsidP="00A83BBE">
      <w:pPr>
        <w:pStyle w:val="ListParagraph"/>
        <w:numPr>
          <w:ilvl w:val="0"/>
          <w:numId w:val="10"/>
        </w:numPr>
        <w:rPr>
          <w:rFonts w:eastAsia="Times New Roman"/>
        </w:rPr>
      </w:pPr>
      <w:r w:rsidRPr="00A83BBE">
        <w:rPr>
          <w:rFonts w:eastAsia="Times New Roman"/>
        </w:rPr>
        <w:t>(12.3.1) explicit management approval to use the devices</w:t>
      </w:r>
    </w:p>
    <w:p w:rsidR="00A83BBE" w:rsidRPr="00A83BBE" w:rsidRDefault="00A83BBE" w:rsidP="00A83BBE">
      <w:pPr>
        <w:pStyle w:val="ListParagraph"/>
        <w:numPr>
          <w:ilvl w:val="0"/>
          <w:numId w:val="10"/>
        </w:numPr>
        <w:rPr>
          <w:rFonts w:eastAsia="Times New Roman"/>
        </w:rPr>
      </w:pPr>
      <w:r w:rsidRPr="00A83BBE">
        <w:rPr>
          <w:rFonts w:eastAsia="Times New Roman"/>
        </w:rPr>
        <w:t>(12.3.2) that all device use is authenticated with username and password or other authentication item (for example, token)</w:t>
      </w:r>
    </w:p>
    <w:p w:rsidR="00A83BBE" w:rsidRPr="00A83BBE" w:rsidRDefault="00A83BBE" w:rsidP="00A83BBE">
      <w:pPr>
        <w:pStyle w:val="ListParagraph"/>
        <w:numPr>
          <w:ilvl w:val="0"/>
          <w:numId w:val="10"/>
        </w:numPr>
        <w:rPr>
          <w:rFonts w:eastAsia="Times New Roman"/>
        </w:rPr>
      </w:pPr>
      <w:r w:rsidRPr="00A83BBE">
        <w:rPr>
          <w:rFonts w:eastAsia="Times New Roman"/>
        </w:rPr>
        <w:t>(12.3.3) a list of all devices and personnel authorized to use the devices</w:t>
      </w:r>
    </w:p>
    <w:p w:rsidR="00A83BBE" w:rsidRPr="00A83BBE" w:rsidRDefault="00A83BBE" w:rsidP="00A83BBE">
      <w:pPr>
        <w:pStyle w:val="ListParagraph"/>
        <w:numPr>
          <w:ilvl w:val="0"/>
          <w:numId w:val="10"/>
        </w:numPr>
        <w:rPr>
          <w:rFonts w:eastAsia="Times New Roman"/>
        </w:rPr>
      </w:pPr>
      <w:r w:rsidRPr="00A83BBE">
        <w:rPr>
          <w:rFonts w:eastAsia="Times New Roman"/>
        </w:rPr>
        <w:t>(12.3.4) labeling of devices with owner, contact information, and purpose</w:t>
      </w:r>
    </w:p>
    <w:p w:rsidR="00A83BBE" w:rsidRPr="00A83BBE" w:rsidRDefault="00A83BBE" w:rsidP="00A83BBE">
      <w:pPr>
        <w:pStyle w:val="ListParagraph"/>
        <w:numPr>
          <w:ilvl w:val="0"/>
          <w:numId w:val="10"/>
        </w:numPr>
        <w:rPr>
          <w:rFonts w:eastAsia="Times New Roman"/>
        </w:rPr>
      </w:pPr>
      <w:r w:rsidRPr="00A83BBE">
        <w:rPr>
          <w:rFonts w:eastAsia="Times New Roman"/>
        </w:rPr>
        <w:t>(12.3.8) automatic disconnect of remote access technology sessions after a specific period of inactivity</w:t>
      </w:r>
    </w:p>
    <w:p w:rsidR="00A83BBE" w:rsidRPr="00A83BBE" w:rsidRDefault="00A83BBE" w:rsidP="00A83BBE">
      <w:pPr>
        <w:pStyle w:val="ListParagraph"/>
        <w:numPr>
          <w:ilvl w:val="0"/>
          <w:numId w:val="10"/>
        </w:numPr>
        <w:rPr>
          <w:rFonts w:eastAsia="Times New Roman"/>
        </w:rPr>
      </w:pPr>
      <w:r w:rsidRPr="00A83BBE">
        <w:rPr>
          <w:rFonts w:eastAsia="Times New Roman"/>
        </w:rPr>
        <w:t>(12.3.9) activation of remote access technologies used by vendors only when needed by vendors, with immediate deactivation after use</w:t>
      </w:r>
      <w:r w:rsidR="00A2119D">
        <w:rPr>
          <w:rFonts w:eastAsia="Times New Roman"/>
        </w:rPr>
        <w:t>.</w:t>
      </w:r>
    </w:p>
    <w:p w:rsidR="00A83BBE" w:rsidRDefault="00186B98" w:rsidP="00186B98">
      <w:pPr>
        <w:rPr>
          <w:rFonts w:eastAsia="Times New Roman"/>
        </w:rPr>
      </w:pPr>
      <w:r>
        <w:rPr>
          <w:rFonts w:eastAsia="Times New Roman"/>
        </w:rPr>
        <w:t xml:space="preserve">The attached </w:t>
      </w:r>
      <w:r w:rsidR="00A83BBE" w:rsidRPr="00A83BBE">
        <w:rPr>
          <w:rFonts w:eastAsia="Times New Roman"/>
        </w:rPr>
        <w:t xml:space="preserve">Departmental </w:t>
      </w:r>
      <w:r>
        <w:rPr>
          <w:rFonts w:eastAsia="Times New Roman"/>
        </w:rPr>
        <w:t>U</w:t>
      </w:r>
      <w:r w:rsidR="00A83BBE" w:rsidRPr="00A83BBE">
        <w:rPr>
          <w:rFonts w:eastAsia="Times New Roman"/>
        </w:rPr>
        <w:t xml:space="preserve">sage </w:t>
      </w:r>
      <w:r>
        <w:rPr>
          <w:rFonts w:eastAsia="Times New Roman"/>
        </w:rPr>
        <w:t>S</w:t>
      </w:r>
      <w:r w:rsidR="00A83BBE" w:rsidRPr="00A83BBE">
        <w:rPr>
          <w:rFonts w:eastAsia="Times New Roman"/>
        </w:rPr>
        <w:t xml:space="preserve">tandards </w:t>
      </w:r>
      <w:r>
        <w:rPr>
          <w:rFonts w:eastAsia="Times New Roman"/>
        </w:rPr>
        <w:t xml:space="preserve">includes </w:t>
      </w:r>
      <w:r w:rsidR="00A83BBE" w:rsidRPr="00A83BBE">
        <w:rPr>
          <w:rFonts w:eastAsia="Times New Roman"/>
        </w:rPr>
        <w:t xml:space="preserve">(12.3.7) a list of </w:t>
      </w:r>
      <w:r w:rsidR="00450BD3">
        <w:rPr>
          <w:rFonts w:eastAsia="Times New Roman"/>
        </w:rPr>
        <w:t xml:space="preserve">information technology </w:t>
      </w:r>
      <w:r w:rsidR="00A83BBE" w:rsidRPr="00A83BBE">
        <w:rPr>
          <w:rFonts w:eastAsia="Times New Roman"/>
        </w:rPr>
        <w:t>products</w:t>
      </w:r>
      <w:r w:rsidR="00450BD3">
        <w:rPr>
          <w:rFonts w:eastAsia="Times New Roman"/>
        </w:rPr>
        <w:t xml:space="preserve"> approved for the cardholder data environment</w:t>
      </w:r>
      <w:r w:rsidR="00A2119D">
        <w:rPr>
          <w:rFonts w:eastAsia="Times New Roman"/>
        </w:rPr>
        <w:t xml:space="preserve"> and </w:t>
      </w:r>
      <w:r w:rsidR="00A2119D" w:rsidRPr="00A83BBE">
        <w:rPr>
          <w:rFonts w:eastAsia="Times New Roman"/>
        </w:rPr>
        <w:t>(12.3.6) acceptable network locations for the technology</w:t>
      </w:r>
      <w:r>
        <w:rPr>
          <w:rFonts w:eastAsia="Times New Roman"/>
        </w:rPr>
        <w:t>.</w:t>
      </w:r>
    </w:p>
    <w:p w:rsidR="00186B98" w:rsidRDefault="00186B98" w:rsidP="00DE1ED0">
      <w:pPr>
        <w:pStyle w:val="Heading2"/>
      </w:pPr>
      <w:r>
        <w:lastRenderedPageBreak/>
        <w:t>Roles &amp; Responsibilities</w:t>
      </w:r>
    </w:p>
    <w:p w:rsidR="00186B98" w:rsidRPr="00186B98" w:rsidRDefault="00186B98" w:rsidP="00186B98">
      <w:pPr>
        <w:rPr>
          <w:rFonts w:eastAsia="Times New Roman"/>
        </w:rPr>
      </w:pPr>
      <w:r w:rsidRPr="00186B98">
        <w:rPr>
          <w:rFonts w:eastAsia="Times New Roman"/>
        </w:rPr>
        <w:t xml:space="preserve">(12.5) </w:t>
      </w:r>
      <w:proofErr w:type="gramStart"/>
      <w:r w:rsidRPr="00186B98">
        <w:rPr>
          <w:rFonts w:eastAsia="Times New Roman"/>
          <w:i/>
          <w:color w:val="943634" w:themeColor="accent2" w:themeShade="BF"/>
        </w:rPr>
        <w:t>Your</w:t>
      </w:r>
      <w:proofErr w:type="gramEnd"/>
      <w:r w:rsidRPr="00186B98">
        <w:rPr>
          <w:rFonts w:eastAsia="Times New Roman"/>
          <w:i/>
          <w:color w:val="943634" w:themeColor="accent2" w:themeShade="BF"/>
        </w:rPr>
        <w:t xml:space="preserve"> department’s equivalent to a Chief Security Officer</w:t>
      </w:r>
      <w:r w:rsidRPr="00186B98">
        <w:rPr>
          <w:rFonts w:eastAsia="Times New Roman"/>
        </w:rPr>
        <w:t xml:space="preserve"> is responsible for overseeing all aspects of information security, including but not limited to:</w:t>
      </w:r>
    </w:p>
    <w:p w:rsidR="00186B98" w:rsidRPr="00186B98" w:rsidRDefault="00186B98" w:rsidP="00186B98">
      <w:pPr>
        <w:pStyle w:val="ListParagraph"/>
        <w:numPr>
          <w:ilvl w:val="0"/>
          <w:numId w:val="16"/>
        </w:numPr>
        <w:rPr>
          <w:rFonts w:eastAsia="Times New Roman"/>
        </w:rPr>
      </w:pPr>
      <w:r w:rsidRPr="00186B98">
        <w:rPr>
          <w:rFonts w:eastAsia="Times New Roman"/>
        </w:rPr>
        <w:t>(12.5.1) creating and distributing security policies and procedures</w:t>
      </w:r>
    </w:p>
    <w:p w:rsidR="00186B98" w:rsidRPr="00186B98" w:rsidRDefault="00186B98" w:rsidP="00186B98">
      <w:pPr>
        <w:pStyle w:val="ListParagraph"/>
        <w:numPr>
          <w:ilvl w:val="0"/>
          <w:numId w:val="16"/>
        </w:numPr>
        <w:rPr>
          <w:rFonts w:eastAsia="Times New Roman"/>
        </w:rPr>
      </w:pPr>
      <w:r w:rsidRPr="00186B98">
        <w:rPr>
          <w:rFonts w:eastAsia="Times New Roman"/>
        </w:rPr>
        <w:t>(12.5.2) monitoring and analyzing security alerts and distributing information to appropriate information security and business unit management personnel</w:t>
      </w:r>
    </w:p>
    <w:p w:rsidR="00186B98" w:rsidRPr="00186B98" w:rsidRDefault="00186B98" w:rsidP="00186B98">
      <w:pPr>
        <w:pStyle w:val="ListParagraph"/>
        <w:numPr>
          <w:ilvl w:val="0"/>
          <w:numId w:val="16"/>
        </w:numPr>
        <w:rPr>
          <w:rFonts w:eastAsia="Times New Roman"/>
        </w:rPr>
      </w:pPr>
      <w:r w:rsidRPr="00186B98">
        <w:rPr>
          <w:rFonts w:eastAsia="Times New Roman"/>
        </w:rPr>
        <w:t xml:space="preserve">(12.5.3) (12.9) creating and distributing </w:t>
      </w:r>
      <w:r w:rsidR="00A2736B">
        <w:rPr>
          <w:rFonts w:eastAsia="Times New Roman"/>
        </w:rPr>
        <w:t xml:space="preserve">the </w:t>
      </w:r>
      <w:r w:rsidRPr="00186B98">
        <w:rPr>
          <w:rFonts w:eastAsia="Times New Roman"/>
        </w:rPr>
        <w:t xml:space="preserve">security </w:t>
      </w:r>
      <w:r w:rsidR="00A2736B">
        <w:rPr>
          <w:rFonts w:eastAsia="Times New Roman"/>
        </w:rPr>
        <w:t>I</w:t>
      </w:r>
      <w:r w:rsidRPr="00186B98">
        <w:rPr>
          <w:rFonts w:eastAsia="Times New Roman"/>
        </w:rPr>
        <w:t xml:space="preserve">ncident </w:t>
      </w:r>
      <w:r w:rsidR="00A2736B">
        <w:rPr>
          <w:rFonts w:eastAsia="Times New Roman"/>
        </w:rPr>
        <w:t>R</w:t>
      </w:r>
      <w:r w:rsidRPr="00186B98">
        <w:rPr>
          <w:rFonts w:eastAsia="Times New Roman"/>
        </w:rPr>
        <w:t>esponse and escalation procedures</w:t>
      </w:r>
      <w:r w:rsidR="00A2736B">
        <w:rPr>
          <w:rFonts w:eastAsia="Times New Roman"/>
        </w:rPr>
        <w:t xml:space="preserve">, referenced in </w:t>
      </w:r>
      <w:r w:rsidR="00A2736B" w:rsidRPr="00655C7E">
        <w:rPr>
          <w:color w:val="000000" w:themeColor="text1"/>
        </w:rPr>
        <w:t xml:space="preserve">SAP 29.01.99.M1.09 Incident Management. </w:t>
      </w:r>
      <w:r w:rsidRPr="00186B98">
        <w:rPr>
          <w:rFonts w:eastAsia="Times New Roman"/>
        </w:rPr>
        <w:t xml:space="preserve"> </w:t>
      </w:r>
      <w:r w:rsidR="00A2736B">
        <w:rPr>
          <w:rFonts w:eastAsia="Times New Roman"/>
        </w:rPr>
        <w:t xml:space="preserve">The PCI-related security Incident Response plan </w:t>
      </w:r>
      <w:r w:rsidRPr="00186B98">
        <w:rPr>
          <w:rFonts w:eastAsia="Times New Roman"/>
        </w:rPr>
        <w:t>include</w:t>
      </w:r>
      <w:r w:rsidR="00A2736B">
        <w:rPr>
          <w:rFonts w:eastAsia="Times New Roman"/>
        </w:rPr>
        <w:t>s</w:t>
      </w:r>
      <w:r w:rsidRPr="00186B98">
        <w:rPr>
          <w:rFonts w:eastAsia="Times New Roman"/>
        </w:rPr>
        <w:t>:</w:t>
      </w:r>
    </w:p>
    <w:p w:rsidR="00186B98" w:rsidRPr="00186B98" w:rsidRDefault="00186B98" w:rsidP="00186B98">
      <w:pPr>
        <w:pStyle w:val="ListParagraph"/>
        <w:numPr>
          <w:ilvl w:val="1"/>
          <w:numId w:val="16"/>
        </w:numPr>
        <w:rPr>
          <w:rFonts w:eastAsia="Times New Roman"/>
        </w:rPr>
      </w:pPr>
      <w:r w:rsidRPr="00186B98">
        <w:rPr>
          <w:rFonts w:eastAsia="Times New Roman"/>
        </w:rPr>
        <w:t>(12.9.1) roles, responsibilities, and communication</w:t>
      </w:r>
    </w:p>
    <w:p w:rsidR="00186B98" w:rsidRPr="00186B98" w:rsidRDefault="00186B98" w:rsidP="00186B98">
      <w:pPr>
        <w:pStyle w:val="ListParagraph"/>
        <w:numPr>
          <w:ilvl w:val="1"/>
          <w:numId w:val="16"/>
        </w:numPr>
        <w:rPr>
          <w:rFonts w:eastAsia="Times New Roman"/>
        </w:rPr>
      </w:pPr>
      <w:r w:rsidRPr="00186B98">
        <w:rPr>
          <w:rFonts w:eastAsia="Times New Roman"/>
        </w:rPr>
        <w:t>(12.9.1) coverage and responses for all critical system components</w:t>
      </w:r>
    </w:p>
    <w:p w:rsidR="00186B98" w:rsidRPr="00186B98" w:rsidRDefault="00A2736B" w:rsidP="00186B98">
      <w:pPr>
        <w:pStyle w:val="ListParagraph"/>
        <w:numPr>
          <w:ilvl w:val="1"/>
          <w:numId w:val="16"/>
        </w:numPr>
        <w:rPr>
          <w:rFonts w:eastAsia="Times New Roman"/>
        </w:rPr>
      </w:pPr>
      <w:r>
        <w:rPr>
          <w:rFonts w:eastAsia="Times New Roman"/>
        </w:rPr>
        <w:t>(12.9.1) notification</w:t>
      </w:r>
      <w:r w:rsidR="00186B98" w:rsidRPr="00186B98">
        <w:rPr>
          <w:rFonts w:eastAsia="Times New Roman"/>
        </w:rPr>
        <w:t xml:space="preserve">, at a minimum, </w:t>
      </w:r>
      <w:r>
        <w:rPr>
          <w:rFonts w:eastAsia="Times New Roman"/>
        </w:rPr>
        <w:t xml:space="preserve">to </w:t>
      </w:r>
      <w:r w:rsidRPr="00A2736B">
        <w:rPr>
          <w:rFonts w:eastAsia="Times New Roman"/>
          <w:i/>
          <w:color w:val="943634" w:themeColor="accent2" w:themeShade="BF"/>
        </w:rPr>
        <w:t>the department head or equivalent</w:t>
      </w:r>
      <w:r>
        <w:rPr>
          <w:rFonts w:eastAsia="Times New Roman"/>
        </w:rPr>
        <w:t xml:space="preserve">, FMO, and CIS. </w:t>
      </w:r>
    </w:p>
    <w:p w:rsidR="00186B98" w:rsidRPr="00186B98" w:rsidRDefault="00186B98" w:rsidP="00186B98">
      <w:pPr>
        <w:pStyle w:val="ListParagraph"/>
        <w:numPr>
          <w:ilvl w:val="1"/>
          <w:numId w:val="16"/>
        </w:numPr>
        <w:rPr>
          <w:rFonts w:eastAsia="Times New Roman"/>
        </w:rPr>
      </w:pPr>
      <w:r w:rsidRPr="00186B98">
        <w:rPr>
          <w:rFonts w:eastAsia="Times New Roman"/>
        </w:rPr>
        <w:t>(12.9.1) strate</w:t>
      </w:r>
      <w:r w:rsidR="00A2736B">
        <w:rPr>
          <w:rFonts w:eastAsia="Times New Roman"/>
        </w:rPr>
        <w:t>gy for business continuity post-</w:t>
      </w:r>
      <w:r w:rsidRPr="00186B98">
        <w:rPr>
          <w:rFonts w:eastAsia="Times New Roman"/>
        </w:rPr>
        <w:t>compromise</w:t>
      </w:r>
    </w:p>
    <w:p w:rsidR="00186B98" w:rsidRPr="00186B98" w:rsidRDefault="00186B98" w:rsidP="00186B98">
      <w:pPr>
        <w:pStyle w:val="ListParagraph"/>
        <w:numPr>
          <w:ilvl w:val="1"/>
          <w:numId w:val="16"/>
        </w:numPr>
        <w:rPr>
          <w:rFonts w:eastAsia="Times New Roman"/>
        </w:rPr>
      </w:pPr>
      <w:r w:rsidRPr="00186B98">
        <w:rPr>
          <w:rFonts w:eastAsia="Times New Roman"/>
        </w:rPr>
        <w:t>(12.9.1) reference or inclusion of incident response procedures from card associations</w:t>
      </w:r>
    </w:p>
    <w:p w:rsidR="00186B98" w:rsidRPr="00186B98" w:rsidRDefault="00186B98" w:rsidP="00186B98">
      <w:pPr>
        <w:pStyle w:val="ListParagraph"/>
        <w:numPr>
          <w:ilvl w:val="1"/>
          <w:numId w:val="16"/>
        </w:numPr>
        <w:rPr>
          <w:rFonts w:eastAsia="Times New Roman"/>
        </w:rPr>
      </w:pPr>
      <w:r w:rsidRPr="00186B98">
        <w:rPr>
          <w:rFonts w:eastAsia="Times New Roman"/>
        </w:rPr>
        <w:t>(12.9.1) analysis of legal requirements for reporting compromises</w:t>
      </w:r>
    </w:p>
    <w:p w:rsidR="00186B98" w:rsidRPr="00186B98" w:rsidRDefault="00186B98" w:rsidP="00186B98">
      <w:pPr>
        <w:pStyle w:val="ListParagraph"/>
        <w:numPr>
          <w:ilvl w:val="0"/>
          <w:numId w:val="16"/>
        </w:numPr>
        <w:rPr>
          <w:rFonts w:eastAsia="Times New Roman"/>
        </w:rPr>
      </w:pPr>
      <w:r w:rsidRPr="00186B98">
        <w:rPr>
          <w:rFonts w:eastAsia="Times New Roman"/>
        </w:rPr>
        <w:t>(12.9.2) annual testing</w:t>
      </w:r>
    </w:p>
    <w:p w:rsidR="00186B98" w:rsidRPr="00186B98" w:rsidRDefault="00186B98" w:rsidP="00186B98">
      <w:pPr>
        <w:pStyle w:val="ListParagraph"/>
        <w:numPr>
          <w:ilvl w:val="0"/>
          <w:numId w:val="16"/>
        </w:numPr>
        <w:rPr>
          <w:rFonts w:eastAsia="Times New Roman"/>
        </w:rPr>
      </w:pPr>
      <w:r w:rsidRPr="00186B98">
        <w:rPr>
          <w:rFonts w:eastAsia="Times New Roman"/>
        </w:rPr>
        <w:t>(12.9.3, 12.9.5) designation of personnel to monitor for intrusion detection, intrusion prevention, and file integrity monitoring alerts on a 24/7 basis</w:t>
      </w:r>
    </w:p>
    <w:p w:rsidR="00186B98" w:rsidRPr="00186B98" w:rsidRDefault="00186B98" w:rsidP="00186B98">
      <w:pPr>
        <w:pStyle w:val="ListParagraph"/>
        <w:numPr>
          <w:ilvl w:val="0"/>
          <w:numId w:val="16"/>
        </w:numPr>
        <w:rPr>
          <w:rFonts w:eastAsia="Times New Roman"/>
        </w:rPr>
      </w:pPr>
      <w:r w:rsidRPr="00186B98">
        <w:rPr>
          <w:rFonts w:eastAsia="Times New Roman"/>
        </w:rPr>
        <w:t>(</w:t>
      </w:r>
      <w:r w:rsidR="004702E2" w:rsidRPr="00186B98">
        <w:rPr>
          <w:rFonts w:eastAsia="Times New Roman"/>
        </w:rPr>
        <w:t>12.6; 12.6.</w:t>
      </w:r>
      <w:r w:rsidR="004702E2">
        <w:rPr>
          <w:rFonts w:eastAsia="Times New Roman"/>
        </w:rPr>
        <w:t xml:space="preserve">1.a; </w:t>
      </w:r>
      <w:r w:rsidRPr="00186B98">
        <w:rPr>
          <w:rFonts w:eastAsia="Times New Roman"/>
        </w:rPr>
        <w:t xml:space="preserve">12.9.4) </w:t>
      </w:r>
      <w:r w:rsidR="00B175E5">
        <w:rPr>
          <w:rFonts w:eastAsia="Times New Roman"/>
        </w:rPr>
        <w:t>With the HR Liaison, e</w:t>
      </w:r>
      <w:r w:rsidR="00113B28">
        <w:rPr>
          <w:rFonts w:eastAsia="Times New Roman"/>
        </w:rPr>
        <w:t xml:space="preserve">nsuring that all applicable employees </w:t>
      </w:r>
      <w:r w:rsidR="004702E2">
        <w:rPr>
          <w:rFonts w:eastAsia="Times New Roman"/>
        </w:rPr>
        <w:t>(including new employees) are assigned and complete</w:t>
      </w:r>
      <w:r w:rsidR="00113B28">
        <w:rPr>
          <w:rFonts w:eastAsia="Times New Roman"/>
        </w:rPr>
        <w:t xml:space="preserve"> Texas A&amp;M’s online PCI </w:t>
      </w:r>
      <w:r w:rsidRPr="00186B98">
        <w:rPr>
          <w:rFonts w:eastAsia="Times New Roman"/>
        </w:rPr>
        <w:t>training</w:t>
      </w:r>
    </w:p>
    <w:p w:rsidR="00186B98" w:rsidRPr="00186B98" w:rsidRDefault="00186B98" w:rsidP="00186B98">
      <w:pPr>
        <w:pStyle w:val="ListParagraph"/>
        <w:numPr>
          <w:ilvl w:val="0"/>
          <w:numId w:val="16"/>
        </w:numPr>
        <w:rPr>
          <w:rFonts w:eastAsia="Times New Roman"/>
        </w:rPr>
      </w:pPr>
      <w:r w:rsidRPr="00186B98">
        <w:rPr>
          <w:rFonts w:eastAsia="Times New Roman"/>
        </w:rPr>
        <w:t>(12.9.6) evolving the incident response plan according to lessons learned and in response to industry developments</w:t>
      </w:r>
    </w:p>
    <w:p w:rsidR="00186B98" w:rsidRDefault="00186B98" w:rsidP="00186B98">
      <w:pPr>
        <w:pStyle w:val="ListParagraph"/>
        <w:numPr>
          <w:ilvl w:val="0"/>
          <w:numId w:val="16"/>
        </w:numPr>
        <w:rPr>
          <w:rFonts w:eastAsia="Times New Roman"/>
        </w:rPr>
      </w:pPr>
      <w:r w:rsidRPr="00186B98">
        <w:rPr>
          <w:rFonts w:eastAsia="Times New Roman"/>
        </w:rPr>
        <w:t>(10.6.a) review security logs at least daily and follow-up on exceptions</w:t>
      </w:r>
    </w:p>
    <w:p w:rsidR="00692ED9" w:rsidRPr="00692ED9" w:rsidRDefault="00692ED9" w:rsidP="00692ED9">
      <w:pPr>
        <w:pStyle w:val="ListParagraph"/>
        <w:numPr>
          <w:ilvl w:val="0"/>
          <w:numId w:val="16"/>
        </w:numPr>
        <w:rPr>
          <w:rFonts w:eastAsia="Times New Roman"/>
        </w:rPr>
      </w:pPr>
      <w:proofErr w:type="gramStart"/>
      <w:r w:rsidRPr="00692ED9">
        <w:rPr>
          <w:rFonts w:eastAsia="Times New Roman"/>
        </w:rPr>
        <w:t>execut</w:t>
      </w:r>
      <w:r>
        <w:rPr>
          <w:rFonts w:eastAsia="Times New Roman"/>
        </w:rPr>
        <w:t>e</w:t>
      </w:r>
      <w:proofErr w:type="gramEnd"/>
      <w:r w:rsidRPr="00692ED9">
        <w:rPr>
          <w:rFonts w:eastAsia="Times New Roman"/>
        </w:rPr>
        <w:t xml:space="preserve"> an annual (12.1.2) risk assessment process that identifies threats, vulnerabilities, and results in a formal risk assessment.</w:t>
      </w:r>
      <w:r>
        <w:rPr>
          <w:rFonts w:eastAsia="Times New Roman"/>
        </w:rPr>
        <w:t xml:space="preserve"> </w:t>
      </w:r>
      <w:r w:rsidRPr="00C16C9B">
        <w:rPr>
          <w:b/>
        </w:rPr>
        <w:t>[If cardholder data is stored electronically, incorporate your ISAAC report</w:t>
      </w:r>
      <w:r>
        <w:rPr>
          <w:b/>
        </w:rPr>
        <w:t xml:space="preserve"> into this assessment</w:t>
      </w:r>
      <w:r w:rsidRPr="00C16C9B">
        <w:rPr>
          <w:b/>
        </w:rPr>
        <w:t>.]</w:t>
      </w:r>
    </w:p>
    <w:p w:rsidR="00186B98" w:rsidRPr="00186B98" w:rsidRDefault="00186B98" w:rsidP="00186B98">
      <w:pPr>
        <w:rPr>
          <w:rFonts w:eastAsia="Times New Roman"/>
        </w:rPr>
      </w:pPr>
      <w:r w:rsidRPr="00186B98">
        <w:rPr>
          <w:rFonts w:eastAsia="Times New Roman"/>
        </w:rPr>
        <w:t xml:space="preserve">(12.2.a) </w:t>
      </w:r>
      <w:r w:rsidR="00B175E5">
        <w:rPr>
          <w:rFonts w:eastAsia="Times New Roman"/>
          <w:i/>
          <w:color w:val="943634" w:themeColor="accent2" w:themeShade="BF"/>
        </w:rPr>
        <w:t>Your</w:t>
      </w:r>
      <w:r w:rsidRPr="00B175E5">
        <w:rPr>
          <w:rFonts w:eastAsia="Times New Roman"/>
          <w:i/>
          <w:color w:val="943634" w:themeColor="accent2" w:themeShade="BF"/>
        </w:rPr>
        <w:t xml:space="preserve"> </w:t>
      </w:r>
      <w:r w:rsidR="00B175E5">
        <w:rPr>
          <w:rFonts w:eastAsia="Times New Roman"/>
          <w:i/>
          <w:color w:val="943634" w:themeColor="accent2" w:themeShade="BF"/>
        </w:rPr>
        <w:t xml:space="preserve">department’s </w:t>
      </w:r>
      <w:r w:rsidRPr="00B175E5">
        <w:rPr>
          <w:rFonts w:eastAsia="Times New Roman"/>
          <w:i/>
          <w:color w:val="943634" w:themeColor="accent2" w:themeShade="BF"/>
        </w:rPr>
        <w:t>Information Technology Office or equivalent</w:t>
      </w:r>
      <w:r w:rsidRPr="00186B98">
        <w:rPr>
          <w:rFonts w:eastAsia="Times New Roman"/>
        </w:rPr>
        <w:t xml:space="preserve"> shall maintain daily administrative and technical operational security procedures that are consistent with the PCI-DSS (for example, user account maintenance procedures, and log review procedures).</w:t>
      </w:r>
    </w:p>
    <w:p w:rsidR="00186B98" w:rsidRPr="00186B98" w:rsidRDefault="00186B98" w:rsidP="00186B98">
      <w:pPr>
        <w:rPr>
          <w:rFonts w:eastAsia="Times New Roman"/>
        </w:rPr>
      </w:pPr>
      <w:r w:rsidRPr="00186B98">
        <w:rPr>
          <w:rFonts w:eastAsia="Times New Roman"/>
        </w:rPr>
        <w:t>System and Application Administrators shall:</w:t>
      </w:r>
    </w:p>
    <w:p w:rsidR="00186B98" w:rsidRPr="00186B98" w:rsidRDefault="00186B98" w:rsidP="00186B98">
      <w:pPr>
        <w:pStyle w:val="ListParagraph"/>
        <w:numPr>
          <w:ilvl w:val="0"/>
          <w:numId w:val="17"/>
        </w:numPr>
        <w:rPr>
          <w:rFonts w:eastAsia="Times New Roman"/>
        </w:rPr>
      </w:pPr>
      <w:r w:rsidRPr="00186B98">
        <w:rPr>
          <w:rFonts w:eastAsia="Times New Roman"/>
        </w:rPr>
        <w:t>(12.5.2) monitor and analyze security alerts and information and distribute to appropriate personnel</w:t>
      </w:r>
    </w:p>
    <w:p w:rsidR="00186B98" w:rsidRPr="00186B98" w:rsidRDefault="00186B98" w:rsidP="00186B98">
      <w:pPr>
        <w:pStyle w:val="ListParagraph"/>
        <w:numPr>
          <w:ilvl w:val="0"/>
          <w:numId w:val="17"/>
        </w:numPr>
        <w:rPr>
          <w:rFonts w:eastAsia="Times New Roman"/>
        </w:rPr>
      </w:pPr>
      <w:r w:rsidRPr="00186B98">
        <w:rPr>
          <w:rFonts w:eastAsia="Times New Roman"/>
        </w:rPr>
        <w:t>(12.5.4) administer user accounts and manage authentication</w:t>
      </w:r>
    </w:p>
    <w:p w:rsidR="00186B98" w:rsidRPr="00186B98" w:rsidRDefault="00186B98" w:rsidP="00186B98">
      <w:pPr>
        <w:pStyle w:val="ListParagraph"/>
        <w:numPr>
          <w:ilvl w:val="0"/>
          <w:numId w:val="17"/>
        </w:numPr>
        <w:rPr>
          <w:rFonts w:eastAsia="Times New Roman"/>
        </w:rPr>
      </w:pPr>
      <w:r w:rsidRPr="00186B98">
        <w:rPr>
          <w:rFonts w:eastAsia="Times New Roman"/>
        </w:rPr>
        <w:t>(12.5.5) monitor and control all access to data</w:t>
      </w:r>
    </w:p>
    <w:p w:rsidR="00186B98" w:rsidRPr="00186B98" w:rsidRDefault="00186B98" w:rsidP="00186B98">
      <w:pPr>
        <w:pStyle w:val="ListParagraph"/>
        <w:numPr>
          <w:ilvl w:val="0"/>
          <w:numId w:val="17"/>
        </w:numPr>
        <w:rPr>
          <w:rFonts w:eastAsia="Times New Roman"/>
        </w:rPr>
      </w:pPr>
      <w:r w:rsidRPr="00186B98">
        <w:rPr>
          <w:rFonts w:eastAsia="Times New Roman"/>
        </w:rPr>
        <w:t>(12.8.1) maintain a list of service providers</w:t>
      </w:r>
    </w:p>
    <w:p w:rsidR="00186B98" w:rsidRPr="00186B98" w:rsidRDefault="00186B98" w:rsidP="00186B98">
      <w:pPr>
        <w:pStyle w:val="ListParagraph"/>
        <w:numPr>
          <w:ilvl w:val="0"/>
          <w:numId w:val="17"/>
        </w:numPr>
        <w:rPr>
          <w:rFonts w:eastAsia="Times New Roman"/>
        </w:rPr>
      </w:pPr>
      <w:r w:rsidRPr="00186B98">
        <w:rPr>
          <w:rFonts w:eastAsia="Times New Roman"/>
        </w:rPr>
        <w:t xml:space="preserve">(12.8.3) ensure there is a process for engaging service providers including proper due diligence prior to </w:t>
      </w:r>
      <w:r w:rsidR="00B175E5" w:rsidRPr="00186B98">
        <w:rPr>
          <w:rFonts w:eastAsia="Times New Roman"/>
        </w:rPr>
        <w:t>engagement</w:t>
      </w:r>
      <w:r w:rsidR="00693200">
        <w:rPr>
          <w:rFonts w:eastAsia="Times New Roman"/>
        </w:rPr>
        <w:t>. This due diligence includes verifying that the service provider is has been validated compliant against the appropriate security standard, i.e. PCI-DSS, PA-DSS, etc.</w:t>
      </w:r>
    </w:p>
    <w:p w:rsidR="00186B98" w:rsidRPr="00186B98" w:rsidRDefault="00186B98" w:rsidP="00186B98">
      <w:pPr>
        <w:pStyle w:val="ListParagraph"/>
        <w:numPr>
          <w:ilvl w:val="0"/>
          <w:numId w:val="17"/>
        </w:numPr>
        <w:rPr>
          <w:rFonts w:eastAsia="Times New Roman"/>
        </w:rPr>
      </w:pPr>
      <w:r w:rsidRPr="00186B98">
        <w:rPr>
          <w:rFonts w:eastAsia="Times New Roman"/>
        </w:rPr>
        <w:lastRenderedPageBreak/>
        <w:t>(12.8.4, 12.4) maintain a program to verify service providers’ PCI-DSS compliant status, with supporting documentation</w:t>
      </w:r>
    </w:p>
    <w:p w:rsidR="00186B98" w:rsidRPr="00186B98" w:rsidRDefault="00186B98" w:rsidP="00186B98">
      <w:pPr>
        <w:pStyle w:val="ListParagraph"/>
        <w:numPr>
          <w:ilvl w:val="0"/>
          <w:numId w:val="17"/>
        </w:numPr>
        <w:rPr>
          <w:rFonts w:eastAsia="Times New Roman"/>
        </w:rPr>
      </w:pPr>
      <w:r w:rsidRPr="00186B98">
        <w:rPr>
          <w:rFonts w:eastAsia="Times New Roman"/>
        </w:rPr>
        <w:t>(10.7.a ) retain audit logs for at least one year</w:t>
      </w:r>
    </w:p>
    <w:p w:rsidR="00186B98" w:rsidRPr="00186B98" w:rsidRDefault="00186B98" w:rsidP="00186B98">
      <w:pPr>
        <w:rPr>
          <w:rFonts w:eastAsia="Times New Roman"/>
        </w:rPr>
      </w:pPr>
      <w:r w:rsidRPr="00186B98">
        <w:rPr>
          <w:rFonts w:eastAsia="Times New Roman"/>
        </w:rPr>
        <w:t xml:space="preserve">The </w:t>
      </w:r>
      <w:r w:rsidR="00B175E5">
        <w:rPr>
          <w:rFonts w:eastAsia="Times New Roman"/>
        </w:rPr>
        <w:t xml:space="preserve">HR </w:t>
      </w:r>
      <w:proofErr w:type="spellStart"/>
      <w:r w:rsidR="00B175E5">
        <w:rPr>
          <w:rFonts w:eastAsia="Times New Roman"/>
        </w:rPr>
        <w:t>Liason</w:t>
      </w:r>
      <w:proofErr w:type="spellEnd"/>
      <w:r w:rsidRPr="00186B98">
        <w:rPr>
          <w:rFonts w:eastAsia="Times New Roman"/>
        </w:rPr>
        <w:t xml:space="preserve"> is responsible for tracking employee participation in the security awareness program, including:</w:t>
      </w:r>
    </w:p>
    <w:p w:rsidR="00186B98" w:rsidRPr="00186B98" w:rsidRDefault="00186B98" w:rsidP="00186B98">
      <w:pPr>
        <w:pStyle w:val="ListParagraph"/>
        <w:numPr>
          <w:ilvl w:val="0"/>
          <w:numId w:val="19"/>
        </w:numPr>
        <w:rPr>
          <w:rFonts w:eastAsia="Times New Roman"/>
        </w:rPr>
      </w:pPr>
      <w:r w:rsidRPr="00186B98">
        <w:rPr>
          <w:rFonts w:eastAsia="Times New Roman"/>
        </w:rPr>
        <w:t>(12.6.1.b) facilitating participation upon hire and at least annually</w:t>
      </w:r>
    </w:p>
    <w:p w:rsidR="00186B98" w:rsidRPr="00186B98" w:rsidRDefault="00186B98" w:rsidP="00186B98">
      <w:pPr>
        <w:pStyle w:val="ListParagraph"/>
        <w:numPr>
          <w:ilvl w:val="0"/>
          <w:numId w:val="19"/>
        </w:numPr>
        <w:rPr>
          <w:rFonts w:eastAsia="Times New Roman"/>
        </w:rPr>
      </w:pPr>
      <w:r w:rsidRPr="00186B98">
        <w:rPr>
          <w:rFonts w:eastAsia="Times New Roman"/>
        </w:rPr>
        <w:t xml:space="preserve">(12.6.2) ensuring that employees acknowledge in writing at least annually that they have read and understand </w:t>
      </w:r>
      <w:r w:rsidR="00B175E5">
        <w:rPr>
          <w:rFonts w:eastAsia="Times New Roman"/>
        </w:rPr>
        <w:t>Texas A&amp;M</w:t>
      </w:r>
      <w:r w:rsidRPr="00186B98">
        <w:rPr>
          <w:rFonts w:eastAsia="Times New Roman"/>
        </w:rPr>
        <w:t>’s information security policy</w:t>
      </w:r>
      <w:r w:rsidR="00B175E5">
        <w:rPr>
          <w:rFonts w:eastAsia="Times New Roman"/>
        </w:rPr>
        <w:t xml:space="preserve"> and this Payment Security Policy.</w:t>
      </w:r>
    </w:p>
    <w:p w:rsidR="00186B98" w:rsidRPr="00186B98" w:rsidRDefault="00186B98" w:rsidP="00186B98">
      <w:pPr>
        <w:pStyle w:val="ListParagraph"/>
        <w:numPr>
          <w:ilvl w:val="0"/>
          <w:numId w:val="19"/>
        </w:numPr>
        <w:rPr>
          <w:rFonts w:eastAsia="Times New Roman"/>
        </w:rPr>
      </w:pPr>
      <w:r w:rsidRPr="00186B98">
        <w:rPr>
          <w:rFonts w:eastAsia="Times New Roman"/>
        </w:rPr>
        <w:t>(12.7) screen potential employees prior to hire to minimize the risk of attacks from internal sources</w:t>
      </w:r>
    </w:p>
    <w:p w:rsidR="00186B98" w:rsidRPr="00186B98" w:rsidRDefault="00693200" w:rsidP="00186B98">
      <w:pPr>
        <w:rPr>
          <w:rFonts w:eastAsia="Times New Roman"/>
        </w:rPr>
      </w:pPr>
      <w:r>
        <w:rPr>
          <w:rFonts w:eastAsia="Times New Roman"/>
        </w:rPr>
        <w:t>Upon notification, t</w:t>
      </w:r>
      <w:r w:rsidR="00B175E5">
        <w:rPr>
          <w:rFonts w:eastAsia="Times New Roman"/>
        </w:rPr>
        <w:t>he Purchasing and Contracts departments</w:t>
      </w:r>
      <w:r w:rsidR="00186B98" w:rsidRPr="00186B98">
        <w:rPr>
          <w:rFonts w:eastAsia="Times New Roman"/>
        </w:rPr>
        <w:t xml:space="preserve"> will ensure that for service providers with whom cardholder information is shared:</w:t>
      </w:r>
    </w:p>
    <w:p w:rsidR="00186B98" w:rsidRPr="00186B98" w:rsidRDefault="00186B98" w:rsidP="00186B98">
      <w:pPr>
        <w:pStyle w:val="ListParagraph"/>
        <w:numPr>
          <w:ilvl w:val="0"/>
          <w:numId w:val="20"/>
        </w:numPr>
        <w:rPr>
          <w:rFonts w:eastAsia="Times New Roman"/>
        </w:rPr>
      </w:pPr>
      <w:r w:rsidRPr="00186B98">
        <w:rPr>
          <w:rFonts w:eastAsia="Times New Roman"/>
        </w:rPr>
        <w:t>(12.8.1, 12.4) written contracts require adherence to PCI-DSS by the service provider</w:t>
      </w:r>
    </w:p>
    <w:p w:rsidR="00693200" w:rsidRDefault="00186B98" w:rsidP="00693200">
      <w:r w:rsidRPr="00186B98">
        <w:rPr>
          <w:rFonts w:eastAsia="Times New Roman"/>
        </w:rPr>
        <w:t>(12.8.2, 12.4) written contracts include acknowledgement or responsibility for the security of cardholder data by the service provider</w:t>
      </w:r>
      <w:r w:rsidR="00693200">
        <w:rPr>
          <w:rFonts w:eastAsia="Times New Roman"/>
        </w:rPr>
        <w:t xml:space="preserve">. </w:t>
      </w:r>
      <w:r w:rsidR="00693200">
        <w:t>The following statement (or something similar) is required in all contracts with Service Providers.</w:t>
      </w:r>
    </w:p>
    <w:p w:rsidR="00186B98" w:rsidRPr="00693200" w:rsidRDefault="00693200" w:rsidP="00693200">
      <w:pPr>
        <w:ind w:left="720"/>
      </w:pPr>
      <w:r>
        <w:t>(Service Provider) acknowledges responsibility for the security of (Department)’s cardholder data and the cardholder data environment which (Service Provider)’s agents or representatives may access or encounter in the course of supporting (Department). (Service Provider) agrees to adhere to the departmental and University security policies as well as the PCI Data Security Standard for the length of the agreement or until (Service Provider) no longer has access to cardholder data or (department)’s cardholder data environment.</w:t>
      </w:r>
    </w:p>
    <w:p w:rsidR="00545B03" w:rsidRDefault="00C55F8C" w:rsidP="00545B03">
      <w:pPr>
        <w:pStyle w:val="Heading2"/>
      </w:pPr>
      <w:r>
        <w:t>Applicable Legislation, Industry Standards, A&amp;M System Regulations and Rules</w:t>
      </w:r>
    </w:p>
    <w:p w:rsidR="00186B98" w:rsidRDefault="00545B03" w:rsidP="00EE1F05">
      <w:pPr>
        <w:pStyle w:val="ListParagraph"/>
        <w:numPr>
          <w:ilvl w:val="0"/>
          <w:numId w:val="24"/>
        </w:numPr>
      </w:pPr>
      <w:r>
        <w:t>System Policy 61.99.01</w:t>
      </w:r>
      <w:r w:rsidR="00C55F8C">
        <w:t xml:space="preserve"> – Retention of State Records</w:t>
      </w:r>
    </w:p>
    <w:p w:rsidR="00545B03" w:rsidRDefault="00545B03" w:rsidP="00EE1F05">
      <w:pPr>
        <w:pStyle w:val="ListParagraph"/>
        <w:numPr>
          <w:ilvl w:val="0"/>
          <w:numId w:val="24"/>
        </w:numPr>
      </w:pPr>
      <w:r>
        <w:t>Texas A&amp;M Standard Administrative Procedures</w:t>
      </w:r>
      <w:r w:rsidR="00EE1F05">
        <w:t xml:space="preserve"> (SAP)</w:t>
      </w:r>
      <w:r w:rsidR="00A63347">
        <w:t xml:space="preserve"> 29.01.99.M1</w:t>
      </w:r>
    </w:p>
    <w:p w:rsidR="00A24493" w:rsidRDefault="00A24493" w:rsidP="00EE1F05">
      <w:pPr>
        <w:pStyle w:val="ListParagraph"/>
        <w:numPr>
          <w:ilvl w:val="0"/>
          <w:numId w:val="27"/>
        </w:numPr>
      </w:pPr>
      <w:r>
        <w:t>29.01.99.M1.03 Account Management</w:t>
      </w:r>
    </w:p>
    <w:p w:rsidR="00545B03" w:rsidRDefault="00545B03" w:rsidP="00EE1F05">
      <w:pPr>
        <w:pStyle w:val="ListParagraph"/>
        <w:numPr>
          <w:ilvl w:val="0"/>
          <w:numId w:val="27"/>
        </w:numPr>
      </w:pPr>
      <w:r>
        <w:t>29.0</w:t>
      </w:r>
      <w:r w:rsidR="00C55F8C">
        <w:t xml:space="preserve">1.99.M1.11 </w:t>
      </w:r>
      <w:r>
        <w:t>Intrusion Detection</w:t>
      </w:r>
    </w:p>
    <w:p w:rsidR="00545B03" w:rsidRDefault="00545B03" w:rsidP="00EE1F05">
      <w:pPr>
        <w:pStyle w:val="ListParagraph"/>
        <w:numPr>
          <w:ilvl w:val="0"/>
          <w:numId w:val="27"/>
        </w:numPr>
      </w:pPr>
      <w:r>
        <w:t>29.01.99.M1.18 Security Monitoring</w:t>
      </w:r>
    </w:p>
    <w:p w:rsidR="00CA5DE5" w:rsidRDefault="00CA5DE5" w:rsidP="00EE1F05">
      <w:pPr>
        <w:pStyle w:val="ListParagraph"/>
        <w:numPr>
          <w:ilvl w:val="0"/>
          <w:numId w:val="27"/>
        </w:numPr>
      </w:pPr>
      <w:r>
        <w:t>29.01.99.M1.21 Information Resources – System Development and Acquisition</w:t>
      </w:r>
    </w:p>
    <w:p w:rsidR="00A24493" w:rsidRDefault="00A24493" w:rsidP="00EE1F05">
      <w:pPr>
        <w:pStyle w:val="ListParagraph"/>
        <w:numPr>
          <w:ilvl w:val="0"/>
          <w:numId w:val="27"/>
        </w:numPr>
      </w:pPr>
      <w:r>
        <w:t>29.01</w:t>
      </w:r>
      <w:r w:rsidR="00C55F8C">
        <w:t>.</w:t>
      </w:r>
      <w:r>
        <w:t>99</w:t>
      </w:r>
      <w:r w:rsidR="00C55F8C">
        <w:t>.</w:t>
      </w:r>
      <w:r>
        <w:t>M1</w:t>
      </w:r>
      <w:r w:rsidR="00C55F8C">
        <w:t>.</w:t>
      </w:r>
      <w:r>
        <w:t>22 Vendor Access</w:t>
      </w:r>
    </w:p>
    <w:p w:rsidR="00A24493" w:rsidRDefault="00A24493" w:rsidP="00EE1F05">
      <w:pPr>
        <w:pStyle w:val="ListParagraph"/>
        <w:numPr>
          <w:ilvl w:val="0"/>
          <w:numId w:val="27"/>
        </w:numPr>
      </w:pPr>
      <w:r>
        <w:t>29.01</w:t>
      </w:r>
      <w:r w:rsidR="00C55F8C">
        <w:t>.</w:t>
      </w:r>
      <w:r w:rsidR="00A63347">
        <w:t>99.</w:t>
      </w:r>
      <w:r>
        <w:t>M1</w:t>
      </w:r>
      <w:r w:rsidR="00C55F8C">
        <w:t>.</w:t>
      </w:r>
      <w:r>
        <w:t>23 Malicious Code</w:t>
      </w:r>
    </w:p>
    <w:p w:rsidR="00A24493" w:rsidRDefault="00A24493" w:rsidP="00EE1F05">
      <w:pPr>
        <w:pStyle w:val="ListParagraph"/>
        <w:numPr>
          <w:ilvl w:val="0"/>
          <w:numId w:val="27"/>
        </w:numPr>
      </w:pPr>
      <w:r>
        <w:t>29.01.99.M1.29 Data Classification and Pro</w:t>
      </w:r>
      <w:r w:rsidR="00861318">
        <w:t>te</w:t>
      </w:r>
      <w:r>
        <w:t>ction</w:t>
      </w:r>
    </w:p>
    <w:p w:rsidR="00EE1F05" w:rsidRDefault="00EE1F05" w:rsidP="00EE1F05">
      <w:pPr>
        <w:pStyle w:val="ListParagraph"/>
        <w:numPr>
          <w:ilvl w:val="0"/>
          <w:numId w:val="23"/>
        </w:numPr>
      </w:pPr>
      <w:r>
        <w:t>Fair &amp; Accurate Credit Transactions (FACTA)</w:t>
      </w:r>
    </w:p>
    <w:p w:rsidR="00EE1F05" w:rsidRDefault="00EE1F05" w:rsidP="00EE1F05">
      <w:pPr>
        <w:pStyle w:val="ListParagraph"/>
        <w:numPr>
          <w:ilvl w:val="0"/>
          <w:numId w:val="23"/>
        </w:numPr>
      </w:pPr>
      <w:r>
        <w:t>Texas Administrative Code Title 1, Part 10, Chapter 202, Subchapter C</w:t>
      </w:r>
    </w:p>
    <w:p w:rsidR="00EE1F05" w:rsidRDefault="00EE1F05" w:rsidP="00EE1F05">
      <w:pPr>
        <w:pStyle w:val="ListParagraph"/>
        <w:numPr>
          <w:ilvl w:val="0"/>
          <w:numId w:val="23"/>
        </w:numPr>
      </w:pPr>
      <w:r>
        <w:t>PCI Security Standards</w:t>
      </w:r>
    </w:p>
    <w:p w:rsidR="00EE1F05" w:rsidRDefault="00EE1F05" w:rsidP="00EE1F05">
      <w:pPr>
        <w:pStyle w:val="Heading2"/>
      </w:pPr>
      <w:r>
        <w:lastRenderedPageBreak/>
        <w:t>Appendix</w:t>
      </w:r>
      <w:r w:rsidR="00074E05">
        <w:t xml:space="preserve"> </w:t>
      </w:r>
      <w:r w:rsidR="00074E05" w:rsidRPr="00074E05">
        <w:rPr>
          <w:rFonts w:asciiTheme="minorHAnsi" w:hAnsiTheme="minorHAnsi" w:cstheme="minorHAnsi"/>
          <w:sz w:val="22"/>
          <w:szCs w:val="22"/>
        </w:rPr>
        <w:t>[each of these items are additional</w:t>
      </w:r>
      <w:r w:rsidR="003D5946">
        <w:rPr>
          <w:rFonts w:asciiTheme="minorHAnsi" w:hAnsiTheme="minorHAnsi" w:cstheme="minorHAnsi"/>
          <w:sz w:val="22"/>
          <w:szCs w:val="22"/>
        </w:rPr>
        <w:t>,</w:t>
      </w:r>
      <w:r w:rsidR="00074E05">
        <w:rPr>
          <w:rFonts w:asciiTheme="minorHAnsi" w:hAnsiTheme="minorHAnsi" w:cstheme="minorHAnsi"/>
          <w:sz w:val="22"/>
          <w:szCs w:val="22"/>
        </w:rPr>
        <w:t xml:space="preserve"> required</w:t>
      </w:r>
      <w:r w:rsidR="00074E05" w:rsidRPr="00074E05">
        <w:rPr>
          <w:rFonts w:asciiTheme="minorHAnsi" w:hAnsiTheme="minorHAnsi" w:cstheme="minorHAnsi"/>
          <w:sz w:val="22"/>
          <w:szCs w:val="22"/>
        </w:rPr>
        <w:t xml:space="preserve"> documents that supplement </w:t>
      </w:r>
      <w:r w:rsidR="003D5946">
        <w:rPr>
          <w:rFonts w:asciiTheme="minorHAnsi" w:hAnsiTheme="minorHAnsi" w:cstheme="minorHAnsi"/>
          <w:sz w:val="22"/>
          <w:szCs w:val="22"/>
        </w:rPr>
        <w:t>the above</w:t>
      </w:r>
      <w:r w:rsidR="00074E05" w:rsidRPr="00074E05">
        <w:rPr>
          <w:rFonts w:asciiTheme="minorHAnsi" w:hAnsiTheme="minorHAnsi" w:cstheme="minorHAnsi"/>
          <w:sz w:val="22"/>
          <w:szCs w:val="22"/>
        </w:rPr>
        <w:t xml:space="preserve"> polic</w:t>
      </w:r>
      <w:r w:rsidR="00074E05">
        <w:rPr>
          <w:rFonts w:asciiTheme="minorHAnsi" w:hAnsiTheme="minorHAnsi" w:cstheme="minorHAnsi"/>
          <w:sz w:val="22"/>
          <w:szCs w:val="22"/>
        </w:rPr>
        <w:t>ies</w:t>
      </w:r>
      <w:r w:rsidR="00074E05" w:rsidRPr="00074E05">
        <w:rPr>
          <w:rFonts w:asciiTheme="minorHAnsi" w:hAnsiTheme="minorHAnsi" w:cstheme="minorHAnsi"/>
          <w:sz w:val="22"/>
          <w:szCs w:val="22"/>
        </w:rPr>
        <w:t>]</w:t>
      </w:r>
    </w:p>
    <w:p w:rsidR="00EA1184" w:rsidRDefault="00EA1184" w:rsidP="00EE1F05">
      <w:pPr>
        <w:pStyle w:val="ListParagraph"/>
        <w:numPr>
          <w:ilvl w:val="0"/>
          <w:numId w:val="26"/>
        </w:numPr>
      </w:pPr>
      <w:r>
        <w:t>Incident Response Plan</w:t>
      </w:r>
    </w:p>
    <w:p w:rsidR="00692ED9" w:rsidRDefault="00692ED9" w:rsidP="00EE1F05">
      <w:pPr>
        <w:pStyle w:val="ListParagraph"/>
        <w:numPr>
          <w:ilvl w:val="0"/>
          <w:numId w:val="26"/>
        </w:numPr>
      </w:pPr>
      <w:r>
        <w:t>Risk Assessment</w:t>
      </w:r>
    </w:p>
    <w:p w:rsidR="00540F08" w:rsidRDefault="00186B98" w:rsidP="00EE1F05">
      <w:pPr>
        <w:pStyle w:val="ListParagraph"/>
        <w:numPr>
          <w:ilvl w:val="0"/>
          <w:numId w:val="26"/>
        </w:numPr>
      </w:pPr>
      <w:r>
        <w:t>Departmental Usage Standards</w:t>
      </w:r>
      <w:r w:rsidR="00540F08">
        <w:t xml:space="preserve"> </w:t>
      </w:r>
      <w:r w:rsidR="00540F08" w:rsidRPr="00EE1F05">
        <w:rPr>
          <w:b/>
        </w:rPr>
        <w:t>[to include the following]</w:t>
      </w:r>
    </w:p>
    <w:p w:rsidR="00540F08" w:rsidRDefault="00540F08" w:rsidP="00EE1F05">
      <w:pPr>
        <w:pStyle w:val="ListParagraph"/>
        <w:numPr>
          <w:ilvl w:val="0"/>
          <w:numId w:val="22"/>
        </w:numPr>
        <w:ind w:left="1125"/>
      </w:pPr>
      <w:r>
        <w:t>List of information technology products approved for the cardholder data environment</w:t>
      </w:r>
    </w:p>
    <w:p w:rsidR="00540F08" w:rsidRDefault="00F665E2" w:rsidP="00EE1F05">
      <w:pPr>
        <w:pStyle w:val="ListParagraph"/>
        <w:numPr>
          <w:ilvl w:val="0"/>
          <w:numId w:val="21"/>
        </w:numPr>
        <w:ind w:left="1125"/>
      </w:pPr>
      <w:r w:rsidRPr="00540F08">
        <w:rPr>
          <w:b/>
        </w:rPr>
        <w:t>[</w:t>
      </w:r>
      <w:r w:rsidR="00540F08" w:rsidRPr="00540F08">
        <w:rPr>
          <w:b/>
        </w:rPr>
        <w:t>For departments that transmit cardholder data over a network or the internet]</w:t>
      </w:r>
      <w:r w:rsidR="00540F08" w:rsidRPr="00540F08">
        <w:t xml:space="preserve"> </w:t>
      </w:r>
    </w:p>
    <w:p w:rsidR="00186B98" w:rsidRDefault="00540F08" w:rsidP="00EE1F05">
      <w:pPr>
        <w:pStyle w:val="ListParagraph"/>
        <w:numPr>
          <w:ilvl w:val="1"/>
          <w:numId w:val="21"/>
        </w:numPr>
        <w:ind w:left="1845"/>
      </w:pPr>
      <w:r w:rsidRPr="00540F08">
        <w:t>the items listed und</w:t>
      </w:r>
      <w:r w:rsidR="00341C69">
        <w:t>er Adherence to Standards above</w:t>
      </w:r>
    </w:p>
    <w:p w:rsidR="00341C69" w:rsidRDefault="00341C69" w:rsidP="00EE1F05">
      <w:pPr>
        <w:pStyle w:val="ListParagraph"/>
        <w:numPr>
          <w:ilvl w:val="1"/>
          <w:numId w:val="21"/>
        </w:numPr>
        <w:ind w:left="1845"/>
      </w:pPr>
      <w:r>
        <w:t>(6.3.7) Procedures for reviewing custom internal application and web applications code changes</w:t>
      </w:r>
    </w:p>
    <w:p w:rsidR="00540F08" w:rsidRPr="00540F08" w:rsidRDefault="00540F08" w:rsidP="00EE1F05">
      <w:pPr>
        <w:pStyle w:val="ListParagraph"/>
        <w:numPr>
          <w:ilvl w:val="1"/>
          <w:numId w:val="21"/>
        </w:numPr>
        <w:ind w:left="1845"/>
      </w:pPr>
      <w:r>
        <w:t xml:space="preserve">Documentation of the cardholder data environment’s scope, including a network diagram </w:t>
      </w:r>
    </w:p>
    <w:sectPr w:rsidR="00540F08" w:rsidRPr="00540F08" w:rsidSect="005F0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A85"/>
    <w:multiLevelType w:val="hybridMultilevel"/>
    <w:tmpl w:val="B8BCA4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495C84"/>
    <w:multiLevelType w:val="multilevel"/>
    <w:tmpl w:val="F10C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E61D6"/>
    <w:multiLevelType w:val="multilevel"/>
    <w:tmpl w:val="906E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66223A"/>
    <w:multiLevelType w:val="multilevel"/>
    <w:tmpl w:val="906E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522A0"/>
    <w:multiLevelType w:val="hybridMultilevel"/>
    <w:tmpl w:val="F410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E6397"/>
    <w:multiLevelType w:val="hybridMultilevel"/>
    <w:tmpl w:val="BC466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BF17AD"/>
    <w:multiLevelType w:val="hybridMultilevel"/>
    <w:tmpl w:val="EDC2E8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20EAC"/>
    <w:multiLevelType w:val="multilevel"/>
    <w:tmpl w:val="906E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531A71"/>
    <w:multiLevelType w:val="hybridMultilevel"/>
    <w:tmpl w:val="3D7E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E65D0"/>
    <w:multiLevelType w:val="multilevel"/>
    <w:tmpl w:val="551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2D2A68"/>
    <w:multiLevelType w:val="multilevel"/>
    <w:tmpl w:val="1202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437523"/>
    <w:multiLevelType w:val="hybridMultilevel"/>
    <w:tmpl w:val="2D5A2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B266AE"/>
    <w:multiLevelType w:val="multilevel"/>
    <w:tmpl w:val="C09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46A99"/>
    <w:multiLevelType w:val="hybridMultilevel"/>
    <w:tmpl w:val="75802D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6472A8"/>
    <w:multiLevelType w:val="multilevel"/>
    <w:tmpl w:val="B2C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A5121"/>
    <w:multiLevelType w:val="multilevel"/>
    <w:tmpl w:val="329A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1A67AC"/>
    <w:multiLevelType w:val="multilevel"/>
    <w:tmpl w:val="2122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5D084C"/>
    <w:multiLevelType w:val="multilevel"/>
    <w:tmpl w:val="E5C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A84C7C"/>
    <w:multiLevelType w:val="hybridMultilevel"/>
    <w:tmpl w:val="D884FAF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54027EB"/>
    <w:multiLevelType w:val="hybridMultilevel"/>
    <w:tmpl w:val="182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574DCC"/>
    <w:multiLevelType w:val="multilevel"/>
    <w:tmpl w:val="906E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154411"/>
    <w:multiLevelType w:val="hybridMultilevel"/>
    <w:tmpl w:val="F9B0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591AA5"/>
    <w:multiLevelType w:val="hybridMultilevel"/>
    <w:tmpl w:val="51721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550EB9"/>
    <w:multiLevelType w:val="hybridMultilevel"/>
    <w:tmpl w:val="041A97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7A432C1B"/>
    <w:multiLevelType w:val="multilevel"/>
    <w:tmpl w:val="906E6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F41DB9"/>
    <w:multiLevelType w:val="hybridMultilevel"/>
    <w:tmpl w:val="FDA0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726EC"/>
    <w:multiLevelType w:val="multilevel"/>
    <w:tmpl w:val="906E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8"/>
  </w:num>
  <w:num w:numId="4">
    <w:abstractNumId w:val="9"/>
  </w:num>
  <w:num w:numId="5">
    <w:abstractNumId w:val="22"/>
  </w:num>
  <w:num w:numId="6">
    <w:abstractNumId w:val="1"/>
  </w:num>
  <w:num w:numId="7">
    <w:abstractNumId w:val="21"/>
  </w:num>
  <w:num w:numId="8">
    <w:abstractNumId w:val="17"/>
  </w:num>
  <w:num w:numId="9">
    <w:abstractNumId w:val="10"/>
  </w:num>
  <w:num w:numId="10">
    <w:abstractNumId w:val="4"/>
  </w:num>
  <w:num w:numId="11">
    <w:abstractNumId w:val="11"/>
  </w:num>
  <w:num w:numId="12">
    <w:abstractNumId w:val="20"/>
  </w:num>
  <w:num w:numId="13">
    <w:abstractNumId w:val="15"/>
  </w:num>
  <w:num w:numId="14">
    <w:abstractNumId w:val="12"/>
  </w:num>
  <w:num w:numId="15">
    <w:abstractNumId w:val="16"/>
  </w:num>
  <w:num w:numId="16">
    <w:abstractNumId w:val="24"/>
  </w:num>
  <w:num w:numId="17">
    <w:abstractNumId w:val="3"/>
  </w:num>
  <w:num w:numId="18">
    <w:abstractNumId w:val="7"/>
  </w:num>
  <w:num w:numId="19">
    <w:abstractNumId w:val="26"/>
  </w:num>
  <w:num w:numId="20">
    <w:abstractNumId w:val="2"/>
  </w:num>
  <w:num w:numId="21">
    <w:abstractNumId w:val="18"/>
  </w:num>
  <w:num w:numId="22">
    <w:abstractNumId w:val="23"/>
  </w:num>
  <w:num w:numId="23">
    <w:abstractNumId w:val="13"/>
  </w:num>
  <w:num w:numId="24">
    <w:abstractNumId w:val="25"/>
  </w:num>
  <w:num w:numId="25">
    <w:abstractNumId w:val="5"/>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14"/>
    <w:rsid w:val="00027DD1"/>
    <w:rsid w:val="00074BB3"/>
    <w:rsid w:val="00074E05"/>
    <w:rsid w:val="000E29A4"/>
    <w:rsid w:val="00113B28"/>
    <w:rsid w:val="00167019"/>
    <w:rsid w:val="00176FE7"/>
    <w:rsid w:val="00186B98"/>
    <w:rsid w:val="001936AC"/>
    <w:rsid w:val="001B05F5"/>
    <w:rsid w:val="001E50A9"/>
    <w:rsid w:val="001E54B0"/>
    <w:rsid w:val="00233664"/>
    <w:rsid w:val="002D163D"/>
    <w:rsid w:val="00322A71"/>
    <w:rsid w:val="003412DD"/>
    <w:rsid w:val="00341C69"/>
    <w:rsid w:val="003475CE"/>
    <w:rsid w:val="003946A0"/>
    <w:rsid w:val="003D5946"/>
    <w:rsid w:val="003F4FE4"/>
    <w:rsid w:val="003F5479"/>
    <w:rsid w:val="0041188A"/>
    <w:rsid w:val="00437F4B"/>
    <w:rsid w:val="00440434"/>
    <w:rsid w:val="00450BD3"/>
    <w:rsid w:val="00461C74"/>
    <w:rsid w:val="004702E2"/>
    <w:rsid w:val="004A6222"/>
    <w:rsid w:val="004C73D1"/>
    <w:rsid w:val="004F727B"/>
    <w:rsid w:val="00521F02"/>
    <w:rsid w:val="00527881"/>
    <w:rsid w:val="0053064B"/>
    <w:rsid w:val="0053442C"/>
    <w:rsid w:val="0053533B"/>
    <w:rsid w:val="00540F08"/>
    <w:rsid w:val="00545B03"/>
    <w:rsid w:val="005529B9"/>
    <w:rsid w:val="005A763B"/>
    <w:rsid w:val="005B1BA1"/>
    <w:rsid w:val="005F0D37"/>
    <w:rsid w:val="00653385"/>
    <w:rsid w:val="00655C7E"/>
    <w:rsid w:val="006619B3"/>
    <w:rsid w:val="00692ED9"/>
    <w:rsid w:val="00693200"/>
    <w:rsid w:val="006A26AF"/>
    <w:rsid w:val="006F20AB"/>
    <w:rsid w:val="00762E82"/>
    <w:rsid w:val="0077185C"/>
    <w:rsid w:val="0077469A"/>
    <w:rsid w:val="007B3247"/>
    <w:rsid w:val="007D149B"/>
    <w:rsid w:val="007F1E43"/>
    <w:rsid w:val="0081304D"/>
    <w:rsid w:val="00814992"/>
    <w:rsid w:val="00861318"/>
    <w:rsid w:val="00880CBA"/>
    <w:rsid w:val="00892843"/>
    <w:rsid w:val="008B7CDE"/>
    <w:rsid w:val="008D5790"/>
    <w:rsid w:val="008E07BA"/>
    <w:rsid w:val="008F53F5"/>
    <w:rsid w:val="008F6DD4"/>
    <w:rsid w:val="009021E9"/>
    <w:rsid w:val="00911356"/>
    <w:rsid w:val="00911B8E"/>
    <w:rsid w:val="009229EE"/>
    <w:rsid w:val="00932B17"/>
    <w:rsid w:val="009872C9"/>
    <w:rsid w:val="0099416B"/>
    <w:rsid w:val="009C5CBC"/>
    <w:rsid w:val="009D39D8"/>
    <w:rsid w:val="009E19F6"/>
    <w:rsid w:val="00A145B7"/>
    <w:rsid w:val="00A1487E"/>
    <w:rsid w:val="00A2119D"/>
    <w:rsid w:val="00A24493"/>
    <w:rsid w:val="00A2736B"/>
    <w:rsid w:val="00A4257A"/>
    <w:rsid w:val="00A50C81"/>
    <w:rsid w:val="00A63347"/>
    <w:rsid w:val="00A7300D"/>
    <w:rsid w:val="00A83BBE"/>
    <w:rsid w:val="00AB0B40"/>
    <w:rsid w:val="00AE06C9"/>
    <w:rsid w:val="00B175E5"/>
    <w:rsid w:val="00B551F0"/>
    <w:rsid w:val="00B80305"/>
    <w:rsid w:val="00B807B0"/>
    <w:rsid w:val="00BB0B11"/>
    <w:rsid w:val="00BB6F30"/>
    <w:rsid w:val="00BD7D1E"/>
    <w:rsid w:val="00C00B1B"/>
    <w:rsid w:val="00C0159C"/>
    <w:rsid w:val="00C16C9B"/>
    <w:rsid w:val="00C30294"/>
    <w:rsid w:val="00C54B8B"/>
    <w:rsid w:val="00C55F8C"/>
    <w:rsid w:val="00C57CC0"/>
    <w:rsid w:val="00C72AEF"/>
    <w:rsid w:val="00C801F1"/>
    <w:rsid w:val="00C91B16"/>
    <w:rsid w:val="00CA5DE5"/>
    <w:rsid w:val="00D3216E"/>
    <w:rsid w:val="00D37414"/>
    <w:rsid w:val="00DD61E1"/>
    <w:rsid w:val="00DE1ED0"/>
    <w:rsid w:val="00DE2CF6"/>
    <w:rsid w:val="00E04B8B"/>
    <w:rsid w:val="00E33C37"/>
    <w:rsid w:val="00E77545"/>
    <w:rsid w:val="00E976FE"/>
    <w:rsid w:val="00EA1184"/>
    <w:rsid w:val="00EC22EB"/>
    <w:rsid w:val="00ED4ECA"/>
    <w:rsid w:val="00EE1F05"/>
    <w:rsid w:val="00EF43C6"/>
    <w:rsid w:val="00F2770B"/>
    <w:rsid w:val="00F665E2"/>
    <w:rsid w:val="00F66D84"/>
    <w:rsid w:val="00FE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14"/>
  </w:style>
  <w:style w:type="paragraph" w:styleId="Heading1">
    <w:name w:val="heading 1"/>
    <w:basedOn w:val="Normal"/>
    <w:next w:val="Normal"/>
    <w:link w:val="Heading1Char"/>
    <w:uiPriority w:val="9"/>
    <w:qFormat/>
    <w:rsid w:val="00D3741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3741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3741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3741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741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741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741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741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741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41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3741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3741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3741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741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741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741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741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741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741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741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741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37414"/>
    <w:rPr>
      <w:rFonts w:asciiTheme="majorHAnsi" w:eastAsiaTheme="majorEastAsia" w:hAnsiTheme="majorHAnsi" w:cstheme="majorBidi"/>
      <w:i/>
      <w:iCs/>
      <w:spacing w:val="13"/>
      <w:sz w:val="24"/>
      <w:szCs w:val="24"/>
    </w:rPr>
  </w:style>
  <w:style w:type="character" w:styleId="Strong">
    <w:name w:val="Strong"/>
    <w:uiPriority w:val="22"/>
    <w:qFormat/>
    <w:rsid w:val="00D37414"/>
    <w:rPr>
      <w:b/>
      <w:bCs/>
    </w:rPr>
  </w:style>
  <w:style w:type="character" w:styleId="Emphasis">
    <w:name w:val="Emphasis"/>
    <w:uiPriority w:val="20"/>
    <w:qFormat/>
    <w:rsid w:val="00D37414"/>
    <w:rPr>
      <w:b/>
      <w:bCs/>
      <w:i/>
      <w:iCs/>
      <w:spacing w:val="10"/>
      <w:bdr w:val="none" w:sz="0" w:space="0" w:color="auto"/>
      <w:shd w:val="clear" w:color="auto" w:fill="auto"/>
    </w:rPr>
  </w:style>
  <w:style w:type="paragraph" w:styleId="NoSpacing">
    <w:name w:val="No Spacing"/>
    <w:basedOn w:val="Normal"/>
    <w:uiPriority w:val="1"/>
    <w:qFormat/>
    <w:rsid w:val="00D37414"/>
    <w:pPr>
      <w:spacing w:after="0" w:line="240" w:lineRule="auto"/>
    </w:pPr>
  </w:style>
  <w:style w:type="paragraph" w:styleId="ListParagraph">
    <w:name w:val="List Paragraph"/>
    <w:basedOn w:val="Normal"/>
    <w:uiPriority w:val="34"/>
    <w:qFormat/>
    <w:rsid w:val="00D37414"/>
    <w:pPr>
      <w:ind w:left="720"/>
      <w:contextualSpacing/>
    </w:pPr>
  </w:style>
  <w:style w:type="paragraph" w:styleId="Quote">
    <w:name w:val="Quote"/>
    <w:basedOn w:val="Normal"/>
    <w:next w:val="Normal"/>
    <w:link w:val="QuoteChar"/>
    <w:uiPriority w:val="29"/>
    <w:qFormat/>
    <w:rsid w:val="00D37414"/>
    <w:pPr>
      <w:spacing w:before="200" w:after="0"/>
      <w:ind w:left="360" w:right="360"/>
    </w:pPr>
    <w:rPr>
      <w:i/>
      <w:iCs/>
    </w:rPr>
  </w:style>
  <w:style w:type="character" w:customStyle="1" w:styleId="QuoteChar">
    <w:name w:val="Quote Char"/>
    <w:basedOn w:val="DefaultParagraphFont"/>
    <w:link w:val="Quote"/>
    <w:uiPriority w:val="29"/>
    <w:rsid w:val="00D37414"/>
    <w:rPr>
      <w:i/>
      <w:iCs/>
    </w:rPr>
  </w:style>
  <w:style w:type="paragraph" w:styleId="IntenseQuote">
    <w:name w:val="Intense Quote"/>
    <w:basedOn w:val="Normal"/>
    <w:next w:val="Normal"/>
    <w:link w:val="IntenseQuoteChar"/>
    <w:uiPriority w:val="30"/>
    <w:qFormat/>
    <w:rsid w:val="00D3741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7414"/>
    <w:rPr>
      <w:b/>
      <w:bCs/>
      <w:i/>
      <w:iCs/>
    </w:rPr>
  </w:style>
  <w:style w:type="character" w:styleId="SubtleEmphasis">
    <w:name w:val="Subtle Emphasis"/>
    <w:uiPriority w:val="19"/>
    <w:qFormat/>
    <w:rsid w:val="00D37414"/>
    <w:rPr>
      <w:i/>
      <w:iCs/>
    </w:rPr>
  </w:style>
  <w:style w:type="character" w:styleId="IntenseEmphasis">
    <w:name w:val="Intense Emphasis"/>
    <w:uiPriority w:val="21"/>
    <w:qFormat/>
    <w:rsid w:val="00D37414"/>
    <w:rPr>
      <w:b/>
      <w:bCs/>
    </w:rPr>
  </w:style>
  <w:style w:type="character" w:styleId="SubtleReference">
    <w:name w:val="Subtle Reference"/>
    <w:uiPriority w:val="31"/>
    <w:qFormat/>
    <w:rsid w:val="00D37414"/>
    <w:rPr>
      <w:smallCaps/>
    </w:rPr>
  </w:style>
  <w:style w:type="character" w:styleId="IntenseReference">
    <w:name w:val="Intense Reference"/>
    <w:uiPriority w:val="32"/>
    <w:qFormat/>
    <w:rsid w:val="00D37414"/>
    <w:rPr>
      <w:smallCaps/>
      <w:spacing w:val="5"/>
      <w:u w:val="single"/>
    </w:rPr>
  </w:style>
  <w:style w:type="character" w:styleId="BookTitle">
    <w:name w:val="Book Title"/>
    <w:uiPriority w:val="33"/>
    <w:qFormat/>
    <w:rsid w:val="00D37414"/>
    <w:rPr>
      <w:i/>
      <w:iCs/>
      <w:smallCaps/>
      <w:spacing w:val="5"/>
    </w:rPr>
  </w:style>
  <w:style w:type="paragraph" w:styleId="TOCHeading">
    <w:name w:val="TOC Heading"/>
    <w:basedOn w:val="Heading1"/>
    <w:next w:val="Normal"/>
    <w:uiPriority w:val="39"/>
    <w:semiHidden/>
    <w:unhideWhenUsed/>
    <w:qFormat/>
    <w:rsid w:val="00D37414"/>
    <w:pPr>
      <w:outlineLvl w:val="9"/>
    </w:pPr>
    <w:rPr>
      <w:lang w:bidi="en-US"/>
    </w:rPr>
  </w:style>
  <w:style w:type="paragraph" w:styleId="Caption">
    <w:name w:val="caption"/>
    <w:basedOn w:val="Normal"/>
    <w:next w:val="Normal"/>
    <w:uiPriority w:val="35"/>
    <w:semiHidden/>
    <w:unhideWhenUsed/>
    <w:rsid w:val="00D37414"/>
    <w:pPr>
      <w:spacing w:line="240" w:lineRule="auto"/>
    </w:pPr>
    <w:rPr>
      <w:b/>
      <w:bCs/>
      <w:color w:val="4F81BD" w:themeColor="accent1"/>
      <w:sz w:val="18"/>
      <w:szCs w:val="18"/>
    </w:rPr>
  </w:style>
  <w:style w:type="character" w:styleId="Hyperlink">
    <w:name w:val="Hyperlink"/>
    <w:basedOn w:val="DefaultParagraphFont"/>
    <w:uiPriority w:val="99"/>
    <w:unhideWhenUsed/>
    <w:rsid w:val="003475CE"/>
    <w:rPr>
      <w:color w:val="0000FF" w:themeColor="hyperlink"/>
      <w:u w:val="single"/>
    </w:rPr>
  </w:style>
  <w:style w:type="character" w:styleId="FollowedHyperlink">
    <w:name w:val="FollowedHyperlink"/>
    <w:basedOn w:val="DefaultParagraphFont"/>
    <w:uiPriority w:val="99"/>
    <w:semiHidden/>
    <w:unhideWhenUsed/>
    <w:rsid w:val="008D5790"/>
    <w:rPr>
      <w:color w:val="800080" w:themeColor="followedHyperlink"/>
      <w:u w:val="single"/>
    </w:rPr>
  </w:style>
  <w:style w:type="character" w:styleId="CommentReference">
    <w:name w:val="annotation reference"/>
    <w:basedOn w:val="DefaultParagraphFont"/>
    <w:uiPriority w:val="99"/>
    <w:semiHidden/>
    <w:unhideWhenUsed/>
    <w:rsid w:val="008D5790"/>
    <w:rPr>
      <w:sz w:val="16"/>
      <w:szCs w:val="16"/>
    </w:rPr>
  </w:style>
  <w:style w:type="paragraph" w:styleId="CommentText">
    <w:name w:val="annotation text"/>
    <w:basedOn w:val="Normal"/>
    <w:link w:val="CommentTextChar"/>
    <w:uiPriority w:val="99"/>
    <w:semiHidden/>
    <w:unhideWhenUsed/>
    <w:rsid w:val="008D5790"/>
    <w:pPr>
      <w:spacing w:line="240" w:lineRule="auto"/>
    </w:pPr>
    <w:rPr>
      <w:sz w:val="20"/>
      <w:szCs w:val="20"/>
    </w:rPr>
  </w:style>
  <w:style w:type="character" w:customStyle="1" w:styleId="CommentTextChar">
    <w:name w:val="Comment Text Char"/>
    <w:basedOn w:val="DefaultParagraphFont"/>
    <w:link w:val="CommentText"/>
    <w:uiPriority w:val="99"/>
    <w:semiHidden/>
    <w:rsid w:val="008D5790"/>
    <w:rPr>
      <w:sz w:val="20"/>
      <w:szCs w:val="20"/>
    </w:rPr>
  </w:style>
  <w:style w:type="paragraph" w:styleId="CommentSubject">
    <w:name w:val="annotation subject"/>
    <w:basedOn w:val="CommentText"/>
    <w:next w:val="CommentText"/>
    <w:link w:val="CommentSubjectChar"/>
    <w:uiPriority w:val="99"/>
    <w:semiHidden/>
    <w:unhideWhenUsed/>
    <w:rsid w:val="008D5790"/>
    <w:rPr>
      <w:b/>
      <w:bCs/>
    </w:rPr>
  </w:style>
  <w:style w:type="character" w:customStyle="1" w:styleId="CommentSubjectChar">
    <w:name w:val="Comment Subject Char"/>
    <w:basedOn w:val="CommentTextChar"/>
    <w:link w:val="CommentSubject"/>
    <w:uiPriority w:val="99"/>
    <w:semiHidden/>
    <w:rsid w:val="008D5790"/>
    <w:rPr>
      <w:b/>
      <w:bCs/>
      <w:sz w:val="20"/>
      <w:szCs w:val="20"/>
    </w:rPr>
  </w:style>
  <w:style w:type="paragraph" w:styleId="BalloonText">
    <w:name w:val="Balloon Text"/>
    <w:basedOn w:val="Normal"/>
    <w:link w:val="BalloonTextChar"/>
    <w:uiPriority w:val="99"/>
    <w:semiHidden/>
    <w:unhideWhenUsed/>
    <w:rsid w:val="008D5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90"/>
    <w:rPr>
      <w:rFonts w:ascii="Tahoma" w:hAnsi="Tahoma" w:cs="Tahoma"/>
      <w:sz w:val="16"/>
      <w:szCs w:val="16"/>
    </w:rPr>
  </w:style>
  <w:style w:type="paragraph" w:styleId="NormalWeb">
    <w:name w:val="Normal (Web)"/>
    <w:basedOn w:val="Normal"/>
    <w:uiPriority w:val="99"/>
    <w:semiHidden/>
    <w:unhideWhenUsed/>
    <w:rsid w:val="00545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B0B40"/>
  </w:style>
  <w:style w:type="paragraph" w:customStyle="1" w:styleId="Default">
    <w:name w:val="Default"/>
    <w:rsid w:val="008E07B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414"/>
  </w:style>
  <w:style w:type="paragraph" w:styleId="Heading1">
    <w:name w:val="heading 1"/>
    <w:basedOn w:val="Normal"/>
    <w:next w:val="Normal"/>
    <w:link w:val="Heading1Char"/>
    <w:uiPriority w:val="9"/>
    <w:qFormat/>
    <w:rsid w:val="00D3741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3741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3741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3741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741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741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741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741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741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41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3741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3741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3741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741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741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741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741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741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741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741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741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37414"/>
    <w:rPr>
      <w:rFonts w:asciiTheme="majorHAnsi" w:eastAsiaTheme="majorEastAsia" w:hAnsiTheme="majorHAnsi" w:cstheme="majorBidi"/>
      <w:i/>
      <w:iCs/>
      <w:spacing w:val="13"/>
      <w:sz w:val="24"/>
      <w:szCs w:val="24"/>
    </w:rPr>
  </w:style>
  <w:style w:type="character" w:styleId="Strong">
    <w:name w:val="Strong"/>
    <w:uiPriority w:val="22"/>
    <w:qFormat/>
    <w:rsid w:val="00D37414"/>
    <w:rPr>
      <w:b/>
      <w:bCs/>
    </w:rPr>
  </w:style>
  <w:style w:type="character" w:styleId="Emphasis">
    <w:name w:val="Emphasis"/>
    <w:uiPriority w:val="20"/>
    <w:qFormat/>
    <w:rsid w:val="00D37414"/>
    <w:rPr>
      <w:b/>
      <w:bCs/>
      <w:i/>
      <w:iCs/>
      <w:spacing w:val="10"/>
      <w:bdr w:val="none" w:sz="0" w:space="0" w:color="auto"/>
      <w:shd w:val="clear" w:color="auto" w:fill="auto"/>
    </w:rPr>
  </w:style>
  <w:style w:type="paragraph" w:styleId="NoSpacing">
    <w:name w:val="No Spacing"/>
    <w:basedOn w:val="Normal"/>
    <w:uiPriority w:val="1"/>
    <w:qFormat/>
    <w:rsid w:val="00D37414"/>
    <w:pPr>
      <w:spacing w:after="0" w:line="240" w:lineRule="auto"/>
    </w:pPr>
  </w:style>
  <w:style w:type="paragraph" w:styleId="ListParagraph">
    <w:name w:val="List Paragraph"/>
    <w:basedOn w:val="Normal"/>
    <w:uiPriority w:val="34"/>
    <w:qFormat/>
    <w:rsid w:val="00D37414"/>
    <w:pPr>
      <w:ind w:left="720"/>
      <w:contextualSpacing/>
    </w:pPr>
  </w:style>
  <w:style w:type="paragraph" w:styleId="Quote">
    <w:name w:val="Quote"/>
    <w:basedOn w:val="Normal"/>
    <w:next w:val="Normal"/>
    <w:link w:val="QuoteChar"/>
    <w:uiPriority w:val="29"/>
    <w:qFormat/>
    <w:rsid w:val="00D37414"/>
    <w:pPr>
      <w:spacing w:before="200" w:after="0"/>
      <w:ind w:left="360" w:right="360"/>
    </w:pPr>
    <w:rPr>
      <w:i/>
      <w:iCs/>
    </w:rPr>
  </w:style>
  <w:style w:type="character" w:customStyle="1" w:styleId="QuoteChar">
    <w:name w:val="Quote Char"/>
    <w:basedOn w:val="DefaultParagraphFont"/>
    <w:link w:val="Quote"/>
    <w:uiPriority w:val="29"/>
    <w:rsid w:val="00D37414"/>
    <w:rPr>
      <w:i/>
      <w:iCs/>
    </w:rPr>
  </w:style>
  <w:style w:type="paragraph" w:styleId="IntenseQuote">
    <w:name w:val="Intense Quote"/>
    <w:basedOn w:val="Normal"/>
    <w:next w:val="Normal"/>
    <w:link w:val="IntenseQuoteChar"/>
    <w:uiPriority w:val="30"/>
    <w:qFormat/>
    <w:rsid w:val="00D3741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7414"/>
    <w:rPr>
      <w:b/>
      <w:bCs/>
      <w:i/>
      <w:iCs/>
    </w:rPr>
  </w:style>
  <w:style w:type="character" w:styleId="SubtleEmphasis">
    <w:name w:val="Subtle Emphasis"/>
    <w:uiPriority w:val="19"/>
    <w:qFormat/>
    <w:rsid w:val="00D37414"/>
    <w:rPr>
      <w:i/>
      <w:iCs/>
    </w:rPr>
  </w:style>
  <w:style w:type="character" w:styleId="IntenseEmphasis">
    <w:name w:val="Intense Emphasis"/>
    <w:uiPriority w:val="21"/>
    <w:qFormat/>
    <w:rsid w:val="00D37414"/>
    <w:rPr>
      <w:b/>
      <w:bCs/>
    </w:rPr>
  </w:style>
  <w:style w:type="character" w:styleId="SubtleReference">
    <w:name w:val="Subtle Reference"/>
    <w:uiPriority w:val="31"/>
    <w:qFormat/>
    <w:rsid w:val="00D37414"/>
    <w:rPr>
      <w:smallCaps/>
    </w:rPr>
  </w:style>
  <w:style w:type="character" w:styleId="IntenseReference">
    <w:name w:val="Intense Reference"/>
    <w:uiPriority w:val="32"/>
    <w:qFormat/>
    <w:rsid w:val="00D37414"/>
    <w:rPr>
      <w:smallCaps/>
      <w:spacing w:val="5"/>
      <w:u w:val="single"/>
    </w:rPr>
  </w:style>
  <w:style w:type="character" w:styleId="BookTitle">
    <w:name w:val="Book Title"/>
    <w:uiPriority w:val="33"/>
    <w:qFormat/>
    <w:rsid w:val="00D37414"/>
    <w:rPr>
      <w:i/>
      <w:iCs/>
      <w:smallCaps/>
      <w:spacing w:val="5"/>
    </w:rPr>
  </w:style>
  <w:style w:type="paragraph" w:styleId="TOCHeading">
    <w:name w:val="TOC Heading"/>
    <w:basedOn w:val="Heading1"/>
    <w:next w:val="Normal"/>
    <w:uiPriority w:val="39"/>
    <w:semiHidden/>
    <w:unhideWhenUsed/>
    <w:qFormat/>
    <w:rsid w:val="00D37414"/>
    <w:pPr>
      <w:outlineLvl w:val="9"/>
    </w:pPr>
    <w:rPr>
      <w:lang w:bidi="en-US"/>
    </w:rPr>
  </w:style>
  <w:style w:type="paragraph" w:styleId="Caption">
    <w:name w:val="caption"/>
    <w:basedOn w:val="Normal"/>
    <w:next w:val="Normal"/>
    <w:uiPriority w:val="35"/>
    <w:semiHidden/>
    <w:unhideWhenUsed/>
    <w:rsid w:val="00D37414"/>
    <w:pPr>
      <w:spacing w:line="240" w:lineRule="auto"/>
    </w:pPr>
    <w:rPr>
      <w:b/>
      <w:bCs/>
      <w:color w:val="4F81BD" w:themeColor="accent1"/>
      <w:sz w:val="18"/>
      <w:szCs w:val="18"/>
    </w:rPr>
  </w:style>
  <w:style w:type="character" w:styleId="Hyperlink">
    <w:name w:val="Hyperlink"/>
    <w:basedOn w:val="DefaultParagraphFont"/>
    <w:uiPriority w:val="99"/>
    <w:unhideWhenUsed/>
    <w:rsid w:val="003475CE"/>
    <w:rPr>
      <w:color w:val="0000FF" w:themeColor="hyperlink"/>
      <w:u w:val="single"/>
    </w:rPr>
  </w:style>
  <w:style w:type="character" w:styleId="FollowedHyperlink">
    <w:name w:val="FollowedHyperlink"/>
    <w:basedOn w:val="DefaultParagraphFont"/>
    <w:uiPriority w:val="99"/>
    <w:semiHidden/>
    <w:unhideWhenUsed/>
    <w:rsid w:val="008D5790"/>
    <w:rPr>
      <w:color w:val="800080" w:themeColor="followedHyperlink"/>
      <w:u w:val="single"/>
    </w:rPr>
  </w:style>
  <w:style w:type="character" w:styleId="CommentReference">
    <w:name w:val="annotation reference"/>
    <w:basedOn w:val="DefaultParagraphFont"/>
    <w:uiPriority w:val="99"/>
    <w:semiHidden/>
    <w:unhideWhenUsed/>
    <w:rsid w:val="008D5790"/>
    <w:rPr>
      <w:sz w:val="16"/>
      <w:szCs w:val="16"/>
    </w:rPr>
  </w:style>
  <w:style w:type="paragraph" w:styleId="CommentText">
    <w:name w:val="annotation text"/>
    <w:basedOn w:val="Normal"/>
    <w:link w:val="CommentTextChar"/>
    <w:uiPriority w:val="99"/>
    <w:semiHidden/>
    <w:unhideWhenUsed/>
    <w:rsid w:val="008D5790"/>
    <w:pPr>
      <w:spacing w:line="240" w:lineRule="auto"/>
    </w:pPr>
    <w:rPr>
      <w:sz w:val="20"/>
      <w:szCs w:val="20"/>
    </w:rPr>
  </w:style>
  <w:style w:type="character" w:customStyle="1" w:styleId="CommentTextChar">
    <w:name w:val="Comment Text Char"/>
    <w:basedOn w:val="DefaultParagraphFont"/>
    <w:link w:val="CommentText"/>
    <w:uiPriority w:val="99"/>
    <w:semiHidden/>
    <w:rsid w:val="008D5790"/>
    <w:rPr>
      <w:sz w:val="20"/>
      <w:szCs w:val="20"/>
    </w:rPr>
  </w:style>
  <w:style w:type="paragraph" w:styleId="CommentSubject">
    <w:name w:val="annotation subject"/>
    <w:basedOn w:val="CommentText"/>
    <w:next w:val="CommentText"/>
    <w:link w:val="CommentSubjectChar"/>
    <w:uiPriority w:val="99"/>
    <w:semiHidden/>
    <w:unhideWhenUsed/>
    <w:rsid w:val="008D5790"/>
    <w:rPr>
      <w:b/>
      <w:bCs/>
    </w:rPr>
  </w:style>
  <w:style w:type="character" w:customStyle="1" w:styleId="CommentSubjectChar">
    <w:name w:val="Comment Subject Char"/>
    <w:basedOn w:val="CommentTextChar"/>
    <w:link w:val="CommentSubject"/>
    <w:uiPriority w:val="99"/>
    <w:semiHidden/>
    <w:rsid w:val="008D5790"/>
    <w:rPr>
      <w:b/>
      <w:bCs/>
      <w:sz w:val="20"/>
      <w:szCs w:val="20"/>
    </w:rPr>
  </w:style>
  <w:style w:type="paragraph" w:styleId="BalloonText">
    <w:name w:val="Balloon Text"/>
    <w:basedOn w:val="Normal"/>
    <w:link w:val="BalloonTextChar"/>
    <w:uiPriority w:val="99"/>
    <w:semiHidden/>
    <w:unhideWhenUsed/>
    <w:rsid w:val="008D5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90"/>
    <w:rPr>
      <w:rFonts w:ascii="Tahoma" w:hAnsi="Tahoma" w:cs="Tahoma"/>
      <w:sz w:val="16"/>
      <w:szCs w:val="16"/>
    </w:rPr>
  </w:style>
  <w:style w:type="paragraph" w:styleId="NormalWeb">
    <w:name w:val="Normal (Web)"/>
    <w:basedOn w:val="Normal"/>
    <w:uiPriority w:val="99"/>
    <w:semiHidden/>
    <w:unhideWhenUsed/>
    <w:rsid w:val="00545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B0B40"/>
  </w:style>
  <w:style w:type="paragraph" w:customStyle="1" w:styleId="Default">
    <w:name w:val="Default"/>
    <w:rsid w:val="008E07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258846">
      <w:bodyDiv w:val="1"/>
      <w:marLeft w:val="0"/>
      <w:marRight w:val="0"/>
      <w:marTop w:val="0"/>
      <w:marBottom w:val="0"/>
      <w:divBdr>
        <w:top w:val="none" w:sz="0" w:space="0" w:color="auto"/>
        <w:left w:val="none" w:sz="0" w:space="0" w:color="auto"/>
        <w:bottom w:val="none" w:sz="0" w:space="0" w:color="auto"/>
        <w:right w:val="none" w:sz="0" w:space="0" w:color="auto"/>
      </w:divBdr>
    </w:div>
    <w:div w:id="513541809">
      <w:bodyDiv w:val="1"/>
      <w:marLeft w:val="0"/>
      <w:marRight w:val="0"/>
      <w:marTop w:val="0"/>
      <w:marBottom w:val="0"/>
      <w:divBdr>
        <w:top w:val="none" w:sz="0" w:space="0" w:color="auto"/>
        <w:left w:val="none" w:sz="0" w:space="0" w:color="auto"/>
        <w:bottom w:val="none" w:sz="0" w:space="0" w:color="auto"/>
        <w:right w:val="none" w:sz="0" w:space="0" w:color="auto"/>
      </w:divBdr>
    </w:div>
    <w:div w:id="799881766">
      <w:bodyDiv w:val="1"/>
      <w:marLeft w:val="0"/>
      <w:marRight w:val="0"/>
      <w:marTop w:val="0"/>
      <w:marBottom w:val="0"/>
      <w:divBdr>
        <w:top w:val="none" w:sz="0" w:space="0" w:color="auto"/>
        <w:left w:val="none" w:sz="0" w:space="0" w:color="auto"/>
        <w:bottom w:val="none" w:sz="0" w:space="0" w:color="auto"/>
        <w:right w:val="none" w:sz="0" w:space="0" w:color="auto"/>
      </w:divBdr>
    </w:div>
    <w:div w:id="961495097">
      <w:bodyDiv w:val="1"/>
      <w:marLeft w:val="0"/>
      <w:marRight w:val="0"/>
      <w:marTop w:val="0"/>
      <w:marBottom w:val="0"/>
      <w:divBdr>
        <w:top w:val="none" w:sz="0" w:space="0" w:color="auto"/>
        <w:left w:val="none" w:sz="0" w:space="0" w:color="auto"/>
        <w:bottom w:val="none" w:sz="0" w:space="0" w:color="auto"/>
        <w:right w:val="none" w:sz="0" w:space="0" w:color="auto"/>
      </w:divBdr>
    </w:div>
    <w:div w:id="1016612327">
      <w:bodyDiv w:val="1"/>
      <w:marLeft w:val="0"/>
      <w:marRight w:val="0"/>
      <w:marTop w:val="0"/>
      <w:marBottom w:val="0"/>
      <w:divBdr>
        <w:top w:val="none" w:sz="0" w:space="0" w:color="auto"/>
        <w:left w:val="none" w:sz="0" w:space="0" w:color="auto"/>
        <w:bottom w:val="none" w:sz="0" w:space="0" w:color="auto"/>
        <w:right w:val="none" w:sz="0" w:space="0" w:color="auto"/>
      </w:divBdr>
    </w:div>
    <w:div w:id="1059132201">
      <w:bodyDiv w:val="1"/>
      <w:marLeft w:val="0"/>
      <w:marRight w:val="0"/>
      <w:marTop w:val="0"/>
      <w:marBottom w:val="0"/>
      <w:divBdr>
        <w:top w:val="none" w:sz="0" w:space="0" w:color="auto"/>
        <w:left w:val="none" w:sz="0" w:space="0" w:color="auto"/>
        <w:bottom w:val="none" w:sz="0" w:space="0" w:color="auto"/>
        <w:right w:val="none" w:sz="0" w:space="0" w:color="auto"/>
      </w:divBdr>
    </w:div>
    <w:div w:id="1372609014">
      <w:bodyDiv w:val="1"/>
      <w:marLeft w:val="0"/>
      <w:marRight w:val="0"/>
      <w:marTop w:val="0"/>
      <w:marBottom w:val="0"/>
      <w:divBdr>
        <w:top w:val="none" w:sz="0" w:space="0" w:color="auto"/>
        <w:left w:val="none" w:sz="0" w:space="0" w:color="auto"/>
        <w:bottom w:val="none" w:sz="0" w:space="0" w:color="auto"/>
        <w:right w:val="none" w:sz="0" w:space="0" w:color="auto"/>
      </w:divBdr>
    </w:div>
    <w:div w:id="21332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policies.tamus.edu"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76BB-2D3F-4ED2-AF96-5E33BD23AE80}">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8167C20-43DF-4D17-947A-798A39439AD4}">
  <ds:schemaRefs>
    <ds:schemaRef ds:uri="http://schemas.microsoft.com/sharepoint/v3/contenttype/forms"/>
  </ds:schemaRefs>
</ds:datastoreItem>
</file>

<file path=customXml/itemProps3.xml><?xml version="1.0" encoding="utf-8"?>
<ds:datastoreItem xmlns:ds="http://schemas.openxmlformats.org/officeDocument/2006/customXml" ds:itemID="{91E2772C-B147-4D0F-9F2E-189D60AE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739E61-B659-41F8-9B83-46E48EDA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2504</Words>
  <Characters>14275</Characters>
  <DocSecurity>0</DocSecurity>
  <Lines>118</Lines>
  <Paragraphs>33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16746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