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29.059998pt;margin-top:72.000023pt;width:335.9pt;height:16.8pt;mso-position-horizontal-relative:page;mso-position-vertical-relative:page;z-index:-5656" coordorigin="2581,1440" coordsize="6718,336">
            <v:line style="position:absolute" from="2581,1445" to="9299,1445" stroked="true" strokeweight=".47998pt" strokecolor="#000000">
              <v:stroke dashstyle="solid"/>
            </v:line>
            <v:line style="position:absolute" from="2581,1771" to="9299,1771" stroked="true" strokeweight=".48004pt" strokecolor="#000000">
              <v:stroke dashstyle="solid"/>
            </v:line>
            <v:line style="position:absolute" from="2586,1440" to="2586,1776" stroked="true" strokeweight=".48pt" strokecolor="#000000">
              <v:stroke dashstyle="solid"/>
            </v:line>
            <v:line style="position:absolute" from="9294,1440" to="9294,1776" stroked="true" strokeweight=".4800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89pt;margin-top:115.746643pt;width:292.6pt;height:42.9pt;mso-position-horizontal-relative:page;mso-position-vertical-relative:page;z-index:-5632" type="#_x0000_t202" filled="false" stroked="false">
            <v:textbox inset="0,0,0,0">
              <w:txbxContent>
                <w:p>
                  <w:pPr>
                    <w:pStyle w:val="BodyText"/>
                    <w:spacing w:before="10"/>
                  </w:pPr>
                  <w:r>
                    <w:rPr/>
                    <w:t>To: John Office</w:t>
                  </w:r>
                </w:p>
                <w:p>
                  <w:pPr>
                    <w:pStyle w:val="BodyText"/>
                  </w:pPr>
                  <w:r>
                    <w:rPr/>
                    <w:t>Office Held: United States Senator (R, state name)</w:t>
                  </w:r>
                </w:p>
                <w:p>
                  <w:pPr>
                    <w:pStyle w:val="BodyText"/>
                  </w:pPr>
                  <w:r>
                    <w:rPr/>
                    <w:t>Issue: Lesbian, Gay, Bisexual, and Transgender Civil Rights</w:t>
                  </w:r>
                </w:p>
              </w:txbxContent>
            </v:textbox>
            <w10:wrap type="none"/>
          </v:shape>
        </w:pict>
      </w:r>
      <w:r>
        <w:rPr/>
        <w:pict>
          <v:shape style="position:absolute;margin-left:89pt;margin-top:171.066635pt;width:431.25pt;height:98pt;mso-position-horizontal-relative:page;mso-position-vertical-relative:page;z-index:-5608" type="#_x0000_t202" filled="false" stroked="false">
            <v:textbox inset="0,0,0,0">
              <w:txbxContent>
                <w:p>
                  <w:pPr>
                    <w:spacing w:line="275" w:lineRule="exact" w:before="10"/>
                    <w:ind w:left="20" w:right="0" w:firstLine="0"/>
                    <w:jc w:val="left"/>
                    <w:rPr>
                      <w:b/>
                      <w:sz w:val="24"/>
                    </w:rPr>
                  </w:pPr>
                  <w:r>
                    <w:rPr>
                      <w:b/>
                      <w:sz w:val="24"/>
                    </w:rPr>
                    <w:t>Problem Statement</w:t>
                  </w:r>
                </w:p>
                <w:p>
                  <w:pPr>
                    <w:pStyle w:val="BodyText"/>
                    <w:ind w:right="17"/>
                  </w:pPr>
                  <w:r>
                    <w:rPr/>
                    <w:t>One of the most urgent problems within the United States is the discrimination faced by the Lesbian, Gay, Bisexual, and Transgender (LGBT) community, who are routinely denied equal civil rights protections. Discrimination against LGBT people is legal in thirty-four states (NGLTF, 2004). According to the American Psychological Association, over one-third of LGB African-Americans and more than one-half of LGB White Americans have experienced discrimination based on their sexual orientation.</w:t>
                  </w:r>
                </w:p>
              </w:txbxContent>
            </v:textbox>
            <w10:wrap type="none"/>
          </v:shape>
        </w:pict>
      </w:r>
      <w:r>
        <w:rPr/>
        <w:pict>
          <v:shape style="position:absolute;margin-left:89pt;margin-top:281.346649pt;width:433.95pt;height:125.7pt;mso-position-horizontal-relative:page;mso-position-vertical-relative:page;z-index:-5584" type="#_x0000_t202" filled="false" stroked="false">
            <v:textbox inset="0,0,0,0">
              <w:txbxContent>
                <w:p>
                  <w:pPr>
                    <w:pStyle w:val="BodyText"/>
                    <w:spacing w:before="10"/>
                    <w:ind w:right="1"/>
                  </w:pPr>
                  <w:r>
                    <w:rPr/>
                    <w:t>Discrimination occurs in many arenas including public accommodations, housing, school and employment. For example, within medical settings, about one-third of LGB physicians and medical students surveyed reported that, because of their sexual orientation, they had been denied employment, refused medical services or a loan, denied a promotion or referrals from other physicians, or were fired from their positions (Schatz and O’Hanlan, 1994). Discrimination affects the mental health of LGBT individuals, their access to equal opportunity, and their job performance (Waldo 1999). It hurts the children who cannot access medical benefits from their LGB parents and creates an American culture that is exclusive and divisive (HRC 2003).</w:t>
                  </w:r>
                </w:p>
              </w:txbxContent>
            </v:textbox>
            <w10:wrap type="none"/>
          </v:shape>
        </w:pict>
      </w:r>
      <w:r>
        <w:rPr/>
        <w:pict>
          <v:shape style="position:absolute;margin-left:89pt;margin-top:419.466644pt;width:426.55pt;height:97.95pt;mso-position-horizontal-relative:page;mso-position-vertical-relative:page;z-index:-5560" type="#_x0000_t202" filled="false" stroked="false">
            <v:textbox inset="0,0,0,0">
              <w:txbxContent>
                <w:p>
                  <w:pPr>
                    <w:spacing w:line="274" w:lineRule="exact" w:before="10"/>
                    <w:ind w:left="20" w:right="0" w:firstLine="0"/>
                    <w:jc w:val="left"/>
                    <w:rPr>
                      <w:b/>
                      <w:sz w:val="24"/>
                    </w:rPr>
                  </w:pPr>
                  <w:r>
                    <w:rPr>
                      <w:b/>
                      <w:sz w:val="24"/>
                    </w:rPr>
                    <w:t>Proposed Solution</w:t>
                  </w:r>
                </w:p>
                <w:p>
                  <w:pPr>
                    <w:pStyle w:val="BodyText"/>
                    <w:ind w:right="-1"/>
                  </w:pPr>
                  <w:r>
                    <w:rPr/>
                    <w:t>According to political scientist Alan Yang, people are most accepting of LGBT people when they have a relationship with a member of the LGBT community (1997). It is only when LGBT people feel comfortable coming out to their friends, family and employers that our society will truly become supportive of this population. This means that a comprehensive federal anti-discrimination bill including protection for LGBT people in employment, public accommodations, housing and education must be passed.</w:t>
                  </w:r>
                </w:p>
              </w:txbxContent>
            </v:textbox>
            <w10:wrap type="none"/>
          </v:shape>
        </w:pict>
      </w:r>
      <w:r>
        <w:rPr/>
        <w:pict>
          <v:shape style="position:absolute;margin-left:89pt;margin-top:529.686646pt;width:429.6pt;height:125.7pt;mso-position-horizontal-relative:page;mso-position-vertical-relative:page;z-index:-5536" type="#_x0000_t202" filled="false" stroked="false">
            <v:textbox inset="0,0,0,0">
              <w:txbxContent>
                <w:p>
                  <w:pPr>
                    <w:pStyle w:val="BodyText"/>
                    <w:spacing w:before="10"/>
                  </w:pPr>
                  <w:r>
                    <w:rPr/>
                    <w:t>It is absolutely necessary that LGBT have a legal remedy for the discrimination they are faced with in the same way that people of color are protected under the Civil Rights Act of 1964. Research indicates that places of employment with anti-discrimination policies shower higher job satisfaction and commitment among LGB people (Burton, 2001). This is further supported by research showing that LGB people are more likely to report discrimination in places of employment that do not have policies against discrimination based on sexual orientation (“Support for ENDA,” 2003). According to these findings, LGB people are also more likely to be comfortable in their academic and living environments when non-discrimination policies exist.</w:t>
                  </w:r>
                </w:p>
              </w:txbxContent>
            </v:textbox>
            <w10:wrap type="none"/>
          </v:shape>
        </w:pict>
      </w:r>
      <w:r>
        <w:rPr/>
        <w:pict>
          <v:shape style="position:absolute;margin-left:89pt;margin-top:667.686646pt;width:432.9pt;height:42.9pt;mso-position-horizontal-relative:page;mso-position-vertical-relative:page;z-index:-5512" type="#_x0000_t202" filled="false" stroked="false">
            <v:textbox inset="0,0,0,0">
              <w:txbxContent>
                <w:p>
                  <w:pPr>
                    <w:pStyle w:val="BodyText"/>
                    <w:spacing w:before="10"/>
                    <w:ind w:right="6"/>
                  </w:pPr>
                  <w:r>
                    <w:rPr/>
                    <w:t>Your recent support of the Employment Non-Discrimination Act is commendable, but this bill is not sufficient. It only protects LGBT people against employment discrimination. A bill must be drafted that prohibits discrimination in employment, public</w:t>
                  </w:r>
                </w:p>
              </w:txbxContent>
            </v:textbox>
            <w10:wrap type="none"/>
          </v:shape>
        </w:pict>
      </w:r>
      <w:r>
        <w:rPr/>
        <w:pict>
          <v:shape style="position:absolute;margin-left:177.020004pt;margin-top:722.988831pt;width:275.850pt;height:20.05pt;mso-position-horizontal-relative:page;mso-position-vertical-relative:page;z-index:-5488" type="#_x0000_t202" filled="false" stroked="false">
            <v:textbox inset="0,0,0,0">
              <w:txbxContent>
                <w:p>
                  <w:pPr>
                    <w:spacing w:before="13"/>
                    <w:ind w:left="618" w:right="17" w:hanging="599"/>
                    <w:jc w:val="left"/>
                    <w:rPr>
                      <w:sz w:val="16"/>
                    </w:rPr>
                  </w:pPr>
                  <w:r>
                    <w:rPr>
                      <w:sz w:val="16"/>
                    </w:rPr>
                    <w:t>These pages were downloaded from </w:t>
                  </w:r>
                  <w:r>
                    <w:rPr>
                      <w:i/>
                      <w:sz w:val="16"/>
                    </w:rPr>
                    <w:t>Writing Personal Statements Online</w:t>
                  </w:r>
                  <w:r>
                    <w:rPr>
                      <w:sz w:val="16"/>
                    </w:rPr>
                    <w:t>, available at </w:t>
                  </w:r>
                  <w:hyperlink r:id="rId5">
                    <w:r>
                      <w:rPr>
                        <w:sz w:val="16"/>
                      </w:rPr>
                      <w:t>https://www.e-education.psu.edu/writingpersonalstate</w:t>
                    </w:r>
                  </w:hyperlink>
                  <w:r>
                    <w:rPr>
                      <w:sz w:val="16"/>
                    </w:rPr>
                    <w:t>me</w:t>
                  </w:r>
                  <w:hyperlink r:id="rId5">
                    <w:r>
                      <w:rPr>
                        <w:sz w:val="16"/>
                      </w:rPr>
                      <w:t>ntsonline/</w:t>
                    </w:r>
                  </w:hyperlink>
                </w:p>
              </w:txbxContent>
            </v:textbox>
            <w10:wrap type="none"/>
          </v:shape>
        </w:pict>
      </w:r>
      <w:r>
        <w:rPr/>
        <w:pict>
          <v:shape style="position:absolute;margin-left:129.300003pt;margin-top:72.240013pt;width:335.4pt;height:16.3500pt;mso-position-horizontal-relative:page;mso-position-vertical-relative:page;z-index:-5464" type="#_x0000_t202" filled="false" stroked="false">
            <v:textbox inset="0,0,0,0">
              <w:txbxContent>
                <w:p>
                  <w:pPr>
                    <w:spacing w:before="23"/>
                    <w:ind w:left="382" w:right="0" w:firstLine="0"/>
                    <w:jc w:val="left"/>
                    <w:rPr>
                      <w:b/>
                      <w:sz w:val="24"/>
                    </w:rPr>
                  </w:pPr>
                  <w:r>
                    <w:rPr>
                      <w:b/>
                      <w:sz w:val="24"/>
                    </w:rPr>
                    <w:t>Sample Truman Scholarship Policy Proposal</w:t>
                  </w:r>
                  <w:r>
                    <w:rPr>
                      <w:sz w:val="24"/>
                    </w:rPr>
                    <w:t>—</w:t>
                  </w:r>
                  <w:r>
                    <w:rPr>
                      <w:b/>
                      <w:sz w:val="24"/>
                    </w:rPr>
                    <w:t>Student #1</w:t>
                  </w:r>
                </w:p>
              </w:txbxContent>
            </v:textbox>
            <w10:wrap type="none"/>
          </v:shape>
        </w:pict>
      </w:r>
    </w:p>
    <w:p>
      <w:pPr>
        <w:spacing w:after="0"/>
        <w:rPr>
          <w:sz w:val="2"/>
          <w:szCs w:val="2"/>
        </w:rPr>
        <w:sectPr>
          <w:type w:val="continuous"/>
          <w:pgSz w:w="12240" w:h="15840"/>
          <w:pgMar w:top="1440" w:bottom="280" w:left="1660" w:right="1680"/>
        </w:sectPr>
      </w:pPr>
    </w:p>
    <w:p>
      <w:pPr>
        <w:rPr>
          <w:sz w:val="2"/>
          <w:szCs w:val="2"/>
        </w:rPr>
      </w:pPr>
      <w:r>
        <w:rPr/>
        <w:pict>
          <v:shape style="position:absolute;margin-left:89pt;margin-top:71.346642pt;width:425.9pt;height:29.1pt;mso-position-horizontal-relative:page;mso-position-vertical-relative:page;z-index:-5440" type="#_x0000_t202" filled="false" stroked="false">
            <v:textbox inset="0,0,0,0">
              <w:txbxContent>
                <w:p>
                  <w:pPr>
                    <w:pStyle w:val="BodyText"/>
                    <w:spacing w:before="10"/>
                  </w:pPr>
                  <w:r>
                    <w:rPr/>
                    <w:t>accommodations, housing and education. LGBT people must be protected in all areas of society so that they are afforded equal access to all of the United States opportunities.</w:t>
                  </w:r>
                </w:p>
              </w:txbxContent>
            </v:textbox>
            <w10:wrap type="none"/>
          </v:shape>
        </w:pict>
      </w:r>
      <w:r>
        <w:rPr/>
        <w:pict>
          <v:shape style="position:absolute;margin-left:89pt;margin-top:112.866638pt;width:433.5pt;height:111.8pt;mso-position-horizontal-relative:page;mso-position-vertical-relative:page;z-index:-5416" type="#_x0000_t202" filled="false" stroked="false">
            <v:textbox inset="0,0,0,0">
              <w:txbxContent>
                <w:p>
                  <w:pPr>
                    <w:spacing w:line="275" w:lineRule="exact" w:before="10"/>
                    <w:ind w:left="20" w:right="0" w:firstLine="0"/>
                    <w:jc w:val="left"/>
                    <w:rPr>
                      <w:b/>
                      <w:sz w:val="24"/>
                    </w:rPr>
                  </w:pPr>
                  <w:r>
                    <w:rPr>
                      <w:b/>
                      <w:sz w:val="24"/>
                    </w:rPr>
                    <w:t>Major Obstacles/Implementation Challenges</w:t>
                  </w:r>
                </w:p>
                <w:p>
                  <w:pPr>
                    <w:pStyle w:val="BodyText"/>
                    <w:ind w:right="17"/>
                  </w:pPr>
                  <w:r>
                    <w:rPr/>
                    <w:t>Although a 2001 Gallup Poll indicates that eighty-five percent of respondents replied yes to the question, “In general, do you think homosexuals should or should not have equal rights in terms of opportunities?” there is a significant portion of Americans who believe that homosexuality is a sin (“Testimony,” 2002), and members of this group actively fight legislation to promote their views. This group is well-organized and mobilizes its grassroots efforts efficiently and effectively. This group tends to misinterpret the idea that by seeking equal civil rights protections, LGBT people are asking for special</w:t>
                  </w:r>
                  <w:r>
                    <w:rPr>
                      <w:spacing w:val="-21"/>
                    </w:rPr>
                    <w:t> </w:t>
                  </w:r>
                  <w:r>
                    <w:rPr/>
                    <w:t>rights.</w:t>
                  </w:r>
                </w:p>
              </w:txbxContent>
            </v:textbox>
            <w10:wrap type="none"/>
          </v:shape>
        </w:pict>
      </w:r>
      <w:r>
        <w:rPr/>
        <w:pict>
          <v:shape style="position:absolute;margin-left:89pt;margin-top:236.94664pt;width:416.65pt;height:42.9pt;mso-position-horizontal-relative:page;mso-position-vertical-relative:page;z-index:-5392" type="#_x0000_t202" filled="false" stroked="false">
            <v:textbox inset="0,0,0,0">
              <w:txbxContent>
                <w:p>
                  <w:pPr>
                    <w:pStyle w:val="BodyText"/>
                    <w:spacing w:before="10"/>
                    <w:ind w:right="1"/>
                  </w:pPr>
                  <w:r>
                    <w:rPr/>
                    <w:t>There is also a strong possibility that employers may not support this bill because they will believe that it might require them to offer domestic partner benefits to their employees. This is an added cost that may challenge small businesses in particular.</w:t>
                  </w:r>
                </w:p>
              </w:txbxContent>
            </v:textbox>
            <w10:wrap type="none"/>
          </v:shape>
        </w:pict>
      </w:r>
      <w:r>
        <w:rPr/>
        <w:pict>
          <v:shape style="position:absolute;margin-left:89pt;margin-top:292.146637pt;width:429.6pt;height:56.7pt;mso-position-horizontal-relative:page;mso-position-vertical-relative:page;z-index:-5368" type="#_x0000_t202" filled="false" stroked="false">
            <v:textbox inset="0,0,0,0">
              <w:txbxContent>
                <w:p>
                  <w:pPr>
                    <w:pStyle w:val="BodyText"/>
                    <w:spacing w:before="10"/>
                    <w:ind w:right="-1"/>
                  </w:pPr>
                  <w:r>
                    <w:rPr/>
                    <w:t>Admittedly, this is not a policy that all of your constituents support, but it is one they can all benefit from. By working towards a society that is inclusive of all of its citizens, our community is strengthened and all people are afforded their constitutional right to equal opportunity.</w:t>
                  </w:r>
                </w:p>
              </w:txbxContent>
            </v:textbox>
            <w10:wrap type="none"/>
          </v:shape>
        </w:pict>
      </w:r>
      <w:r>
        <w:rPr/>
        <w:pict>
          <v:shape style="position:absolute;margin-left:89pt;margin-top:361.266632pt;width:430.95pt;height:235.95pt;mso-position-horizontal-relative:page;mso-position-vertical-relative:page;z-index:-5344" type="#_x0000_t202" filled="false" stroked="false">
            <v:textbox inset="0,0,0,0">
              <w:txbxContent>
                <w:p>
                  <w:pPr>
                    <w:spacing w:line="275" w:lineRule="exact" w:before="10"/>
                    <w:ind w:left="20" w:right="0" w:firstLine="0"/>
                    <w:jc w:val="left"/>
                    <w:rPr>
                      <w:b/>
                      <w:sz w:val="24"/>
                    </w:rPr>
                  </w:pPr>
                  <w:r>
                    <w:rPr>
                      <w:b/>
                      <w:sz w:val="24"/>
                    </w:rPr>
                    <w:t>References, Footnotes, and Exhibits</w:t>
                  </w:r>
                </w:p>
                <w:p>
                  <w:pPr>
                    <w:spacing w:before="0"/>
                    <w:ind w:left="740" w:right="507" w:hanging="720"/>
                    <w:jc w:val="left"/>
                    <w:rPr>
                      <w:sz w:val="24"/>
                    </w:rPr>
                  </w:pPr>
                  <w:r>
                    <w:rPr>
                      <w:sz w:val="24"/>
                    </w:rPr>
                    <w:t>Burton, S. B. (2001). Organizational efforts to affirm sexual diversity: A cross-level examination. </w:t>
                  </w:r>
                  <w:r>
                    <w:rPr>
                      <w:i/>
                      <w:sz w:val="24"/>
                    </w:rPr>
                    <w:t>Journal of Applied Psychology</w:t>
                  </w:r>
                  <w:r>
                    <w:rPr>
                      <w:sz w:val="24"/>
                    </w:rPr>
                    <w:t>, 86(1), 17-28.</w:t>
                  </w:r>
                </w:p>
                <w:p>
                  <w:pPr>
                    <w:pStyle w:val="BodyText"/>
                    <w:ind w:left="740" w:right="187" w:hanging="720"/>
                  </w:pPr>
                  <w:r>
                    <w:rPr/>
                    <w:t>National Gay and Lesbian Task Force. GLBT Civil Rights Laws in the U.S. 1 February 2004.</w:t>
                  </w:r>
                  <w:hyperlink r:id="rId6">
                    <w:r>
                      <w:rPr/>
                      <w:t> http://www.ngltf.org/downloads/civilrightsmap.pdf.</w:t>
                    </w:r>
                  </w:hyperlink>
                </w:p>
                <w:p>
                  <w:pPr>
                    <w:pStyle w:val="BodyText"/>
                    <w:ind w:left="740" w:right="1" w:hanging="720"/>
                  </w:pPr>
                  <w:r>
                    <w:rPr/>
                    <w:t>Schatz, B., and O’Hanlan, K. (1994). Anti-gay discrimination in medicine: Results of a national survey of lesbian, gay, and bisexual physicians. American Association of Physicians for Human Rights. San Francisco.</w:t>
                  </w:r>
                </w:p>
                <w:p>
                  <w:pPr>
                    <w:pStyle w:val="BodyText"/>
                  </w:pPr>
                  <w:r>
                    <w:rPr/>
                    <w:t>“Support for ENDA.” 2003. Human Rights Campaign. 29 Jan. 2004,</w:t>
                  </w:r>
                </w:p>
                <w:p>
                  <w:pPr>
                    <w:pStyle w:val="BodyText"/>
                    <w:ind w:left="740"/>
                  </w:pPr>
                  <w:hyperlink r:id="rId7">
                    <w:r>
                      <w:rPr/>
                      <w:t>&lt;http://ww</w:t>
                    </w:r>
                  </w:hyperlink>
                  <w:r>
                    <w:rPr/>
                    <w:t>w</w:t>
                  </w:r>
                  <w:hyperlink r:id="rId7">
                    <w:r>
                      <w:rPr/>
                      <w:t>.hrc.org/ContentManagement/ContentDisplay.cfm</w:t>
                    </w:r>
                  </w:hyperlink>
                  <w:r>
                    <w:rPr/>
                    <w:t>&gt;.</w:t>
                  </w:r>
                </w:p>
                <w:p>
                  <w:pPr>
                    <w:pStyle w:val="BodyText"/>
                  </w:pPr>
                  <w:r>
                    <w:rPr/>
                    <w:t>“Testimony For the Hearing on ENDA.” United States Senate, Washington D.C. 27 Feb.</w:t>
                  </w:r>
                </w:p>
                <w:p>
                  <w:pPr>
                    <w:pStyle w:val="BodyText"/>
                    <w:ind w:left="740"/>
                  </w:pPr>
                  <w:r>
                    <w:rPr/>
                    <w:t>2002. 28 Jan.</w:t>
                  </w:r>
                  <w:hyperlink r:id="rId8">
                    <w:r>
                      <w:rPr/>
                      <w:t> 2004 &lt;http://www.apa.org/ppo/issues/penda202.htm</w:t>
                    </w:r>
                  </w:hyperlink>
                  <w:r>
                    <w:rPr/>
                    <w:t>l&gt;.</w:t>
                  </w:r>
                </w:p>
                <w:p>
                  <w:pPr>
                    <w:pStyle w:val="BodyText"/>
                    <w:ind w:left="740" w:right="105" w:hanging="720"/>
                    <w:jc w:val="both"/>
                  </w:pPr>
                  <w:r>
                    <w:rPr/>
                    <w:t>Waldo, C. (1999). Working in a majority context: A structural model of heterosexism as minority stress in the workplace. </w:t>
                  </w:r>
                  <w:r>
                    <w:rPr>
                      <w:i/>
                    </w:rPr>
                    <w:t>Journal of Counseling Psychology</w:t>
                  </w:r>
                  <w:r>
                    <w:rPr/>
                    <w:t>, 46 (2), 218- 232.</w:t>
                  </w:r>
                </w:p>
                <w:p>
                  <w:pPr>
                    <w:spacing w:before="0"/>
                    <w:ind w:left="20" w:right="0" w:firstLine="0"/>
                    <w:jc w:val="left"/>
                    <w:rPr>
                      <w:sz w:val="24"/>
                    </w:rPr>
                  </w:pPr>
                  <w:r>
                    <w:rPr>
                      <w:sz w:val="24"/>
                    </w:rPr>
                    <w:t>Yang, Alan S. Trends: Attitudes Toward Homosexuality. </w:t>
                  </w:r>
                  <w:r>
                    <w:rPr>
                      <w:i/>
                      <w:sz w:val="24"/>
                    </w:rPr>
                    <w:t>Public Opinion Quarterly</w:t>
                  </w:r>
                  <w:r>
                    <w:rPr>
                      <w:sz w:val="24"/>
                    </w:rPr>
                    <w:t>, Vol.</w:t>
                  </w:r>
                </w:p>
                <w:p>
                  <w:pPr>
                    <w:pStyle w:val="BodyText"/>
                    <w:ind w:left="740"/>
                  </w:pPr>
                  <w:r>
                    <w:rPr/>
                    <w:t>61, No. 3. (Autumn, 1997), pp. 477-507.</w:t>
                  </w:r>
                </w:p>
              </w:txbxContent>
            </v:textbox>
            <w10:wrap type="none"/>
          </v:shape>
        </w:pict>
      </w:r>
      <w:r>
        <w:rPr/>
        <w:pict>
          <v:shape style="position:absolute;margin-left:177.020004pt;margin-top:722.988831pt;width:275.850pt;height:20.05pt;mso-position-horizontal-relative:page;mso-position-vertical-relative:page;z-index:-5320" type="#_x0000_t202" filled="false" stroked="false">
            <v:textbox inset="0,0,0,0">
              <w:txbxContent>
                <w:p>
                  <w:pPr>
                    <w:spacing w:before="13"/>
                    <w:ind w:left="618" w:right="17" w:hanging="599"/>
                    <w:jc w:val="left"/>
                    <w:rPr>
                      <w:sz w:val="16"/>
                    </w:rPr>
                  </w:pPr>
                  <w:r>
                    <w:rPr>
                      <w:sz w:val="16"/>
                    </w:rPr>
                    <w:t>These pages were downloaded from </w:t>
                  </w:r>
                  <w:r>
                    <w:rPr>
                      <w:i/>
                      <w:sz w:val="16"/>
                    </w:rPr>
                    <w:t>Writing Personal Statements Online</w:t>
                  </w:r>
                  <w:r>
                    <w:rPr>
                      <w:sz w:val="16"/>
                    </w:rPr>
                    <w:t>, available at </w:t>
                  </w:r>
                  <w:hyperlink r:id="rId5">
                    <w:r>
                      <w:rPr>
                        <w:sz w:val="16"/>
                      </w:rPr>
                      <w:t>https://www.e-education.psu.edu/writingpersonalstate</w:t>
                    </w:r>
                  </w:hyperlink>
                  <w:r>
                    <w:rPr>
                      <w:sz w:val="16"/>
                    </w:rPr>
                    <w:t>me</w:t>
                  </w:r>
                  <w:hyperlink r:id="rId5">
                    <w:r>
                      <w:rPr>
                        <w:sz w:val="16"/>
                      </w:rPr>
                      <w:t>ntsonline/</w:t>
                    </w:r>
                  </w:hyperlink>
                </w:p>
              </w:txbxContent>
            </v:textbox>
            <w10:wrap type="none"/>
          </v:shape>
        </w:pict>
      </w:r>
    </w:p>
    <w:p>
      <w:pPr>
        <w:spacing w:after="0"/>
        <w:rPr>
          <w:sz w:val="2"/>
          <w:szCs w:val="2"/>
        </w:rPr>
        <w:sectPr>
          <w:pgSz w:w="12240" w:h="15840"/>
          <w:pgMar w:top="1420" w:bottom="280" w:left="1660" w:right="1680"/>
        </w:sectPr>
      </w:pPr>
    </w:p>
    <w:p>
      <w:pPr>
        <w:rPr>
          <w:sz w:val="2"/>
          <w:szCs w:val="2"/>
        </w:rPr>
      </w:pPr>
      <w:r>
        <w:rPr/>
        <w:pict>
          <v:group style="position:absolute;margin-left:129.059998pt;margin-top:72.000023pt;width:335.9pt;height:16.8pt;mso-position-horizontal-relative:page;mso-position-vertical-relative:page;z-index:-5296" coordorigin="2581,1440" coordsize="6718,336">
            <v:line style="position:absolute" from="2581,1445" to="9299,1445" stroked="true" strokeweight=".47998pt" strokecolor="#000000">
              <v:stroke dashstyle="solid"/>
            </v:line>
            <v:line style="position:absolute" from="2581,1771" to="9299,1771" stroked="true" strokeweight=".48004pt" strokecolor="#000000">
              <v:stroke dashstyle="solid"/>
            </v:line>
            <v:line style="position:absolute" from="2586,1440" to="2586,1776" stroked="true" strokeweight=".48pt" strokecolor="#000000">
              <v:stroke dashstyle="solid"/>
            </v:line>
            <v:line style="position:absolute" from="9294,1440" to="9294,1776" stroked="true" strokeweight=".48001pt" strokecolor="#000000">
              <v:stroke dashstyle="solid"/>
            </v:line>
            <w10:wrap type="none"/>
          </v:group>
        </w:pict>
      </w:r>
      <w:r>
        <w:rPr/>
        <w:pict>
          <v:shape style="position:absolute;margin-left:89pt;margin-top:115.746643pt;width:306.95pt;height:42.9pt;mso-position-horizontal-relative:page;mso-position-vertical-relative:page;z-index:-5272" type="#_x0000_t202" filled="false" stroked="false">
            <v:textbox inset="0,0,0,0">
              <w:txbxContent>
                <w:p>
                  <w:pPr>
                    <w:pStyle w:val="BodyText"/>
                    <w:spacing w:before="10"/>
                  </w:pPr>
                  <w:r>
                    <w:rPr/>
                    <w:t>To: Janet Office</w:t>
                  </w:r>
                </w:p>
                <w:p>
                  <w:pPr>
                    <w:pStyle w:val="BodyText"/>
                  </w:pPr>
                  <w:r>
                    <w:rPr/>
                    <w:t>Office Held: United States Secretary of Education</w:t>
                  </w:r>
                </w:p>
                <w:p>
                  <w:pPr>
                    <w:pStyle w:val="BodyText"/>
                  </w:pPr>
                  <w:r>
                    <w:rPr/>
                    <w:t>Issue: Fetal Alcohol Syndrome Awareness in Higher Education</w:t>
                  </w:r>
                </w:p>
              </w:txbxContent>
            </v:textbox>
            <w10:wrap type="none"/>
          </v:shape>
        </w:pict>
      </w:r>
      <w:r>
        <w:rPr/>
        <w:pict>
          <v:shape style="position:absolute;margin-left:89pt;margin-top:171.066635pt;width:425.55pt;height:84.2pt;mso-position-horizontal-relative:page;mso-position-vertical-relative:page;z-index:-5248" type="#_x0000_t202" filled="false" stroked="false">
            <v:textbox inset="0,0,0,0">
              <w:txbxContent>
                <w:p>
                  <w:pPr>
                    <w:spacing w:line="275" w:lineRule="exact" w:before="10"/>
                    <w:ind w:left="20" w:right="0" w:firstLine="0"/>
                    <w:jc w:val="left"/>
                    <w:rPr>
                      <w:b/>
                      <w:sz w:val="24"/>
                    </w:rPr>
                  </w:pPr>
                  <w:r>
                    <w:rPr>
                      <w:b/>
                      <w:sz w:val="24"/>
                    </w:rPr>
                    <w:t>Problem Statement</w:t>
                  </w:r>
                </w:p>
                <w:p>
                  <w:pPr>
                    <w:pStyle w:val="BodyText"/>
                  </w:pPr>
                  <w:r>
                    <w:rPr/>
                    <w:t>Every child born with Fetal Alcohol Syndrome (FAS) is unjustly handicapped by the alcohol consumption habits of his or her mother. The leading, preventable cause of birth defects in the US is alcohol, with FAS resulting in the most extreme cases (Floyd and Sidhu, 2004). Approximately half a million pregnant women report alcohol use each year, and 80,000 report binge drinking (Floyd and Sidhu, 2004).</w:t>
                  </w:r>
                </w:p>
              </w:txbxContent>
            </v:textbox>
            <w10:wrap type="none"/>
          </v:shape>
        </w:pict>
      </w:r>
      <w:r>
        <w:rPr/>
        <w:pict>
          <v:shape style="position:absolute;margin-left:89pt;margin-top:267.546631pt;width:431.55pt;height:70.5pt;mso-position-horizontal-relative:page;mso-position-vertical-relative:page;z-index:-5224" type="#_x0000_t202" filled="false" stroked="false">
            <v:textbox inset="0,0,0,0">
              <w:txbxContent>
                <w:p>
                  <w:pPr>
                    <w:pStyle w:val="BodyText"/>
                    <w:spacing w:before="10"/>
                    <w:ind w:right="6"/>
                  </w:pPr>
                  <w:r>
                    <w:rPr/>
                    <w:t>Binge drinking among young women ages 18-44 is on the rise, increasing by 13 percent in a recent three-year period (Gardner, 2004). Binge drinking puts women at an increased risk for unintentional pregnancies and means they are more likely to drink while pregnant. These statistics are evidence of a major public health problem in the United States.</w:t>
                  </w:r>
                </w:p>
              </w:txbxContent>
            </v:textbox>
            <w10:wrap type="none"/>
          </v:shape>
        </w:pict>
      </w:r>
      <w:r>
        <w:rPr/>
        <w:pict>
          <v:shape style="position:absolute;margin-left:89pt;margin-top:350.346649pt;width:433.45pt;height:70.5pt;mso-position-horizontal-relative:page;mso-position-vertical-relative:page;z-index:-5200" type="#_x0000_t202" filled="false" stroked="false">
            <v:textbox inset="0,0,0,0">
              <w:txbxContent>
                <w:p>
                  <w:pPr>
                    <w:pStyle w:val="BodyText"/>
                    <w:spacing w:before="10"/>
                    <w:ind w:right="-3"/>
                  </w:pPr>
                  <w:r>
                    <w:rPr/>
                    <w:t>Low levels of FAS awareness in the nation ultimately contribute to the unwanted conception of FAS children. The 2002 National Health Interview Surveys found that 73% of women and only 55% of men have a measurable awareness of FAS (Nation et al., 2003), indicating that substantial numbers remain unaware of the dangers of alcohol consumption during pregnancy.</w:t>
                  </w:r>
                </w:p>
              </w:txbxContent>
            </v:textbox>
            <w10:wrap type="none"/>
          </v:shape>
        </w:pict>
      </w:r>
      <w:r>
        <w:rPr/>
        <w:pict>
          <v:shape style="position:absolute;margin-left:89pt;margin-top:433.206635pt;width:433.6pt;height:111.8pt;mso-position-horizontal-relative:page;mso-position-vertical-relative:page;z-index:-5176" type="#_x0000_t202" filled="false" stroked="false">
            <v:textbox inset="0,0,0,0">
              <w:txbxContent>
                <w:p>
                  <w:pPr>
                    <w:spacing w:line="275" w:lineRule="exact" w:before="10"/>
                    <w:ind w:left="20" w:right="0" w:firstLine="0"/>
                    <w:jc w:val="left"/>
                    <w:rPr>
                      <w:b/>
                      <w:sz w:val="24"/>
                    </w:rPr>
                  </w:pPr>
                  <w:r>
                    <w:rPr>
                      <w:b/>
                      <w:sz w:val="24"/>
                    </w:rPr>
                    <w:t>Proposed Solution</w:t>
                  </w:r>
                </w:p>
                <w:p>
                  <w:pPr>
                    <w:pStyle w:val="BodyText"/>
                    <w:ind w:right="17"/>
                  </w:pPr>
                  <w:r>
                    <w:rPr/>
                    <w:t>My proposed solution is to increase FAS awareness in higher education. Support would be sought from the US Department of Education’s Policy and Program Studies Service, as its mission statement is in line with my project goals (“US Department of Education,” 2004). Monies would be requested from the Fund for the Improvement of Post-Secondary Education (FIPSE), to be spent on prevention and intervention though education (“Office of Postsecondary Education,” 2004). Prevention education would address both FAS and binge drinking in higher education and in future marital</w:t>
                  </w:r>
                  <w:r>
                    <w:rPr>
                      <w:spacing w:val="-9"/>
                    </w:rPr>
                    <w:t> </w:t>
                  </w:r>
                  <w:r>
                    <w:rPr/>
                    <w:t>relations.</w:t>
                  </w:r>
                </w:p>
              </w:txbxContent>
            </v:textbox>
            <w10:wrap type="none"/>
          </v:shape>
        </w:pict>
      </w:r>
      <w:r>
        <w:rPr/>
        <w:pict>
          <v:shape style="position:absolute;margin-left:89pt;margin-top:557.286621pt;width:433.9pt;height:98.1pt;mso-position-horizontal-relative:page;mso-position-vertical-relative:page;z-index:-5152" type="#_x0000_t202" filled="false" stroked="false">
            <v:textbox inset="0,0,0,0">
              <w:txbxContent>
                <w:p>
                  <w:pPr>
                    <w:pStyle w:val="BodyText"/>
                    <w:spacing w:before="10"/>
                    <w:ind w:right="17"/>
                  </w:pPr>
                  <w:r>
                    <w:rPr/>
                    <w:t>The awareness program would be delivered via First-Year Experience (FYE) classes, also known as First-Year Seminars (FYS). According to Bradley Cox of the National Resource Center for the First-Year Experience and Students and Transition, over 621 institutions of higher education host FYE/FYS programs (Cox, 2004) , making them a standardized setting for the delivery of the FAS program. FIPSE monies would be promoted to higher education institutions across the country to thereby increase FAS awareness and decrease the future conception of FAS</w:t>
                  </w:r>
                  <w:r>
                    <w:rPr>
                      <w:spacing w:val="-9"/>
                    </w:rPr>
                    <w:t> </w:t>
                  </w:r>
                  <w:r>
                    <w:rPr/>
                    <w:t>children.</w:t>
                  </w:r>
                </w:p>
              </w:txbxContent>
            </v:textbox>
            <w10:wrap type="none"/>
          </v:shape>
        </w:pict>
      </w:r>
      <w:r>
        <w:rPr/>
        <w:pict>
          <v:shape style="position:absolute;margin-left:177.020004pt;margin-top:722.988831pt;width:275.850pt;height:20.05pt;mso-position-horizontal-relative:page;mso-position-vertical-relative:page;z-index:-5128" type="#_x0000_t202" filled="false" stroked="false">
            <v:textbox inset="0,0,0,0">
              <w:txbxContent>
                <w:p>
                  <w:pPr>
                    <w:spacing w:before="13"/>
                    <w:ind w:left="618" w:right="17" w:hanging="599"/>
                    <w:jc w:val="left"/>
                    <w:rPr>
                      <w:sz w:val="16"/>
                    </w:rPr>
                  </w:pPr>
                  <w:r>
                    <w:rPr>
                      <w:sz w:val="16"/>
                    </w:rPr>
                    <w:t>These pages were downloaded from </w:t>
                  </w:r>
                  <w:r>
                    <w:rPr>
                      <w:i/>
                      <w:sz w:val="16"/>
                    </w:rPr>
                    <w:t>Writing Personal Statements Online</w:t>
                  </w:r>
                  <w:r>
                    <w:rPr>
                      <w:sz w:val="16"/>
                    </w:rPr>
                    <w:t>, available at </w:t>
                  </w:r>
                  <w:hyperlink r:id="rId5">
                    <w:r>
                      <w:rPr>
                        <w:sz w:val="16"/>
                      </w:rPr>
                      <w:t>https://www.e-education.psu.edu/writingpersonalstate</w:t>
                    </w:r>
                  </w:hyperlink>
                  <w:r>
                    <w:rPr>
                      <w:sz w:val="16"/>
                    </w:rPr>
                    <w:t>me</w:t>
                  </w:r>
                  <w:hyperlink r:id="rId5">
                    <w:r>
                      <w:rPr>
                        <w:sz w:val="16"/>
                      </w:rPr>
                      <w:t>ntsonline/</w:t>
                    </w:r>
                  </w:hyperlink>
                </w:p>
              </w:txbxContent>
            </v:textbox>
            <w10:wrap type="none"/>
          </v:shape>
        </w:pict>
      </w:r>
      <w:r>
        <w:rPr/>
        <w:pict>
          <v:shape style="position:absolute;margin-left:129.300003pt;margin-top:72.240013pt;width:335.4pt;height:16.3500pt;mso-position-horizontal-relative:page;mso-position-vertical-relative:page;z-index:-5104" type="#_x0000_t202" filled="false" stroked="false">
            <v:textbox inset="0,0,0,0">
              <w:txbxContent>
                <w:p>
                  <w:pPr>
                    <w:spacing w:before="23"/>
                    <w:ind w:left="382" w:right="0" w:firstLine="0"/>
                    <w:jc w:val="left"/>
                    <w:rPr>
                      <w:b/>
                      <w:sz w:val="24"/>
                    </w:rPr>
                  </w:pPr>
                  <w:r>
                    <w:rPr>
                      <w:b/>
                      <w:sz w:val="24"/>
                    </w:rPr>
                    <w:t>Sample Truman Scholarship Policy Proposal</w:t>
                  </w:r>
                  <w:r>
                    <w:rPr>
                      <w:sz w:val="24"/>
                    </w:rPr>
                    <w:t>—</w:t>
                  </w:r>
                  <w:r>
                    <w:rPr>
                      <w:b/>
                      <w:sz w:val="24"/>
                    </w:rPr>
                    <w:t>Student #2</w:t>
                  </w:r>
                </w:p>
              </w:txbxContent>
            </v:textbox>
            <w10:wrap type="none"/>
          </v:shape>
        </w:pict>
      </w:r>
    </w:p>
    <w:p>
      <w:pPr>
        <w:spacing w:after="0"/>
        <w:rPr>
          <w:sz w:val="2"/>
          <w:szCs w:val="2"/>
        </w:rPr>
        <w:sectPr>
          <w:pgSz w:w="12240" w:h="15840"/>
          <w:pgMar w:top="1440" w:bottom="280" w:left="1660" w:right="1680"/>
        </w:sectPr>
      </w:pPr>
    </w:p>
    <w:p>
      <w:pPr>
        <w:rPr>
          <w:sz w:val="2"/>
          <w:szCs w:val="2"/>
        </w:rPr>
      </w:pPr>
      <w:r>
        <w:rPr/>
        <w:pict>
          <v:shape style="position:absolute;margin-left:89pt;margin-top:71.346642pt;width:431.9pt;height:29.1pt;mso-position-horizontal-relative:page;mso-position-vertical-relative:page;z-index:-5080" type="#_x0000_t202" filled="false" stroked="false">
            <v:textbox inset="0,0,0,0">
              <w:txbxContent>
                <w:p>
                  <w:pPr>
                    <w:pStyle w:val="BodyText"/>
                    <w:spacing w:before="10"/>
                  </w:pPr>
                  <w:r>
                    <w:rPr/>
                    <w:t>If successful, this program could be adapted for future intervention in public high schools and community colleges.</w:t>
                  </w:r>
                </w:p>
              </w:txbxContent>
            </v:textbox>
            <w10:wrap type="none"/>
          </v:shape>
        </w:pict>
      </w:r>
      <w:r>
        <w:rPr/>
        <w:pict>
          <v:shape style="position:absolute;margin-left:89pt;margin-top:112.866638pt;width:432.6pt;height:84.2pt;mso-position-horizontal-relative:page;mso-position-vertical-relative:page;z-index:-5056" type="#_x0000_t202" filled="false" stroked="false">
            <v:textbox inset="0,0,0,0">
              <w:txbxContent>
                <w:p>
                  <w:pPr>
                    <w:spacing w:line="275" w:lineRule="exact" w:before="10"/>
                    <w:ind w:left="20" w:right="0" w:firstLine="0"/>
                    <w:jc w:val="left"/>
                    <w:rPr>
                      <w:b/>
                      <w:sz w:val="24"/>
                    </w:rPr>
                  </w:pPr>
                  <w:r>
                    <w:rPr>
                      <w:b/>
                      <w:sz w:val="24"/>
                    </w:rPr>
                    <w:t>Major Obstacles/Implementation Challenges</w:t>
                  </w:r>
                </w:p>
                <w:p>
                  <w:pPr>
                    <w:pStyle w:val="BodyText"/>
                  </w:pPr>
                  <w:r>
                    <w:rPr/>
                    <w:t>There exist three significant challenges to the implementation of this FAS program. A realistic proposal would be needed to promote the curricular addition of FAS into FYE/FYS classes across the country. FYE courses are highly variable, both in conception and credit hours, and therefore the program will need to be comprehensive and concise enough as to be a reasonable addition.</w:t>
                  </w:r>
                </w:p>
              </w:txbxContent>
            </v:textbox>
            <w10:wrap type="none"/>
          </v:shape>
        </w:pict>
      </w:r>
      <w:r>
        <w:rPr/>
        <w:pict>
          <v:shape style="position:absolute;margin-left:89pt;margin-top:209.346634pt;width:427.15pt;height:70.5pt;mso-position-horizontal-relative:page;mso-position-vertical-relative:page;z-index:-5032" type="#_x0000_t202" filled="false" stroked="false">
            <v:textbox inset="0,0,0,0">
              <w:txbxContent>
                <w:p>
                  <w:pPr>
                    <w:pStyle w:val="BodyText"/>
                    <w:spacing w:before="10"/>
                  </w:pPr>
                  <w:r>
                    <w:rPr/>
                    <w:t>The second challenge would include the delivery of the program by a professor. One major reason for the failure of prevention programs to date has been poorly trained presenters (Nation et al., 2003). An efficient, comprehensive training program would be needed to maximize program effectiveness. Coordination with established on-campus groups such as residence life and counseling programs would be ideal.</w:t>
                  </w:r>
                </w:p>
              </w:txbxContent>
            </v:textbox>
            <w10:wrap type="none"/>
          </v:shape>
        </w:pict>
      </w:r>
      <w:r>
        <w:rPr/>
        <w:pict>
          <v:shape style="position:absolute;margin-left:89pt;margin-top:292.146637pt;width:433.35pt;height:56.7pt;mso-position-horizontal-relative:page;mso-position-vertical-relative:page;z-index:-5008" type="#_x0000_t202" filled="false" stroked="false">
            <v:textbox inset="0,0,0,0">
              <w:txbxContent>
                <w:p>
                  <w:pPr>
                    <w:pStyle w:val="BodyText"/>
                    <w:spacing w:before="10"/>
                    <w:ind w:right="1"/>
                  </w:pPr>
                  <w:r>
                    <w:rPr/>
                    <w:t>Thirdly, the FAS program must be established in a way pertinent to the college student’s life and so that students take it seriously. College students do not engage in risky drinking habits with the intention of getting pregnant. Therefore the connection of risky drinking habits to the birth of FAS children can be difficult to establish.</w:t>
                  </w:r>
                </w:p>
              </w:txbxContent>
            </v:textbox>
            <w10:wrap type="none"/>
          </v:shape>
        </w:pict>
      </w:r>
      <w:r>
        <w:rPr/>
        <w:pict>
          <v:shape style="position:absolute;margin-left:89pt;margin-top:361.266632pt;width:424.25pt;height:235.95pt;mso-position-horizontal-relative:page;mso-position-vertical-relative:page;z-index:-4984" type="#_x0000_t202" filled="false" stroked="false">
            <v:textbox inset="0,0,0,0">
              <w:txbxContent>
                <w:p>
                  <w:pPr>
                    <w:spacing w:line="275" w:lineRule="exact" w:before="10"/>
                    <w:ind w:left="20" w:right="0" w:firstLine="0"/>
                    <w:jc w:val="left"/>
                    <w:rPr>
                      <w:b/>
                      <w:sz w:val="24"/>
                    </w:rPr>
                  </w:pPr>
                  <w:r>
                    <w:rPr>
                      <w:b/>
                      <w:sz w:val="24"/>
                    </w:rPr>
                    <w:t>References, Footnotes, and Exhibits</w:t>
                  </w:r>
                </w:p>
                <w:p>
                  <w:pPr>
                    <w:pStyle w:val="BodyText"/>
                    <w:spacing w:line="275" w:lineRule="exact"/>
                  </w:pPr>
                  <w:r>
                    <w:rPr/>
                    <w:t>Cox, Bradley. Personal Communication. 2004.</w:t>
                  </w:r>
                </w:p>
                <w:p>
                  <w:pPr>
                    <w:spacing w:before="0"/>
                    <w:ind w:left="740" w:right="138" w:hanging="720"/>
                    <w:jc w:val="left"/>
                    <w:rPr>
                      <w:sz w:val="24"/>
                    </w:rPr>
                  </w:pPr>
                  <w:r>
                    <w:rPr>
                      <w:sz w:val="24"/>
                    </w:rPr>
                    <w:t>Floyd, RL and Sidhu SS. Monitoring Prenatal Alcohol Exposure. </w:t>
                  </w:r>
                  <w:r>
                    <w:rPr>
                      <w:i/>
                      <w:sz w:val="24"/>
                    </w:rPr>
                    <w:t>American Journal of </w:t>
                  </w:r>
                  <w:r>
                    <w:rPr>
                      <w:i/>
                      <w:sz w:val="24"/>
                    </w:rPr>
                    <w:t>Medical Genetics</w:t>
                  </w:r>
                  <w:r>
                    <w:rPr>
                      <w:sz w:val="24"/>
                    </w:rPr>
                    <w:t>, Vol 127C, 33-39, 2004.</w:t>
                  </w:r>
                </w:p>
                <w:p>
                  <w:pPr>
                    <w:pStyle w:val="BodyText"/>
                    <w:spacing w:line="275" w:lineRule="exact"/>
                    <w:rPr>
                      <w:i/>
                    </w:rPr>
                  </w:pPr>
                  <w:r>
                    <w:rPr/>
                    <w:t>Gardner, Amanda.  “Report:  Binge Drinking on Rise in Young Women.” </w:t>
                  </w:r>
                  <w:r>
                    <w:rPr>
                      <w:i/>
                    </w:rPr>
                    <w:t>Health</w:t>
                  </w:r>
                  <w:r>
                    <w:rPr>
                      <w:i/>
                      <w:spacing w:val="-12"/>
                    </w:rPr>
                    <w:t> </w:t>
                  </w:r>
                  <w:r>
                    <w:rPr>
                      <w:i/>
                    </w:rPr>
                    <w:t>Day.</w:t>
                  </w:r>
                </w:p>
                <w:p>
                  <w:pPr>
                    <w:pStyle w:val="BodyText"/>
                    <w:ind w:right="157" w:firstLine="720"/>
                  </w:pPr>
                  <w:hyperlink r:id="rId9">
                    <w:r>
                      <w:rPr/>
                      <w:t>23 June 2004. &lt;http://www3.kom</w:t>
                    </w:r>
                  </w:hyperlink>
                  <w:r>
                    <w:rPr/>
                    <w:t>o</w:t>
                  </w:r>
                  <w:hyperlink r:id="rId9">
                    <w:r>
                      <w:rPr/>
                      <w:t>tv.com/Global/story.asp?S=1965365&gt;</w:t>
                    </w:r>
                  </w:hyperlink>
                  <w:r>
                    <w:rPr/>
                    <w:t> Golden, Janet. “An Argument That Goes Back to the Womb: The Demedicalization</w:t>
                  </w:r>
                  <w:r>
                    <w:rPr>
                      <w:spacing w:val="-17"/>
                    </w:rPr>
                    <w:t> </w:t>
                  </w:r>
                  <w:r>
                    <w:rPr/>
                    <w:t>of</w:t>
                  </w:r>
                </w:p>
                <w:p>
                  <w:pPr>
                    <w:spacing w:before="0"/>
                    <w:ind w:left="740" w:right="0" w:firstLine="0"/>
                    <w:jc w:val="left"/>
                    <w:rPr>
                      <w:sz w:val="24"/>
                    </w:rPr>
                  </w:pPr>
                  <w:r>
                    <w:rPr>
                      <w:sz w:val="24"/>
                    </w:rPr>
                    <w:t>Fetal Alcohol Syndrome, 1973-1992. </w:t>
                  </w:r>
                  <w:r>
                    <w:rPr>
                      <w:i/>
                      <w:sz w:val="24"/>
                    </w:rPr>
                    <w:t>Journal of Social History</w:t>
                  </w:r>
                  <w:r>
                    <w:rPr>
                      <w:sz w:val="24"/>
                    </w:rPr>
                    <w:t>, Winter 1999.</w:t>
                  </w:r>
                </w:p>
                <w:p>
                  <w:pPr>
                    <w:pStyle w:val="BodyText"/>
                    <w:ind w:firstLine="720"/>
                  </w:pPr>
                  <w:hyperlink r:id="rId10">
                    <w:r>
                      <w:rPr/>
                      <w:t>&lt;http://ww</w:t>
                    </w:r>
                  </w:hyperlink>
                  <w:r>
                    <w:rPr/>
                    <w:t>w</w:t>
                  </w:r>
                  <w:hyperlink r:id="rId10">
                    <w:r>
                      <w:rPr/>
                      <w:t>.findarticles.com/p/articles/mi_m2005/is_2_33/ai_58675447&gt;</w:t>
                    </w:r>
                  </w:hyperlink>
                  <w:r>
                    <w:rPr/>
                    <w:t> Nation et al. “What Works in Prevention: Principles of Effective Prevention Programs.”</w:t>
                  </w:r>
                </w:p>
                <w:p>
                  <w:pPr>
                    <w:pStyle w:val="BodyText"/>
                    <w:ind w:right="966" w:firstLine="720"/>
                  </w:pPr>
                  <w:r>
                    <w:rPr>
                      <w:i/>
                    </w:rPr>
                    <w:t>American Psychologist</w:t>
                  </w:r>
                  <w:r>
                    <w:rPr/>
                    <w:t>, June/July 2003, Vol 58, No 6/7, 449-456. “Office of Postsecondary Education – Programs Fund for the Improvement of</w:t>
                  </w:r>
                </w:p>
                <w:p>
                  <w:pPr>
                    <w:pStyle w:val="BodyText"/>
                    <w:ind w:left="740"/>
                  </w:pPr>
                  <w:r>
                    <w:rPr/>
                    <w:t>Postsecondary Education (FIPSE).” 26 November 2004.</w:t>
                  </w:r>
                </w:p>
                <w:p>
                  <w:pPr>
                    <w:pStyle w:val="BodyText"/>
                    <w:ind w:left="740"/>
                  </w:pPr>
                  <w:hyperlink r:id="rId11">
                    <w:r>
                      <w:rPr/>
                      <w:t>&lt;http://ww</w:t>
                    </w:r>
                  </w:hyperlink>
                  <w:r>
                    <w:rPr/>
                    <w:t>w</w:t>
                  </w:r>
                  <w:hyperlink r:id="rId11">
                    <w:r>
                      <w:rPr/>
                      <w:t>.ed.gov/about/offices/list/ope/fipse/index.html</w:t>
                    </w:r>
                  </w:hyperlink>
                  <w:r>
                    <w:rPr/>
                    <w:t>&gt;</w:t>
                  </w:r>
                </w:p>
                <w:p>
                  <w:pPr>
                    <w:pStyle w:val="BodyText"/>
                    <w:ind w:left="740" w:right="394" w:hanging="720"/>
                  </w:pPr>
                  <w:r>
                    <w:rPr/>
                    <w:t>“US Department of Education Principal Office Functional Statements: Office of the Secretary &amp; Deputy Secretary.” 26 November 2004.</w:t>
                  </w:r>
                </w:p>
                <w:p>
                  <w:pPr>
                    <w:pStyle w:val="BodyText"/>
                    <w:ind w:left="740"/>
                  </w:pPr>
                  <w:hyperlink r:id="rId12">
                    <w:r>
                      <w:rPr/>
                      <w:t>&lt;http://ww</w:t>
                    </w:r>
                  </w:hyperlink>
                  <w:r>
                    <w:rPr/>
                    <w:t>w</w:t>
                  </w:r>
                  <w:hyperlink r:id="rId12">
                    <w:r>
                      <w:rPr/>
                      <w:t>.ede.gov/about/offices/list/om/fs_po/osods/policy.html</w:t>
                    </w:r>
                  </w:hyperlink>
                  <w:r>
                    <w:rPr/>
                    <w:t>&gt;</w:t>
                  </w:r>
                </w:p>
              </w:txbxContent>
            </v:textbox>
            <w10:wrap type="none"/>
          </v:shape>
        </w:pict>
      </w:r>
      <w:r>
        <w:rPr/>
        <w:pict>
          <v:shape style="position:absolute;margin-left:177.020004pt;margin-top:722.988831pt;width:275.850pt;height:20.05pt;mso-position-horizontal-relative:page;mso-position-vertical-relative:page;z-index:-4960" type="#_x0000_t202" filled="false" stroked="false">
            <v:textbox inset="0,0,0,0">
              <w:txbxContent>
                <w:p>
                  <w:pPr>
                    <w:spacing w:before="13"/>
                    <w:ind w:left="618" w:right="17" w:hanging="599"/>
                    <w:jc w:val="left"/>
                    <w:rPr>
                      <w:sz w:val="16"/>
                    </w:rPr>
                  </w:pPr>
                  <w:r>
                    <w:rPr>
                      <w:sz w:val="16"/>
                    </w:rPr>
                    <w:t>These pages were downloaded from </w:t>
                  </w:r>
                  <w:r>
                    <w:rPr>
                      <w:i/>
                      <w:sz w:val="16"/>
                    </w:rPr>
                    <w:t>Writing Personal Statements Online</w:t>
                  </w:r>
                  <w:r>
                    <w:rPr>
                      <w:sz w:val="16"/>
                    </w:rPr>
                    <w:t>, available at </w:t>
                  </w:r>
                  <w:hyperlink r:id="rId5">
                    <w:r>
                      <w:rPr>
                        <w:sz w:val="16"/>
                      </w:rPr>
                      <w:t>https://www.e-education.psu.edu/writingpersonalstate</w:t>
                    </w:r>
                  </w:hyperlink>
                  <w:r>
                    <w:rPr>
                      <w:sz w:val="16"/>
                    </w:rPr>
                    <w:t>me</w:t>
                  </w:r>
                  <w:hyperlink r:id="rId5">
                    <w:r>
                      <w:rPr>
                        <w:sz w:val="16"/>
                      </w:rPr>
                      <w:t>ntsonline/</w:t>
                    </w:r>
                  </w:hyperlink>
                </w:p>
              </w:txbxContent>
            </v:textbox>
            <w10:wrap type="none"/>
          </v:shape>
        </w:pict>
      </w:r>
    </w:p>
    <w:sectPr>
      <w:pgSz w:w="12240" w:h="15840"/>
      <w:pgMar w:top="142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findarticles.com/p/articles/mi_m2005/is_2_33/ai_58675447" TargetMode="External" Type="http://schemas.openxmlformats.org/officeDocument/2006/relationships/hyperlink"/>
<Relationship Id="rId11" Target="http://www.ed.gov/about/offices/list/ope/fipse/index.html" TargetMode="External" Type="http://schemas.openxmlformats.org/officeDocument/2006/relationships/hyperlink"/>
<Relationship Id="rId12" Target="http://www.ede.gov/about/offices/list/om/fs_po/osods/policy.html"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e-education.psu.edu/writingpersonalstatementsonline/" TargetMode="External" Type="http://schemas.openxmlformats.org/officeDocument/2006/relationships/hyperlink"/>
<Relationship Id="rId6" Target="http://www.ngltf.org/downloads/civilrightsmap.pdf" TargetMode="External" Type="http://schemas.openxmlformats.org/officeDocument/2006/relationships/hyperlink"/>
<Relationship Id="rId7" Target="http://www.hrc.org/ContentManagement/ContentDisplay.cfm" TargetMode="External" Type="http://schemas.openxmlformats.org/officeDocument/2006/relationships/hyperlink"/>
<Relationship Id="rId8" Target="http://www.apa.org/ppo/issues/penda202.html" TargetMode="External" Type="http://schemas.openxmlformats.org/officeDocument/2006/relationships/hyperlink"/>
<Relationship Id="rId9" Target="http://www3.komotv.com/Global/story.asp?S=196536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