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1D29" w14:textId="77777777" w:rsidR="00D70225" w:rsidRDefault="00D70225">
      <w:pPr>
        <w:pStyle w:val="BodyText"/>
        <w:spacing w:before="0"/>
        <w:ind w:left="0"/>
        <w:rPr>
          <w:rFonts w:ascii="Times New Roman"/>
          <w:sz w:val="20"/>
        </w:rPr>
      </w:pPr>
    </w:p>
    <w:p w14:paraId="2D657E12" w14:textId="77777777" w:rsidR="00D70225" w:rsidRDefault="00D70225">
      <w:pPr>
        <w:pStyle w:val="BodyText"/>
        <w:spacing w:before="0"/>
        <w:ind w:left="0"/>
        <w:rPr>
          <w:rFonts w:ascii="Times New Roman"/>
          <w:sz w:val="20"/>
        </w:rPr>
      </w:pPr>
    </w:p>
    <w:p w14:paraId="29A239A7" w14:textId="77777777" w:rsidR="00D70225" w:rsidRDefault="00000000">
      <w:pPr>
        <w:pStyle w:val="Title"/>
      </w:pPr>
      <w:r>
        <w:pict w14:anchorId="7274069B">
          <v:rect id="_x0000_s2054" style="position:absolute;left:0;text-align:left;margin-left:70.55pt;margin-top:30.05pt;width:454.2pt;height:.5pt;z-index:-15728640;mso-wrap-distance-left:0;mso-wrap-distance-right:0;mso-position-horizontal-relative:page" fillcolor="black" stroked="f">
            <w10:wrap type="topAndBottom" anchorx="page"/>
          </v:rect>
        </w:pict>
      </w:r>
      <w:r>
        <w:pict w14:anchorId="682E4A76">
          <v:group id="_x0000_s2050" style="position:absolute;left:0;text-align:left;margin-left:71.65pt;margin-top:40.85pt;width:434.25pt;height:117.05pt;z-index:-15728128;mso-wrap-distance-left:0;mso-wrap-distance-right:0;mso-position-horizontal-relative:page" coordorigin="1433,817" coordsize="8685,2341">
            <v:shapetype id="_x0000_t202" coordsize="21600,21600" o:spt="202" path="m,l,21600r21600,l21600,xe">
              <v:stroke joinstyle="miter"/>
              <v:path gradientshapeok="t" o:connecttype="rect"/>
            </v:shapetype>
            <v:shape id="_x0000_s2053" type="#_x0000_t202" style="position:absolute;left:1440;top:824;width:8670;height:2326" filled="f">
              <v:textbox inset="0,0,0,0">
                <w:txbxContent>
                  <w:p w14:paraId="1B6DC6D0" w14:textId="77777777" w:rsidR="00D70225" w:rsidRDefault="00000000">
                    <w:pPr>
                      <w:tabs>
                        <w:tab w:val="left" w:pos="8541"/>
                      </w:tabs>
                      <w:spacing w:before="71"/>
                      <w:ind w:left="114"/>
                      <w:rPr>
                        <w:b/>
                        <w:sz w:val="18"/>
                      </w:rPr>
                    </w:pPr>
                    <w:r>
                      <w:rPr>
                        <w:b/>
                        <w:spacing w:val="-12"/>
                        <w:sz w:val="18"/>
                        <w:shd w:val="clear" w:color="auto" w:fill="D9E2F3"/>
                      </w:rPr>
                      <w:t xml:space="preserve"> </w:t>
                    </w:r>
                    <w:r>
                      <w:rPr>
                        <w:b/>
                        <w:sz w:val="18"/>
                        <w:shd w:val="clear" w:color="auto" w:fill="D9E2F3"/>
                      </w:rPr>
                      <w:t>Instructions</w:t>
                    </w:r>
                    <w:r>
                      <w:rPr>
                        <w:b/>
                        <w:sz w:val="18"/>
                        <w:shd w:val="clear" w:color="auto" w:fill="D9E2F3"/>
                      </w:rPr>
                      <w:tab/>
                    </w:r>
                  </w:p>
                  <w:p w14:paraId="5D70E191" w14:textId="77777777" w:rsidR="00D70225" w:rsidRDefault="00D70225">
                    <w:pPr>
                      <w:rPr>
                        <w:b/>
                        <w:sz w:val="18"/>
                      </w:rPr>
                    </w:pPr>
                  </w:p>
                  <w:p w14:paraId="4E8A66DE" w14:textId="77777777" w:rsidR="00D70225" w:rsidRDefault="00D70225">
                    <w:pPr>
                      <w:rPr>
                        <w:b/>
                        <w:sz w:val="18"/>
                      </w:rPr>
                    </w:pPr>
                  </w:p>
                  <w:p w14:paraId="2E9941C5" w14:textId="77777777" w:rsidR="00D70225" w:rsidRDefault="00D70225">
                    <w:pPr>
                      <w:rPr>
                        <w:b/>
                        <w:sz w:val="18"/>
                      </w:rPr>
                    </w:pPr>
                  </w:p>
                  <w:p w14:paraId="487CE45A" w14:textId="77777777" w:rsidR="00D70225" w:rsidRDefault="00D70225">
                    <w:pPr>
                      <w:rPr>
                        <w:b/>
                        <w:sz w:val="18"/>
                      </w:rPr>
                    </w:pPr>
                  </w:p>
                  <w:p w14:paraId="7A513CF7" w14:textId="77777777" w:rsidR="00D70225" w:rsidRDefault="00D70225">
                    <w:pPr>
                      <w:rPr>
                        <w:b/>
                        <w:sz w:val="18"/>
                      </w:rPr>
                    </w:pPr>
                  </w:p>
                  <w:p w14:paraId="199CBBA1" w14:textId="77777777" w:rsidR="00D70225" w:rsidRDefault="00D70225">
                    <w:pPr>
                      <w:rPr>
                        <w:b/>
                        <w:sz w:val="18"/>
                      </w:rPr>
                    </w:pPr>
                  </w:p>
                  <w:p w14:paraId="2CD6D88B" w14:textId="77777777" w:rsidR="00D70225" w:rsidRDefault="00D70225">
                    <w:pPr>
                      <w:rPr>
                        <w:b/>
                        <w:sz w:val="18"/>
                      </w:rPr>
                    </w:pPr>
                  </w:p>
                  <w:p w14:paraId="493E2A28" w14:textId="77777777" w:rsidR="00D70225" w:rsidRDefault="00000000">
                    <w:pPr>
                      <w:tabs>
                        <w:tab w:val="left" w:pos="8541"/>
                      </w:tabs>
                      <w:spacing w:before="145"/>
                      <w:ind w:left="114"/>
                      <w:rPr>
                        <w:sz w:val="18"/>
                      </w:rPr>
                    </w:pPr>
                    <w:r>
                      <w:rPr>
                        <w:spacing w:val="-12"/>
                        <w:sz w:val="18"/>
                        <w:shd w:val="clear" w:color="auto" w:fill="D9E2F3"/>
                      </w:rPr>
                      <w:t xml:space="preserve"> </w:t>
                    </w:r>
                    <w:r>
                      <w:rPr>
                        <w:sz w:val="18"/>
                        <w:shd w:val="clear" w:color="auto" w:fill="D9E2F3"/>
                      </w:rPr>
                      <w:t xml:space="preserve">This policy should be read in conjunction, and applied </w:t>
                    </w:r>
                    <w:proofErr w:type="gramStart"/>
                    <w:r>
                      <w:rPr>
                        <w:sz w:val="18"/>
                        <w:shd w:val="clear" w:color="auto" w:fill="D9E2F3"/>
                      </w:rPr>
                      <w:t>with ,any</w:t>
                    </w:r>
                    <w:proofErr w:type="gramEnd"/>
                    <w:r>
                      <w:rPr>
                        <w:sz w:val="18"/>
                        <w:shd w:val="clear" w:color="auto" w:fill="D9E2F3"/>
                      </w:rPr>
                      <w:t xml:space="preserve"> relevant health and safety</w:t>
                    </w:r>
                    <w:r>
                      <w:rPr>
                        <w:spacing w:val="-28"/>
                        <w:sz w:val="18"/>
                        <w:shd w:val="clear" w:color="auto" w:fill="D9E2F3"/>
                      </w:rPr>
                      <w:t xml:space="preserve"> </w:t>
                    </w:r>
                    <w:r>
                      <w:rPr>
                        <w:sz w:val="18"/>
                        <w:shd w:val="clear" w:color="auto" w:fill="D9E2F3"/>
                      </w:rPr>
                      <w:t>protocols</w:t>
                    </w:r>
                    <w:r>
                      <w:rPr>
                        <w:sz w:val="18"/>
                        <w:shd w:val="clear" w:color="auto" w:fill="D9E2F3"/>
                      </w:rPr>
                      <w:tab/>
                    </w:r>
                  </w:p>
                </w:txbxContent>
              </v:textbox>
            </v:shape>
            <v:shape id="_x0000_s2052" type="#_x0000_t202" style="position:absolute;left:1562;top:2171;width:8427;height:476" fillcolor="#d9e2f3" stroked="f">
              <v:textbox inset="0,0,0,0">
                <w:txbxContent>
                  <w:p w14:paraId="7A1F3CD1" w14:textId="77777777" w:rsidR="00D70225" w:rsidRDefault="00000000">
                    <w:pPr>
                      <w:spacing w:before="1" w:line="256" w:lineRule="auto"/>
                      <w:ind w:left="28" w:right="724"/>
                      <w:rPr>
                        <w:sz w:val="18"/>
                      </w:rPr>
                    </w:pPr>
                    <w:r>
                      <w:rPr>
                        <w:sz w:val="18"/>
                      </w:rPr>
                      <w:t xml:space="preserve">Given the nature of the subject such a policy will need to specifically suit your particular business and </w:t>
                    </w:r>
                    <w:proofErr w:type="gramStart"/>
                    <w:r>
                      <w:rPr>
                        <w:sz w:val="18"/>
                      </w:rPr>
                      <w:t>it’s</w:t>
                    </w:r>
                    <w:proofErr w:type="gramEnd"/>
                    <w:r>
                      <w:rPr>
                        <w:sz w:val="18"/>
                      </w:rPr>
                      <w:t xml:space="preserve"> particular needs.</w:t>
                    </w:r>
                  </w:p>
                </w:txbxContent>
              </v:textbox>
            </v:shape>
            <v:shape id="_x0000_s2051" type="#_x0000_t202" style="position:absolute;left:1562;top:1299;width:8427;height:711" fillcolor="#d9e2f3" stroked="f">
              <v:textbox inset="0,0,0,0">
                <w:txbxContent>
                  <w:p w14:paraId="45491CCD" w14:textId="77777777" w:rsidR="00D70225" w:rsidRDefault="00000000">
                    <w:pPr>
                      <w:spacing w:before="1" w:line="259" w:lineRule="auto"/>
                      <w:ind w:left="28" w:right="416"/>
                      <w:rPr>
                        <w:sz w:val="18"/>
                      </w:rPr>
                    </w:pPr>
                    <w:r>
                      <w:rPr>
                        <w:sz w:val="18"/>
                      </w:rPr>
                      <w:t>This template provides the basic information for a company to develop and implement a working from home policy. We recommend members consider the template carefully as it contains content that may require customisation before implementation into your business.</w:t>
                    </w:r>
                  </w:p>
                </w:txbxContent>
              </v:textbox>
            </v:shape>
            <w10:wrap type="topAndBottom" anchorx="page"/>
          </v:group>
        </w:pict>
      </w:r>
      <w:bookmarkStart w:id="0" w:name="Working_from_Home_Policy_–_policy_templa"/>
      <w:bookmarkEnd w:id="0"/>
      <w:r>
        <w:t>Working from Home Policy – policy template</w:t>
      </w:r>
    </w:p>
    <w:p w14:paraId="4F8A8F96" w14:textId="77777777" w:rsidR="00D70225" w:rsidRDefault="00D70225">
      <w:pPr>
        <w:pStyle w:val="BodyText"/>
        <w:spacing w:before="2"/>
        <w:ind w:left="0"/>
        <w:rPr>
          <w:sz w:val="11"/>
        </w:rPr>
      </w:pPr>
    </w:p>
    <w:p w14:paraId="11B3581E" w14:textId="77777777" w:rsidR="00D70225" w:rsidRDefault="00D70225">
      <w:pPr>
        <w:pStyle w:val="BodyText"/>
        <w:spacing w:before="10"/>
        <w:ind w:left="0"/>
        <w:rPr>
          <w:sz w:val="21"/>
        </w:rPr>
      </w:pPr>
    </w:p>
    <w:p w14:paraId="28483C95" w14:textId="77777777" w:rsidR="00D70225" w:rsidRDefault="00000000">
      <w:pPr>
        <w:pStyle w:val="Heading1"/>
      </w:pPr>
      <w:r>
        <w:t>Purpose</w:t>
      </w:r>
    </w:p>
    <w:p w14:paraId="7648F71E" w14:textId="77777777" w:rsidR="00D70225" w:rsidRDefault="00000000">
      <w:pPr>
        <w:pStyle w:val="BodyText"/>
        <w:spacing w:before="182" w:line="259" w:lineRule="auto"/>
        <w:ind w:right="918"/>
      </w:pPr>
      <w:r>
        <w:t>The Company recognises the importance of flexible work arrangements for a wide variety of reasons.</w:t>
      </w:r>
    </w:p>
    <w:p w14:paraId="683D35AE" w14:textId="77777777" w:rsidR="00D70225" w:rsidRDefault="00000000">
      <w:pPr>
        <w:pStyle w:val="BodyText"/>
        <w:spacing w:before="160"/>
        <w:ind w:right="314"/>
      </w:pPr>
      <w:r>
        <w:t>This policy sets out the guidelines and procedures to be followed when considering a working from home arrangement. The opportunity to work from home is not an entitlement or a right.</w:t>
      </w:r>
    </w:p>
    <w:p w14:paraId="0F4130C0" w14:textId="77777777" w:rsidR="00D70225" w:rsidRDefault="00000000">
      <w:pPr>
        <w:pStyle w:val="Heading1"/>
        <w:spacing w:before="161"/>
      </w:pPr>
      <w:r>
        <w:t>Scope</w:t>
      </w:r>
    </w:p>
    <w:p w14:paraId="52F7F5BD" w14:textId="77777777" w:rsidR="00D70225" w:rsidRDefault="00000000">
      <w:pPr>
        <w:pStyle w:val="BodyText"/>
        <w:spacing w:before="182" w:line="259" w:lineRule="auto"/>
        <w:ind w:right="147"/>
      </w:pPr>
      <w:r>
        <w:t>This policy applies to all employees of the Company whether the work from home arrangement is on a regular basis or an ad-hoc basis.</w:t>
      </w:r>
    </w:p>
    <w:p w14:paraId="0D9B3226" w14:textId="77777777" w:rsidR="00D70225" w:rsidRDefault="00000000">
      <w:pPr>
        <w:pStyle w:val="BodyText"/>
        <w:spacing w:before="159" w:line="259" w:lineRule="auto"/>
        <w:ind w:right="253"/>
      </w:pPr>
      <w:r>
        <w:t>Although the Company acknowledges that all employees are eligible to request working from home arrangements, such an arrangement may not be appropriate or possible.</w:t>
      </w:r>
    </w:p>
    <w:p w14:paraId="15DF9128" w14:textId="77777777" w:rsidR="00D70225" w:rsidRDefault="00000000">
      <w:pPr>
        <w:pStyle w:val="Heading1"/>
        <w:spacing w:before="159"/>
      </w:pPr>
      <w:r>
        <w:t>Guidelines</w:t>
      </w:r>
    </w:p>
    <w:p w14:paraId="3CD06B98" w14:textId="77777777" w:rsidR="00D70225" w:rsidRDefault="00000000">
      <w:pPr>
        <w:pStyle w:val="Heading2"/>
        <w:spacing w:before="185"/>
      </w:pPr>
      <w:r>
        <w:t>Application of company policies</w:t>
      </w:r>
    </w:p>
    <w:p w14:paraId="22BC8BAC" w14:textId="77777777" w:rsidR="00D70225" w:rsidRDefault="00000000">
      <w:pPr>
        <w:pStyle w:val="BodyText"/>
        <w:spacing w:before="180" w:line="259" w:lineRule="auto"/>
        <w:ind w:left="139" w:right="898"/>
      </w:pPr>
      <w:r>
        <w:t>Employees who are permitted to work from home must follow all Company policies as far as possible and practical.</w:t>
      </w:r>
    </w:p>
    <w:p w14:paraId="36471D14" w14:textId="77777777" w:rsidR="00D70225" w:rsidRDefault="00000000">
      <w:pPr>
        <w:pStyle w:val="Heading2"/>
      </w:pPr>
      <w:r>
        <w:t>Insurance Arrangements</w:t>
      </w:r>
    </w:p>
    <w:p w14:paraId="613348B4" w14:textId="77777777" w:rsidR="00D70225" w:rsidRDefault="00000000">
      <w:pPr>
        <w:pStyle w:val="BodyText"/>
        <w:spacing w:before="183" w:line="259" w:lineRule="auto"/>
        <w:ind w:left="139" w:right="390"/>
        <w:jc w:val="both"/>
      </w:pPr>
      <w:r>
        <w:t>Employees are solely responsible for checking whether working from home has any impact on any existing insurance arrangements they may have, including public liability or equipment covered by their own home contents insurance, and any obligations they may have to notify their insurer that their home is to be used for work purposes.</w:t>
      </w:r>
    </w:p>
    <w:p w14:paraId="07790353" w14:textId="77777777" w:rsidR="00D70225" w:rsidRDefault="00000000">
      <w:pPr>
        <w:pStyle w:val="Heading2"/>
      </w:pPr>
      <w:r>
        <w:t>Access Arrangements</w:t>
      </w:r>
    </w:p>
    <w:p w14:paraId="48814A23" w14:textId="77777777" w:rsidR="00D70225" w:rsidRDefault="00000000">
      <w:pPr>
        <w:pStyle w:val="BodyText"/>
        <w:spacing w:before="181" w:line="259" w:lineRule="auto"/>
        <w:ind w:left="139" w:right="319"/>
        <w:jc w:val="both"/>
      </w:pPr>
      <w:r>
        <w:t>From time to time, the Company or one of its representatives may require access to an employee’s home-based workstation.</w:t>
      </w:r>
    </w:p>
    <w:p w14:paraId="23060964" w14:textId="77777777" w:rsidR="00D70225" w:rsidRDefault="00000000">
      <w:pPr>
        <w:pStyle w:val="BodyText"/>
        <w:spacing w:before="159" w:line="259" w:lineRule="auto"/>
        <w:ind w:left="139" w:right="208"/>
      </w:pPr>
      <w:r>
        <w:t>The Company will seek the consent of the employee prior to accessing a home-based worksite, and such consent must not be unreasonably withheld. All work from home agreements must provide for reasonable access for the purposes of:</w:t>
      </w:r>
    </w:p>
    <w:p w14:paraId="39A311A7" w14:textId="77777777" w:rsidR="00D70225" w:rsidRDefault="00D70225">
      <w:pPr>
        <w:spacing w:line="259" w:lineRule="auto"/>
        <w:sectPr w:rsidR="00D70225">
          <w:headerReference w:type="default" r:id="rId7"/>
          <w:footerReference w:type="default" r:id="rId8"/>
          <w:type w:val="continuous"/>
          <w:pgSz w:w="11910" w:h="16840"/>
          <w:pgMar w:top="1660" w:right="1300" w:bottom="1100" w:left="1300" w:header="727" w:footer="912" w:gutter="0"/>
          <w:cols w:space="720"/>
        </w:sectPr>
      </w:pPr>
    </w:p>
    <w:p w14:paraId="3FE902B8" w14:textId="77777777" w:rsidR="00D70225" w:rsidRDefault="00D70225">
      <w:pPr>
        <w:pStyle w:val="BodyText"/>
        <w:spacing w:before="2"/>
        <w:ind w:left="0"/>
        <w:rPr>
          <w:sz w:val="17"/>
        </w:rPr>
      </w:pPr>
    </w:p>
    <w:p w14:paraId="691A1885" w14:textId="77777777" w:rsidR="00D70225" w:rsidRDefault="00000000">
      <w:pPr>
        <w:pStyle w:val="ListParagraph"/>
        <w:numPr>
          <w:ilvl w:val="0"/>
          <w:numId w:val="2"/>
        </w:numPr>
        <w:tabs>
          <w:tab w:val="left" w:pos="860"/>
          <w:tab w:val="left" w:pos="861"/>
        </w:tabs>
        <w:spacing w:before="101"/>
      </w:pPr>
      <w:r>
        <w:t>assessing and monitoring security arrangements of equipment and</w:t>
      </w:r>
      <w:r>
        <w:rPr>
          <w:spacing w:val="-14"/>
        </w:rPr>
        <w:t xml:space="preserve"> </w:t>
      </w:r>
      <w:proofErr w:type="gramStart"/>
      <w:r>
        <w:t>documents;</w:t>
      </w:r>
      <w:proofErr w:type="gramEnd"/>
    </w:p>
    <w:p w14:paraId="292B91B1" w14:textId="77777777" w:rsidR="00D70225" w:rsidRDefault="00000000">
      <w:pPr>
        <w:pStyle w:val="ListParagraph"/>
        <w:numPr>
          <w:ilvl w:val="0"/>
          <w:numId w:val="2"/>
        </w:numPr>
        <w:tabs>
          <w:tab w:val="left" w:pos="860"/>
          <w:tab w:val="left" w:pos="861"/>
        </w:tabs>
      </w:pPr>
      <w:r>
        <w:t>WHS inspections and risk</w:t>
      </w:r>
      <w:r>
        <w:rPr>
          <w:spacing w:val="-2"/>
        </w:rPr>
        <w:t xml:space="preserve"> </w:t>
      </w:r>
      <w:proofErr w:type="gramStart"/>
      <w:r>
        <w:t>assessments;</w:t>
      </w:r>
      <w:proofErr w:type="gramEnd"/>
    </w:p>
    <w:p w14:paraId="0780F1F2" w14:textId="77777777" w:rsidR="00D70225" w:rsidRDefault="00000000">
      <w:pPr>
        <w:pStyle w:val="ListParagraph"/>
        <w:numPr>
          <w:ilvl w:val="0"/>
          <w:numId w:val="2"/>
        </w:numPr>
        <w:tabs>
          <w:tab w:val="left" w:pos="860"/>
          <w:tab w:val="left" w:pos="861"/>
        </w:tabs>
        <w:spacing w:before="20"/>
      </w:pPr>
      <w:r>
        <w:t>incident investigation;</w:t>
      </w:r>
      <w:r>
        <w:rPr>
          <w:spacing w:val="1"/>
        </w:rPr>
        <w:t xml:space="preserve"> </w:t>
      </w:r>
      <w:r>
        <w:t>and</w:t>
      </w:r>
    </w:p>
    <w:p w14:paraId="78CE7EB1" w14:textId="77777777" w:rsidR="00D70225" w:rsidRDefault="00000000">
      <w:pPr>
        <w:pStyle w:val="ListParagraph"/>
        <w:numPr>
          <w:ilvl w:val="0"/>
          <w:numId w:val="2"/>
        </w:numPr>
        <w:tabs>
          <w:tab w:val="left" w:pos="860"/>
          <w:tab w:val="left" w:pos="861"/>
        </w:tabs>
      </w:pPr>
      <w:r>
        <w:t>supervision.</w:t>
      </w:r>
    </w:p>
    <w:p w14:paraId="24DF4BD5" w14:textId="77777777" w:rsidR="00D70225" w:rsidRDefault="00000000">
      <w:pPr>
        <w:pStyle w:val="Heading2"/>
        <w:spacing w:before="180"/>
        <w:ind w:left="140"/>
        <w:jc w:val="both"/>
      </w:pPr>
      <w:r>
        <w:t>Procedures for Applying</w:t>
      </w:r>
    </w:p>
    <w:p w14:paraId="256CE3DA" w14:textId="77777777" w:rsidR="00D70225" w:rsidRDefault="00000000">
      <w:pPr>
        <w:pStyle w:val="BodyText"/>
        <w:spacing w:before="183" w:line="259" w:lineRule="auto"/>
        <w:ind w:right="467"/>
        <w:jc w:val="both"/>
      </w:pPr>
      <w:r>
        <w:t xml:space="preserve">Generally, working from home arrangements must be negotiated between the employee and the Company, unless the Company directs the employee to work from home for health and safety or other fair, </w:t>
      </w:r>
      <w:proofErr w:type="gramStart"/>
      <w:r>
        <w:t>lawful</w:t>
      </w:r>
      <w:proofErr w:type="gramEnd"/>
      <w:r>
        <w:t xml:space="preserve"> or reasonable reason.</w:t>
      </w:r>
    </w:p>
    <w:p w14:paraId="5D6DE1E2" w14:textId="77777777" w:rsidR="00D70225" w:rsidRDefault="00000000">
      <w:pPr>
        <w:pStyle w:val="BodyText"/>
        <w:spacing w:before="159" w:line="259" w:lineRule="auto"/>
        <w:ind w:right="236"/>
      </w:pPr>
      <w:r>
        <w:t xml:space="preserve">If the request to work </w:t>
      </w:r>
      <w:proofErr w:type="spellStart"/>
      <w:r>
        <w:t>form</w:t>
      </w:r>
      <w:proofErr w:type="spellEnd"/>
      <w:r>
        <w:t xml:space="preserve"> home is at the initiative of the employee, the employee is required to put their request in writing with adequate supporting documentation and evidence as required for the Company to consider and determine the request. Failure to do so will delay the decision making by the Company.</w:t>
      </w:r>
    </w:p>
    <w:p w14:paraId="5B7F8413" w14:textId="77777777" w:rsidR="00D70225" w:rsidRDefault="00000000">
      <w:pPr>
        <w:pStyle w:val="BodyText"/>
        <w:spacing w:before="158" w:line="259" w:lineRule="auto"/>
        <w:ind w:right="754"/>
      </w:pPr>
      <w:r>
        <w:t xml:space="preserve">The outcome of any such agreement should be drafted into an amendment to the terms of an </w:t>
      </w:r>
      <w:proofErr w:type="spellStart"/>
      <w:proofErr w:type="gramStart"/>
      <w:r>
        <w:t>employees</w:t>
      </w:r>
      <w:proofErr w:type="spellEnd"/>
      <w:proofErr w:type="gramEnd"/>
      <w:r>
        <w:t xml:space="preserve"> employment.</w:t>
      </w:r>
    </w:p>
    <w:p w14:paraId="45FAB919" w14:textId="77777777" w:rsidR="00D70225" w:rsidRDefault="00000000">
      <w:pPr>
        <w:pStyle w:val="BodyText"/>
        <w:spacing w:before="161" w:line="259" w:lineRule="auto"/>
        <w:ind w:right="295"/>
      </w:pPr>
      <w:r>
        <w:t xml:space="preserve">In considering the feasibility of any such arrangement the Company must </w:t>
      </w:r>
      <w:proofErr w:type="gramStart"/>
      <w:r>
        <w:t>take into account</w:t>
      </w:r>
      <w:proofErr w:type="gramEnd"/>
      <w:r>
        <w:t xml:space="preserve"> the personal circumstances of the employee along with the operational needs and requirements of the business.</w:t>
      </w:r>
    </w:p>
    <w:p w14:paraId="3E9BD903" w14:textId="77777777" w:rsidR="00D70225" w:rsidRDefault="00D70225">
      <w:pPr>
        <w:pStyle w:val="BodyText"/>
        <w:spacing w:before="3"/>
        <w:ind w:left="0"/>
        <w:rPr>
          <w:sz w:val="8"/>
        </w:rPr>
      </w:pPr>
    </w:p>
    <w:p w14:paraId="7BE11543" w14:textId="77777777" w:rsidR="00D70225" w:rsidRDefault="00000000">
      <w:pPr>
        <w:pStyle w:val="BodyText"/>
        <w:spacing w:before="57" w:line="259" w:lineRule="auto"/>
        <w:ind w:right="197"/>
      </w:pPr>
      <w:r>
        <w:t>Consideration of such a request, and the resulting approval or denial, should not take more than [</w:t>
      </w:r>
      <w:r>
        <w:rPr>
          <w:i/>
          <w:shd w:val="clear" w:color="auto" w:fill="FFFF00"/>
        </w:rPr>
        <w:t>10</w:t>
      </w:r>
      <w:r>
        <w:rPr>
          <w:i/>
        </w:rPr>
        <w:t xml:space="preserve"> </w:t>
      </w:r>
      <w:r>
        <w:rPr>
          <w:i/>
          <w:shd w:val="clear" w:color="auto" w:fill="FFFF00"/>
        </w:rPr>
        <w:t>working days</w:t>
      </w:r>
      <w:r>
        <w:t>] unless there are satisfactory reasons for a delay.</w:t>
      </w:r>
    </w:p>
    <w:p w14:paraId="04F9AEFE" w14:textId="77777777" w:rsidR="00D70225" w:rsidRDefault="00000000">
      <w:pPr>
        <w:pStyle w:val="BodyText"/>
        <w:spacing w:before="161"/>
      </w:pPr>
      <w:r>
        <w:t>Any such arrangement needs managerial signoff and approval prior to commencement.</w:t>
      </w:r>
    </w:p>
    <w:p w14:paraId="79BAFF4A" w14:textId="77777777" w:rsidR="00D70225" w:rsidRDefault="00000000">
      <w:pPr>
        <w:pStyle w:val="BodyText"/>
        <w:spacing w:before="180" w:line="259" w:lineRule="auto"/>
        <w:ind w:right="539"/>
      </w:pPr>
      <w:r>
        <w:t xml:space="preserve">The Company reserves the right to cancel or vary the terms of the arrangement made under this policy at any time by giving the employee </w:t>
      </w:r>
      <w:r>
        <w:rPr>
          <w:i/>
          <w:shd w:val="clear" w:color="auto" w:fill="FFFF00"/>
        </w:rPr>
        <w:t>one weeks’</w:t>
      </w:r>
      <w:r>
        <w:rPr>
          <w:i/>
        </w:rPr>
        <w:t xml:space="preserve"> </w:t>
      </w:r>
      <w:r>
        <w:t>notice, or as appropriate if circumstances require.</w:t>
      </w:r>
    </w:p>
    <w:p w14:paraId="15E0C2DB" w14:textId="77777777" w:rsidR="00D70225" w:rsidRDefault="00000000">
      <w:pPr>
        <w:pStyle w:val="Heading2"/>
        <w:spacing w:before="160"/>
        <w:ind w:left="140"/>
      </w:pPr>
      <w:r>
        <w:t>Considerations for working from home request</w:t>
      </w:r>
    </w:p>
    <w:p w14:paraId="6AA00088" w14:textId="77777777" w:rsidR="00D70225" w:rsidRDefault="00000000">
      <w:pPr>
        <w:pStyle w:val="BodyText"/>
        <w:spacing w:before="180" w:line="259" w:lineRule="auto"/>
        <w:ind w:right="137"/>
      </w:pPr>
      <w:r>
        <w:t>The Company will consider and assess the following issues (at the least) when considering permitting an employee to work from home:</w:t>
      </w:r>
    </w:p>
    <w:p w14:paraId="17414B5C" w14:textId="77777777" w:rsidR="00D70225" w:rsidRDefault="00000000">
      <w:pPr>
        <w:pStyle w:val="ListParagraph"/>
        <w:numPr>
          <w:ilvl w:val="0"/>
          <w:numId w:val="1"/>
        </w:numPr>
        <w:tabs>
          <w:tab w:val="left" w:pos="861"/>
        </w:tabs>
        <w:spacing w:before="161"/>
      </w:pPr>
      <w:r>
        <w:t>Workers</w:t>
      </w:r>
      <w:r>
        <w:rPr>
          <w:spacing w:val="-1"/>
        </w:rPr>
        <w:t xml:space="preserve"> </w:t>
      </w:r>
      <w:r>
        <w:t>Compensation.</w:t>
      </w:r>
    </w:p>
    <w:p w14:paraId="3EF4B5C1" w14:textId="77777777" w:rsidR="00D70225" w:rsidRDefault="00000000">
      <w:pPr>
        <w:pStyle w:val="ListParagraph"/>
        <w:numPr>
          <w:ilvl w:val="0"/>
          <w:numId w:val="1"/>
        </w:numPr>
        <w:tabs>
          <w:tab w:val="left" w:pos="861"/>
        </w:tabs>
        <w:spacing w:before="20"/>
      </w:pPr>
      <w:r>
        <w:t>Health and</w:t>
      </w:r>
      <w:r>
        <w:rPr>
          <w:spacing w:val="-3"/>
        </w:rPr>
        <w:t xml:space="preserve"> </w:t>
      </w:r>
      <w:r>
        <w:t>safety.</w:t>
      </w:r>
    </w:p>
    <w:p w14:paraId="4CED82D5" w14:textId="77777777" w:rsidR="00D70225" w:rsidRDefault="00000000">
      <w:pPr>
        <w:pStyle w:val="ListParagraph"/>
        <w:numPr>
          <w:ilvl w:val="0"/>
          <w:numId w:val="1"/>
        </w:numPr>
        <w:tabs>
          <w:tab w:val="left" w:pos="861"/>
        </w:tabs>
      </w:pPr>
      <w:r>
        <w:t>Working environment/Workstation</w:t>
      </w:r>
      <w:r>
        <w:rPr>
          <w:spacing w:val="-5"/>
        </w:rPr>
        <w:t xml:space="preserve"> </w:t>
      </w:r>
      <w:r>
        <w:t>suitability.</w:t>
      </w:r>
    </w:p>
    <w:p w14:paraId="4EC0F76D" w14:textId="77777777" w:rsidR="00D70225" w:rsidRDefault="00000000">
      <w:pPr>
        <w:pStyle w:val="ListParagraph"/>
        <w:numPr>
          <w:ilvl w:val="0"/>
          <w:numId w:val="1"/>
        </w:numPr>
        <w:tabs>
          <w:tab w:val="left" w:pos="861"/>
        </w:tabs>
        <w:spacing w:before="21"/>
      </w:pPr>
      <w:r>
        <w:t>Any related contingency</w:t>
      </w:r>
      <w:r>
        <w:rPr>
          <w:spacing w:val="-2"/>
        </w:rPr>
        <w:t xml:space="preserve"> </w:t>
      </w:r>
      <w:r>
        <w:t>issues.</w:t>
      </w:r>
    </w:p>
    <w:p w14:paraId="5BE0E677" w14:textId="77777777" w:rsidR="00D70225" w:rsidRDefault="00000000">
      <w:pPr>
        <w:pStyle w:val="ListParagraph"/>
        <w:numPr>
          <w:ilvl w:val="0"/>
          <w:numId w:val="1"/>
        </w:numPr>
        <w:tabs>
          <w:tab w:val="left" w:pos="861"/>
        </w:tabs>
      </w:pPr>
      <w:r>
        <w:t>Any relevant Award terms relating to flexibility request and other relevant</w:t>
      </w:r>
      <w:r>
        <w:rPr>
          <w:spacing w:val="-10"/>
        </w:rPr>
        <w:t xml:space="preserve"> </w:t>
      </w:r>
      <w:r>
        <w:t>terms.</w:t>
      </w:r>
    </w:p>
    <w:p w14:paraId="5DF64336" w14:textId="77777777" w:rsidR="00D70225" w:rsidRDefault="00000000">
      <w:pPr>
        <w:pStyle w:val="ListParagraph"/>
        <w:numPr>
          <w:ilvl w:val="0"/>
          <w:numId w:val="1"/>
        </w:numPr>
        <w:tabs>
          <w:tab w:val="left" w:pos="861"/>
        </w:tabs>
        <w:spacing w:before="20"/>
      </w:pPr>
      <w:r>
        <w:t>Appropriate and regular communication between employer and</w:t>
      </w:r>
      <w:r>
        <w:rPr>
          <w:spacing w:val="-13"/>
        </w:rPr>
        <w:t xml:space="preserve"> </w:t>
      </w:r>
      <w:r>
        <w:t>employee.</w:t>
      </w:r>
    </w:p>
    <w:p w14:paraId="4B7D629B" w14:textId="77777777" w:rsidR="00D70225" w:rsidRDefault="00000000">
      <w:pPr>
        <w:pStyle w:val="ListParagraph"/>
        <w:numPr>
          <w:ilvl w:val="0"/>
          <w:numId w:val="1"/>
        </w:numPr>
        <w:tabs>
          <w:tab w:val="left" w:pos="861"/>
        </w:tabs>
        <w:spacing w:before="21"/>
      </w:pPr>
      <w:r>
        <w:t>Dealing with</w:t>
      </w:r>
      <w:r>
        <w:rPr>
          <w:spacing w:val="-3"/>
        </w:rPr>
        <w:t xml:space="preserve"> </w:t>
      </w:r>
      <w:r>
        <w:t>emergencies.</w:t>
      </w:r>
    </w:p>
    <w:p w14:paraId="243CB50B" w14:textId="77777777" w:rsidR="00D70225" w:rsidRDefault="00000000">
      <w:pPr>
        <w:pStyle w:val="ListParagraph"/>
        <w:numPr>
          <w:ilvl w:val="0"/>
          <w:numId w:val="1"/>
        </w:numPr>
        <w:tabs>
          <w:tab w:val="left" w:pos="862"/>
        </w:tabs>
        <w:ind w:left="861"/>
      </w:pPr>
      <w:r>
        <w:t>IT requirements including</w:t>
      </w:r>
      <w:r>
        <w:rPr>
          <w:spacing w:val="-4"/>
        </w:rPr>
        <w:t xml:space="preserve"> </w:t>
      </w:r>
      <w:r>
        <w:t>security.</w:t>
      </w:r>
    </w:p>
    <w:p w14:paraId="47FA2D94" w14:textId="77777777" w:rsidR="00D70225" w:rsidRDefault="00000000">
      <w:pPr>
        <w:pStyle w:val="ListParagraph"/>
        <w:numPr>
          <w:ilvl w:val="0"/>
          <w:numId w:val="1"/>
        </w:numPr>
        <w:tabs>
          <w:tab w:val="left" w:pos="862"/>
        </w:tabs>
        <w:ind w:left="861"/>
      </w:pPr>
      <w:r>
        <w:t>Confidentiality.</w:t>
      </w:r>
    </w:p>
    <w:p w14:paraId="63B364A6" w14:textId="77777777" w:rsidR="00D70225" w:rsidRDefault="00000000">
      <w:pPr>
        <w:pStyle w:val="ListParagraph"/>
        <w:numPr>
          <w:ilvl w:val="0"/>
          <w:numId w:val="1"/>
        </w:numPr>
        <w:tabs>
          <w:tab w:val="left" w:pos="862"/>
        </w:tabs>
        <w:spacing w:before="19"/>
        <w:ind w:left="861"/>
      </w:pPr>
      <w:r>
        <w:t>Monitoring productivity/performance</w:t>
      </w:r>
      <w:r>
        <w:rPr>
          <w:spacing w:val="-4"/>
        </w:rPr>
        <w:t xml:space="preserve"> </w:t>
      </w:r>
      <w:r>
        <w:t>expectations.</w:t>
      </w:r>
    </w:p>
    <w:p w14:paraId="742924FE" w14:textId="77777777" w:rsidR="00D70225" w:rsidRDefault="00000000">
      <w:pPr>
        <w:pStyle w:val="ListParagraph"/>
        <w:numPr>
          <w:ilvl w:val="0"/>
          <w:numId w:val="1"/>
        </w:numPr>
        <w:tabs>
          <w:tab w:val="left" w:pos="861"/>
        </w:tabs>
        <w:spacing w:before="23"/>
        <w:rPr>
          <w:i/>
        </w:rPr>
      </w:pPr>
      <w:r>
        <w:rPr>
          <w:i/>
          <w:shd w:val="clear" w:color="auto" w:fill="FFFF00"/>
        </w:rPr>
        <w:t>Other??</w:t>
      </w:r>
    </w:p>
    <w:p w14:paraId="697D2BAB" w14:textId="77777777" w:rsidR="00D70225" w:rsidRDefault="00D70225">
      <w:pPr>
        <w:sectPr w:rsidR="00D70225">
          <w:pgSz w:w="11910" w:h="16840"/>
          <w:pgMar w:top="1660" w:right="1300" w:bottom="1100" w:left="1300" w:header="727" w:footer="912" w:gutter="0"/>
          <w:cols w:space="720"/>
        </w:sectPr>
      </w:pPr>
    </w:p>
    <w:p w14:paraId="020121A8" w14:textId="77777777" w:rsidR="00D70225" w:rsidRDefault="00D70225">
      <w:pPr>
        <w:pStyle w:val="BodyText"/>
        <w:spacing w:before="10"/>
        <w:ind w:left="0"/>
        <w:rPr>
          <w:i/>
          <w:sz w:val="20"/>
        </w:rPr>
      </w:pPr>
    </w:p>
    <w:p w14:paraId="0074D80B" w14:textId="77777777" w:rsidR="00D70225" w:rsidRDefault="00000000">
      <w:pPr>
        <w:pStyle w:val="Heading2"/>
        <w:spacing w:before="56"/>
        <w:ind w:left="140"/>
      </w:pPr>
      <w:r>
        <w:t>Further assistance</w:t>
      </w:r>
    </w:p>
    <w:p w14:paraId="1D90BF58" w14:textId="77777777" w:rsidR="00D70225" w:rsidRDefault="00000000">
      <w:pPr>
        <w:pStyle w:val="BodyText"/>
        <w:spacing w:before="182" w:line="256" w:lineRule="auto"/>
        <w:ind w:right="939"/>
      </w:pPr>
      <w:r>
        <w:t xml:space="preserve">Any employee who requires assistance in understanding this policy should first consult their supervisor, </w:t>
      </w:r>
      <w:proofErr w:type="gramStart"/>
      <w:r>
        <w:t>manager</w:t>
      </w:r>
      <w:proofErr w:type="gramEnd"/>
      <w:r>
        <w:t xml:space="preserve"> or the human resources team.</w:t>
      </w:r>
    </w:p>
    <w:p w14:paraId="550956EC" w14:textId="77777777" w:rsidR="00D70225" w:rsidRDefault="00000000">
      <w:pPr>
        <w:pStyle w:val="Heading2"/>
        <w:spacing w:before="165"/>
      </w:pPr>
      <w:r>
        <w:t>Policy Review</w:t>
      </w:r>
    </w:p>
    <w:p w14:paraId="62587F20" w14:textId="77777777" w:rsidR="00D70225" w:rsidRDefault="00000000">
      <w:pPr>
        <w:spacing w:before="180" w:line="259" w:lineRule="auto"/>
        <w:ind w:left="139" w:right="627"/>
      </w:pPr>
      <w:r>
        <w:t xml:space="preserve">This policy must be reviewed and where appropriate amended by </w:t>
      </w:r>
      <w:r>
        <w:rPr>
          <w:i/>
        </w:rPr>
        <w:t xml:space="preserve">[insert name/title/committee name] </w:t>
      </w:r>
      <w:r>
        <w:t>every 2 years or sooner.</w:t>
      </w:r>
    </w:p>
    <w:p w14:paraId="7811D99F" w14:textId="77777777" w:rsidR="00D70225" w:rsidRDefault="00D70225">
      <w:pPr>
        <w:pStyle w:val="BodyText"/>
        <w:spacing w:before="5"/>
        <w:ind w:left="0"/>
        <w:rPr>
          <w:sz w:val="8"/>
        </w:rPr>
      </w:pPr>
    </w:p>
    <w:p w14:paraId="5FD69149" w14:textId="77777777" w:rsidR="00D70225" w:rsidRDefault="00000000">
      <w:pPr>
        <w:spacing w:before="57"/>
        <w:ind w:left="140"/>
      </w:pPr>
      <w:r>
        <w:t>This policy commences on [</w:t>
      </w:r>
      <w:r>
        <w:rPr>
          <w:i/>
          <w:shd w:val="clear" w:color="auto" w:fill="FFFF00"/>
        </w:rPr>
        <w:t>insert date</w:t>
      </w:r>
      <w:r>
        <w:t>].</w:t>
      </w:r>
    </w:p>
    <w:p w14:paraId="45908658" w14:textId="77777777" w:rsidR="00D70225" w:rsidRDefault="00000000">
      <w:pPr>
        <w:pStyle w:val="BodyText"/>
        <w:spacing w:before="182"/>
      </w:pPr>
      <w:r>
        <w:t>…………………………………………………..</w:t>
      </w:r>
    </w:p>
    <w:p w14:paraId="547EBC3A" w14:textId="77777777" w:rsidR="00D70225" w:rsidRDefault="00D70225">
      <w:pPr>
        <w:pStyle w:val="BodyText"/>
        <w:spacing w:before="2"/>
        <w:ind w:left="0"/>
        <w:rPr>
          <w:sz w:val="10"/>
        </w:rPr>
      </w:pPr>
    </w:p>
    <w:p w14:paraId="1D07EA3E" w14:textId="77777777" w:rsidR="00D70225" w:rsidRDefault="00000000">
      <w:pPr>
        <w:spacing w:before="57" w:line="403" w:lineRule="auto"/>
        <w:ind w:left="140" w:right="5610"/>
        <w:rPr>
          <w:i/>
        </w:rPr>
      </w:pPr>
      <w:r>
        <w:rPr>
          <w:i/>
        </w:rPr>
        <w:t>Position: [</w:t>
      </w:r>
      <w:r>
        <w:rPr>
          <w:i/>
          <w:shd w:val="clear" w:color="auto" w:fill="FFFF00"/>
        </w:rPr>
        <w:t>Signed by appropriate officer</w:t>
      </w:r>
      <w:r>
        <w:rPr>
          <w:i/>
        </w:rPr>
        <w:t>] Date:</w:t>
      </w:r>
    </w:p>
    <w:p w14:paraId="53B218F3" w14:textId="77777777" w:rsidR="00D70225" w:rsidRDefault="00000000">
      <w:pPr>
        <w:spacing w:line="266" w:lineRule="exact"/>
        <w:ind w:left="140"/>
      </w:pPr>
      <w:r>
        <w:t xml:space="preserve">[Next review date: </w:t>
      </w:r>
      <w:r>
        <w:rPr>
          <w:i/>
          <w:shd w:val="clear" w:color="auto" w:fill="FFFF00"/>
        </w:rPr>
        <w:t>insert next review</w:t>
      </w:r>
      <w:r>
        <w:rPr>
          <w:i/>
        </w:rPr>
        <w:t xml:space="preserve"> date</w:t>
      </w:r>
      <w:r>
        <w:t>]</w:t>
      </w:r>
    </w:p>
    <w:sectPr w:rsidR="00D70225">
      <w:pgSz w:w="11910" w:h="16840"/>
      <w:pgMar w:top="1660" w:right="1300" w:bottom="1100" w:left="1300" w:header="727"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C204" w14:textId="77777777" w:rsidR="00A16780" w:rsidRDefault="00A16780">
      <w:r>
        <w:separator/>
      </w:r>
    </w:p>
  </w:endnote>
  <w:endnote w:type="continuationSeparator" w:id="0">
    <w:p w14:paraId="1147E183" w14:textId="77777777" w:rsidR="00A16780" w:rsidRDefault="00A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8582" w14:textId="3009ED9E" w:rsidR="00D70225" w:rsidRDefault="00D70225">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D2F0" w14:textId="77777777" w:rsidR="00A16780" w:rsidRDefault="00A16780">
      <w:r>
        <w:separator/>
      </w:r>
    </w:p>
  </w:footnote>
  <w:footnote w:type="continuationSeparator" w:id="0">
    <w:p w14:paraId="59F312C6" w14:textId="77777777" w:rsidR="00A16780" w:rsidRDefault="00A1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BC9A" w14:textId="11532680" w:rsidR="00D70225" w:rsidRDefault="00D70225">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256C3"/>
    <w:multiLevelType w:val="hybridMultilevel"/>
    <w:tmpl w:val="92763754"/>
    <w:lvl w:ilvl="0" w:tplc="227A1D7C">
      <w:numFmt w:val="bullet"/>
      <w:lvlText w:val=""/>
      <w:lvlJc w:val="left"/>
      <w:pPr>
        <w:ind w:left="860" w:hanging="361"/>
      </w:pPr>
      <w:rPr>
        <w:rFonts w:ascii="Symbol" w:eastAsia="Symbol" w:hAnsi="Symbol" w:cs="Symbol" w:hint="default"/>
        <w:w w:val="100"/>
        <w:sz w:val="22"/>
        <w:szCs w:val="22"/>
        <w:lang w:val="en-AU" w:eastAsia="en-US" w:bidi="ar-SA"/>
      </w:rPr>
    </w:lvl>
    <w:lvl w:ilvl="1" w:tplc="9604C6F4">
      <w:numFmt w:val="bullet"/>
      <w:lvlText w:val="•"/>
      <w:lvlJc w:val="left"/>
      <w:pPr>
        <w:ind w:left="1704" w:hanging="361"/>
      </w:pPr>
      <w:rPr>
        <w:rFonts w:hint="default"/>
        <w:lang w:val="en-AU" w:eastAsia="en-US" w:bidi="ar-SA"/>
      </w:rPr>
    </w:lvl>
    <w:lvl w:ilvl="2" w:tplc="F90AB784">
      <w:numFmt w:val="bullet"/>
      <w:lvlText w:val="•"/>
      <w:lvlJc w:val="left"/>
      <w:pPr>
        <w:ind w:left="2549" w:hanging="361"/>
      </w:pPr>
      <w:rPr>
        <w:rFonts w:hint="default"/>
        <w:lang w:val="en-AU" w:eastAsia="en-US" w:bidi="ar-SA"/>
      </w:rPr>
    </w:lvl>
    <w:lvl w:ilvl="3" w:tplc="E5F8028A">
      <w:numFmt w:val="bullet"/>
      <w:lvlText w:val="•"/>
      <w:lvlJc w:val="left"/>
      <w:pPr>
        <w:ind w:left="3393" w:hanging="361"/>
      </w:pPr>
      <w:rPr>
        <w:rFonts w:hint="default"/>
        <w:lang w:val="en-AU" w:eastAsia="en-US" w:bidi="ar-SA"/>
      </w:rPr>
    </w:lvl>
    <w:lvl w:ilvl="4" w:tplc="AE86EABE">
      <w:numFmt w:val="bullet"/>
      <w:lvlText w:val="•"/>
      <w:lvlJc w:val="left"/>
      <w:pPr>
        <w:ind w:left="4238" w:hanging="361"/>
      </w:pPr>
      <w:rPr>
        <w:rFonts w:hint="default"/>
        <w:lang w:val="en-AU" w:eastAsia="en-US" w:bidi="ar-SA"/>
      </w:rPr>
    </w:lvl>
    <w:lvl w:ilvl="5" w:tplc="266A3100">
      <w:numFmt w:val="bullet"/>
      <w:lvlText w:val="•"/>
      <w:lvlJc w:val="left"/>
      <w:pPr>
        <w:ind w:left="5083" w:hanging="361"/>
      </w:pPr>
      <w:rPr>
        <w:rFonts w:hint="default"/>
        <w:lang w:val="en-AU" w:eastAsia="en-US" w:bidi="ar-SA"/>
      </w:rPr>
    </w:lvl>
    <w:lvl w:ilvl="6" w:tplc="123CFEB8">
      <w:numFmt w:val="bullet"/>
      <w:lvlText w:val="•"/>
      <w:lvlJc w:val="left"/>
      <w:pPr>
        <w:ind w:left="5927" w:hanging="361"/>
      </w:pPr>
      <w:rPr>
        <w:rFonts w:hint="default"/>
        <w:lang w:val="en-AU" w:eastAsia="en-US" w:bidi="ar-SA"/>
      </w:rPr>
    </w:lvl>
    <w:lvl w:ilvl="7" w:tplc="5DB66C2C">
      <w:numFmt w:val="bullet"/>
      <w:lvlText w:val="•"/>
      <w:lvlJc w:val="left"/>
      <w:pPr>
        <w:ind w:left="6772" w:hanging="361"/>
      </w:pPr>
      <w:rPr>
        <w:rFonts w:hint="default"/>
        <w:lang w:val="en-AU" w:eastAsia="en-US" w:bidi="ar-SA"/>
      </w:rPr>
    </w:lvl>
    <w:lvl w:ilvl="8" w:tplc="60866C6C">
      <w:numFmt w:val="bullet"/>
      <w:lvlText w:val="•"/>
      <w:lvlJc w:val="left"/>
      <w:pPr>
        <w:ind w:left="7617" w:hanging="361"/>
      </w:pPr>
      <w:rPr>
        <w:rFonts w:hint="default"/>
        <w:lang w:val="en-AU" w:eastAsia="en-US" w:bidi="ar-SA"/>
      </w:rPr>
    </w:lvl>
  </w:abstractNum>
  <w:abstractNum w:abstractNumId="1" w15:restartNumberingAfterBreak="0">
    <w:nsid w:val="58EC23B9"/>
    <w:multiLevelType w:val="hybridMultilevel"/>
    <w:tmpl w:val="5BD0C322"/>
    <w:lvl w:ilvl="0" w:tplc="6324FB2A">
      <w:start w:val="1"/>
      <w:numFmt w:val="decimal"/>
      <w:lvlText w:val="%1."/>
      <w:lvlJc w:val="left"/>
      <w:pPr>
        <w:ind w:left="860" w:hanging="361"/>
        <w:jc w:val="left"/>
      </w:pPr>
      <w:rPr>
        <w:rFonts w:hint="default"/>
        <w:w w:val="100"/>
        <w:lang w:val="en-AU" w:eastAsia="en-US" w:bidi="ar-SA"/>
      </w:rPr>
    </w:lvl>
    <w:lvl w:ilvl="1" w:tplc="09E6FFF6">
      <w:numFmt w:val="bullet"/>
      <w:lvlText w:val="•"/>
      <w:lvlJc w:val="left"/>
      <w:pPr>
        <w:ind w:left="1704" w:hanging="361"/>
      </w:pPr>
      <w:rPr>
        <w:rFonts w:hint="default"/>
        <w:lang w:val="en-AU" w:eastAsia="en-US" w:bidi="ar-SA"/>
      </w:rPr>
    </w:lvl>
    <w:lvl w:ilvl="2" w:tplc="4112DBEE">
      <w:numFmt w:val="bullet"/>
      <w:lvlText w:val="•"/>
      <w:lvlJc w:val="left"/>
      <w:pPr>
        <w:ind w:left="2549" w:hanging="361"/>
      </w:pPr>
      <w:rPr>
        <w:rFonts w:hint="default"/>
        <w:lang w:val="en-AU" w:eastAsia="en-US" w:bidi="ar-SA"/>
      </w:rPr>
    </w:lvl>
    <w:lvl w:ilvl="3" w:tplc="DC10D8C0">
      <w:numFmt w:val="bullet"/>
      <w:lvlText w:val="•"/>
      <w:lvlJc w:val="left"/>
      <w:pPr>
        <w:ind w:left="3393" w:hanging="361"/>
      </w:pPr>
      <w:rPr>
        <w:rFonts w:hint="default"/>
        <w:lang w:val="en-AU" w:eastAsia="en-US" w:bidi="ar-SA"/>
      </w:rPr>
    </w:lvl>
    <w:lvl w:ilvl="4" w:tplc="D758F440">
      <w:numFmt w:val="bullet"/>
      <w:lvlText w:val="•"/>
      <w:lvlJc w:val="left"/>
      <w:pPr>
        <w:ind w:left="4238" w:hanging="361"/>
      </w:pPr>
      <w:rPr>
        <w:rFonts w:hint="default"/>
        <w:lang w:val="en-AU" w:eastAsia="en-US" w:bidi="ar-SA"/>
      </w:rPr>
    </w:lvl>
    <w:lvl w:ilvl="5" w:tplc="BBE4C9B2">
      <w:numFmt w:val="bullet"/>
      <w:lvlText w:val="•"/>
      <w:lvlJc w:val="left"/>
      <w:pPr>
        <w:ind w:left="5083" w:hanging="361"/>
      </w:pPr>
      <w:rPr>
        <w:rFonts w:hint="default"/>
        <w:lang w:val="en-AU" w:eastAsia="en-US" w:bidi="ar-SA"/>
      </w:rPr>
    </w:lvl>
    <w:lvl w:ilvl="6" w:tplc="668A5D7A">
      <w:numFmt w:val="bullet"/>
      <w:lvlText w:val="•"/>
      <w:lvlJc w:val="left"/>
      <w:pPr>
        <w:ind w:left="5927" w:hanging="361"/>
      </w:pPr>
      <w:rPr>
        <w:rFonts w:hint="default"/>
        <w:lang w:val="en-AU" w:eastAsia="en-US" w:bidi="ar-SA"/>
      </w:rPr>
    </w:lvl>
    <w:lvl w:ilvl="7" w:tplc="9BC2CF6A">
      <w:numFmt w:val="bullet"/>
      <w:lvlText w:val="•"/>
      <w:lvlJc w:val="left"/>
      <w:pPr>
        <w:ind w:left="6772" w:hanging="361"/>
      </w:pPr>
      <w:rPr>
        <w:rFonts w:hint="default"/>
        <w:lang w:val="en-AU" w:eastAsia="en-US" w:bidi="ar-SA"/>
      </w:rPr>
    </w:lvl>
    <w:lvl w:ilvl="8" w:tplc="C74A15F4">
      <w:numFmt w:val="bullet"/>
      <w:lvlText w:val="•"/>
      <w:lvlJc w:val="left"/>
      <w:pPr>
        <w:ind w:left="7617" w:hanging="361"/>
      </w:pPr>
      <w:rPr>
        <w:rFonts w:hint="default"/>
        <w:lang w:val="en-AU" w:eastAsia="en-US" w:bidi="ar-SA"/>
      </w:rPr>
    </w:lvl>
  </w:abstractNum>
  <w:num w:numId="1" w16cid:durableId="2038963331">
    <w:abstractNumId w:val="1"/>
  </w:num>
  <w:num w:numId="2" w16cid:durableId="165702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70225"/>
    <w:rsid w:val="004A267F"/>
    <w:rsid w:val="00A16780"/>
    <w:rsid w:val="00D70225"/>
    <w:rsid w:val="00D96F8F"/>
    <w:rsid w:val="00EB28A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6F9B868"/>
  <w15:docId w15:val="{5ABD5BFB-3D67-44F7-873D-69EE7F03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before="51"/>
      <w:ind w:left="140"/>
      <w:outlineLvl w:val="0"/>
    </w:pPr>
    <w:rPr>
      <w:b/>
      <w:bCs/>
      <w:sz w:val="24"/>
      <w:szCs w:val="24"/>
    </w:rPr>
  </w:style>
  <w:style w:type="paragraph" w:styleId="Heading2">
    <w:name w:val="heading 2"/>
    <w:basedOn w:val="Normal"/>
    <w:uiPriority w:val="9"/>
    <w:unhideWhenUsed/>
    <w:qFormat/>
    <w:pPr>
      <w:spacing w:before="159"/>
      <w:ind w:left="13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40"/>
    </w:pPr>
  </w:style>
  <w:style w:type="paragraph" w:styleId="Title">
    <w:name w:val="Title"/>
    <w:basedOn w:val="Normal"/>
    <w:uiPriority w:val="10"/>
    <w:qFormat/>
    <w:pPr>
      <w:spacing w:before="160"/>
      <w:ind w:left="140"/>
    </w:pPr>
    <w:rPr>
      <w:sz w:val="32"/>
      <w:szCs w:val="32"/>
    </w:rPr>
  </w:style>
  <w:style w:type="paragraph" w:styleId="ListParagraph">
    <w:name w:val="List Paragraph"/>
    <w:basedOn w:val="Normal"/>
    <w:uiPriority w:val="1"/>
    <w:qFormat/>
    <w:pPr>
      <w:spacing w:before="22"/>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267F"/>
    <w:pPr>
      <w:tabs>
        <w:tab w:val="center" w:pos="4680"/>
        <w:tab w:val="right" w:pos="9360"/>
      </w:tabs>
    </w:pPr>
  </w:style>
  <w:style w:type="character" w:customStyle="1" w:styleId="HeaderChar">
    <w:name w:val="Header Char"/>
    <w:basedOn w:val="DefaultParagraphFont"/>
    <w:link w:val="Header"/>
    <w:uiPriority w:val="99"/>
    <w:rsid w:val="004A267F"/>
    <w:rPr>
      <w:rFonts w:ascii="Calibri" w:eastAsia="Calibri" w:hAnsi="Calibri" w:cs="Calibri"/>
      <w:lang w:val="en-AU"/>
    </w:rPr>
  </w:style>
  <w:style w:type="paragraph" w:styleId="Footer">
    <w:name w:val="footer"/>
    <w:basedOn w:val="Normal"/>
    <w:link w:val="FooterChar"/>
    <w:uiPriority w:val="99"/>
    <w:unhideWhenUsed/>
    <w:rsid w:val="004A267F"/>
    <w:pPr>
      <w:tabs>
        <w:tab w:val="center" w:pos="4680"/>
        <w:tab w:val="right" w:pos="9360"/>
      </w:tabs>
    </w:pPr>
  </w:style>
  <w:style w:type="character" w:customStyle="1" w:styleId="FooterChar">
    <w:name w:val="Footer Char"/>
    <w:basedOn w:val="DefaultParagraphFont"/>
    <w:link w:val="Footer"/>
    <w:uiPriority w:val="99"/>
    <w:rsid w:val="004A267F"/>
    <w:rPr>
      <w:rFonts w:ascii="Calibri" w:eastAsia="Calibri" w:hAnsi="Calibri" w:cs="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602</Words>
  <Characters>3438</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