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0711">
            <wp:simplePos x="0" y="0"/>
            <wp:positionH relativeFrom="page">
              <wp:posOffset>523409</wp:posOffset>
            </wp:positionH>
            <wp:positionV relativeFrom="page">
              <wp:posOffset>274320</wp:posOffset>
            </wp:positionV>
            <wp:extent cx="508986" cy="448309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86" cy="448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6pt;margin-top:314.839996pt;width:14pt;height:82.7pt;mso-position-horizontal-relative:page;mso-position-vertical-relative:page;z-index:-4720" coordorigin="720,6297" coordsize="280,1654">
            <v:shape style="position:absolute;left:720;top:6296;width:280;height:218" type="#_x0000_t75" stroked="false">
              <v:imagedata r:id="rId6" o:title=""/>
            </v:shape>
            <v:shape style="position:absolute;left:720;top:6584;width:280;height:218" type="#_x0000_t75" stroked="false">
              <v:imagedata r:id="rId6" o:title=""/>
            </v:shape>
            <v:shape style="position:absolute;left:720;top:6871;width:280;height:218" type="#_x0000_t75" stroked="false">
              <v:imagedata r:id="rId6" o:title=""/>
            </v:shape>
            <v:shape style="position:absolute;left:720;top:7158;width:280;height:218" type="#_x0000_t75" stroked="false">
              <v:imagedata r:id="rId6" o:title=""/>
            </v:shape>
            <v:shape style="position:absolute;left:720;top:7445;width:280;height:218" type="#_x0000_t75" stroked="false">
              <v:imagedata r:id="rId6" o:title=""/>
            </v:shape>
            <v:shape style="position:absolute;left:720;top:7732;width:280;height:218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36pt;margin-top:71.790001pt;width:500.65pt;height:8.75pt;mso-position-horizontal-relative:page;mso-position-vertical-relative:page;z-index:-4696" coordorigin="720,1436" coordsize="10013,175" path="m10674,1523l10569,1584,10566,1593,10570,1601,10575,1608,10584,1610,10707,1538,10703,1538,10703,1536,10696,1536,10674,1523xm10648,1508l720,1508,720,1538,10648,1538,10674,1523,10648,1508xm10707,1508l10703,1508,10703,1538,10707,1538,10733,1523,10707,1508xm10696,1510l10674,1523,10696,1536,10696,1510xm10703,1510l10696,1510,10696,1536,10703,1536,10703,1510xm10584,1436l10575,1438,10566,1453,10569,1462,10674,1523,10696,1510,10703,1510,10703,1508,10707,1508,10584,1436xe" filled="true" fillcolor="#934605" stroked="false">
            <v:path arrowok="t"/>
            <v:fill type="solid"/>
            <w10:wrap type="none"/>
          </v:shape>
        </w:pict>
      </w:r>
      <w:r>
        <w:rPr/>
        <w:pict>
          <v:rect style="position:absolute;margin-left:38.799999pt;margin-top:418.769989pt;width:523pt;height:128.5pt;mso-position-horizontal-relative:page;mso-position-vertical-relative:page;z-index:-4672" filled="false" stroked="true" strokeweight="2pt" strokecolor="#854e0f">
            <v:stroke dashstyle="solid"/>
            <w10:wrap type="none"/>
          </v:rect>
        </w:pict>
      </w:r>
      <w:r>
        <w:rPr/>
        <w:pict>
          <v:group style="position:absolute;margin-left:0pt;margin-top:588.960022pt;width:569.3pt;height:76.350pt;mso-position-horizontal-relative:page;mso-position-vertical-relative:page;z-index:-4648" coordorigin="0,11779" coordsize="11386,1527">
            <v:shape style="position:absolute;left:5575;top:11786;width:5811;height:1520" type="#_x0000_t75" stroked="false">
              <v:imagedata r:id="rId7" o:title=""/>
            </v:shape>
            <v:shape style="position:absolute;left:0;top:11779;width:6017;height:1517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30831">
            <wp:simplePos x="0" y="0"/>
            <wp:positionH relativeFrom="page">
              <wp:posOffset>60961</wp:posOffset>
            </wp:positionH>
            <wp:positionV relativeFrom="page">
              <wp:posOffset>8705036</wp:posOffset>
            </wp:positionV>
            <wp:extent cx="7467600" cy="1181100"/>
            <wp:effectExtent l="0" t="0" r="0" b="0"/>
            <wp:wrapNone/>
            <wp:docPr id="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050003pt;margin-top:41.844803pt;width:233.5pt;height:20.150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Georgia"/>
                      <w:b/>
                      <w:i/>
                      <w:sz w:val="32"/>
                    </w:rPr>
                  </w:pPr>
                  <w:r>
                    <w:rPr>
                      <w:rFonts w:ascii="Georgia"/>
                      <w:b/>
                      <w:i/>
                      <w:color w:val="FF0000"/>
                      <w:sz w:val="26"/>
                      <w:u w:val="single" w:color="FF0000"/>
                    </w:rPr>
                    <w:t>Capabilities Statement </w:t>
                  </w:r>
                  <w:r>
                    <w:rPr>
                      <w:rFonts w:ascii="Georgia"/>
                      <w:b/>
                      <w:i/>
                      <w:color w:val="FF0000"/>
                      <w:sz w:val="32"/>
                      <w:u w:val="single" w:color="FF0000"/>
                    </w:rPr>
                    <w:t>Example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240002pt;margin-top:59.459476pt;width:109.55pt;height:18.0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b/>
                      <w:i/>
                      <w:sz w:val="27"/>
                    </w:rPr>
                  </w:pPr>
                  <w:r>
                    <w:rPr>
                      <w:b/>
                      <w:i/>
                      <w:color w:val="934605"/>
                      <w:sz w:val="27"/>
                    </w:rPr>
                    <w:t>Global</w:t>
                  </w:r>
                  <w:r>
                    <w:rPr>
                      <w:b/>
                      <w:i/>
                      <w:color w:val="934605"/>
                      <w:spacing w:val="-37"/>
                      <w:sz w:val="27"/>
                    </w:rPr>
                    <w:t> </w:t>
                  </w:r>
                  <w:r>
                    <w:rPr>
                      <w:b/>
                      <w:i/>
                      <w:color w:val="934605"/>
                      <w:sz w:val="27"/>
                    </w:rPr>
                    <w:t>Alliance,</w:t>
                  </w:r>
                  <w:r>
                    <w:rPr>
                      <w:b/>
                      <w:i/>
                      <w:color w:val="934605"/>
                      <w:spacing w:val="-36"/>
                      <w:sz w:val="27"/>
                    </w:rPr>
                    <w:t> </w:t>
                  </w:r>
                  <w:r>
                    <w:rPr>
                      <w:b/>
                      <w:i/>
                      <w:color w:val="934605"/>
                      <w:sz w:val="27"/>
                    </w:rPr>
                    <w:t>LLC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5.385468pt;width:214.7pt;height:63.1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spacing w:before="19"/>
                    <w:ind w:left="20" w:right="-4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Contact: Julie Ward, Government Sales 511 Bay Area Parkway</w:t>
                  </w:r>
                </w:p>
                <w:p>
                  <w:pPr>
                    <w:spacing w:line="300" w:lineRule="exact" w:before="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Houston, TX 77058</w:t>
                  </w:r>
                </w:p>
                <w:p>
                  <w:pPr>
                    <w:spacing w:line="312" w:lineRule="exact" w:before="0"/>
                    <w:ind w:left="20" w:right="0" w:firstLine="0"/>
                    <w:jc w:val="left"/>
                    <w:rPr>
                      <w:b/>
                      <w:i/>
                      <w:sz w:val="27"/>
                    </w:rPr>
                  </w:pPr>
                  <w:hyperlink r:id="rId10">
                    <w:r>
                      <w:rPr>
                        <w:b/>
                        <w:i/>
                        <w:color w:val="0000FF"/>
                        <w:sz w:val="27"/>
                        <w:u w:val="single" w:color="0000FF"/>
                      </w:rPr>
                      <w:t>www.globalalliance.com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403.709991pt;margin-top:75.385468pt;width:145.9pt;height:63.1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832-579-6640 Mobile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281-937-5881 Office</w:t>
                  </w:r>
                </w:p>
                <w:p>
                  <w:pPr>
                    <w:spacing w:line="300" w:lineRule="exact" w:before="0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281-937-5880 Fax</w:t>
                  </w:r>
                </w:p>
                <w:p>
                  <w:pPr>
                    <w:spacing w:line="312" w:lineRule="exact" w:before="0"/>
                    <w:ind w:left="20" w:right="0" w:firstLine="0"/>
                    <w:jc w:val="left"/>
                    <w:rPr>
                      <w:b/>
                      <w:i/>
                      <w:sz w:val="27"/>
                    </w:rPr>
                  </w:pPr>
                  <w:hyperlink r:id="rId11">
                    <w:r>
                      <w:rPr>
                        <w:b/>
                        <w:i/>
                        <w:color w:val="0000FF"/>
                        <w:w w:val="95"/>
                        <w:sz w:val="27"/>
                        <w:u w:val="single" w:color="0000FF"/>
                      </w:rPr>
                      <w:t>jward@globalalliance.com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50.67775pt;width:527.9pt;height:250.6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b/>
                      <w:i/>
                      <w:sz w:val="29"/>
                    </w:rPr>
                  </w:pPr>
                  <w:r>
                    <w:rPr>
                      <w:b/>
                      <w:i/>
                      <w:color w:val="934605"/>
                      <w:sz w:val="29"/>
                    </w:rPr>
                    <w:t>Capabilities Statement</w:t>
                  </w:r>
                </w:p>
                <w:p>
                  <w:pPr>
                    <w:spacing w:line="237" w:lineRule="auto" w:before="253"/>
                    <w:ind w:left="20" w:right="24" w:firstLine="0"/>
                    <w:jc w:val="left"/>
                    <w:rPr>
                      <w:b/>
                      <w:i/>
                      <w:sz w:val="29"/>
                    </w:rPr>
                  </w:pPr>
                  <w:r>
                    <w:rPr>
                      <w:sz w:val="24"/>
                    </w:rPr>
                    <w:t>Global Alliance, DBA Global Alliance LLC, a </w:t>
                  </w:r>
                  <w:r>
                    <w:rPr>
                      <w:b/>
                      <w:i/>
                      <w:sz w:val="25"/>
                    </w:rPr>
                    <w:t>minority woman-owned small business</w:t>
                  </w:r>
                  <w:r>
                    <w:rPr>
                      <w:sz w:val="24"/>
                    </w:rPr>
                    <w:t>, is a specialty provider of electrical materials and supplies enabling timely and successful completion of government, municipal and commercial industry construction projects. We have over 23 years of “hands-on” experience serving industrial &amp; commercial electrical contractors, engineering constructors, industrial Original Equipment Manufacturers (OEM), federal &amp; state government agencies and, various utility agencies and suppliers. We are widely acclaimed for our </w:t>
                  </w:r>
                  <w:r>
                    <w:rPr>
                      <w:b/>
                      <w:i/>
                      <w:sz w:val="25"/>
                    </w:rPr>
                    <w:t>Collaborative Global Best-Value Solutions</w:t>
                  </w:r>
                  <w:r>
                    <w:rPr>
                      <w:b/>
                      <w:i/>
                      <w:sz w:val="29"/>
                    </w:rPr>
                    <w:t>.</w:t>
                  </w:r>
                </w:p>
                <w:p>
                  <w:pPr>
                    <w:spacing w:before="293"/>
                    <w:ind w:left="20" w:right="0" w:firstLine="0"/>
                    <w:jc w:val="left"/>
                    <w:rPr>
                      <w:b/>
                      <w:i/>
                      <w:sz w:val="29"/>
                    </w:rPr>
                  </w:pPr>
                  <w:r>
                    <w:rPr>
                      <w:b/>
                      <w:i/>
                      <w:color w:val="934605"/>
                      <w:sz w:val="29"/>
                    </w:rPr>
                    <w:t>What sets Global Alliance apart from the competition?</w:t>
                  </w:r>
                </w:p>
                <w:p>
                  <w:pPr>
                    <w:spacing w:before="278"/>
                    <w:ind w:left="442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sz w:val="24"/>
                    </w:rPr>
                    <w:t>Partnered Solutions </w:t>
                  </w:r>
                  <w:r>
                    <w:rPr>
                      <w:rFonts w:ascii="Calibri" w:hAnsi="Calibri"/>
                      <w:sz w:val="22"/>
                    </w:rPr>
                    <w:t>– </w:t>
                  </w:r>
                  <w:r>
                    <w:rPr>
                      <w:i/>
                      <w:sz w:val="23"/>
                    </w:rPr>
                    <w:t>we partner &amp; collaborate with general contractors to create custom solutions</w:t>
                  </w:r>
                </w:p>
                <w:p>
                  <w:pPr>
                    <w:spacing w:before="1"/>
                    <w:ind w:left="442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sz w:val="24"/>
                    </w:rPr>
                    <w:t>Gold Standards </w:t>
                  </w:r>
                  <w:r>
                    <w:rPr>
                      <w:rFonts w:ascii="Calibri" w:hAnsi="Calibri"/>
                      <w:i/>
                      <w:sz w:val="22"/>
                    </w:rPr>
                    <w:t>– </w:t>
                  </w:r>
                  <w:r>
                    <w:rPr>
                      <w:i/>
                      <w:sz w:val="23"/>
                    </w:rPr>
                    <w:t>revered for our professionalism and industry expertise</w:t>
                  </w:r>
                </w:p>
                <w:p>
                  <w:pPr>
                    <w:spacing w:line="237" w:lineRule="auto" w:before="3"/>
                    <w:ind w:left="442" w:right="17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sz w:val="24"/>
                    </w:rPr>
                    <w:t>Best Value </w:t>
                  </w:r>
                  <w:r>
                    <w:rPr>
                      <w:rFonts w:ascii="Calibri" w:hAnsi="Calibri"/>
                      <w:i/>
                      <w:sz w:val="22"/>
                    </w:rPr>
                    <w:t>– </w:t>
                  </w:r>
                  <w:r>
                    <w:rPr>
                      <w:i/>
                      <w:sz w:val="23"/>
                    </w:rPr>
                    <w:t>awarded ‘2011 Most Successful Newcomer’ to General Services Administration (GSA) </w:t>
                  </w:r>
                  <w:r>
                    <w:rPr>
                      <w:sz w:val="24"/>
                    </w:rPr>
                    <w:t>Delivery-</w:t>
                  </w:r>
                  <w:r>
                    <w:rPr>
                      <w:b/>
                      <w:i/>
                      <w:color w:val="934605"/>
                      <w:sz w:val="25"/>
                    </w:rPr>
                    <w:t>PLUS </w:t>
                  </w:r>
                  <w:r>
                    <w:rPr>
                      <w:rFonts w:ascii="Calibri" w:hAnsi="Calibri"/>
                      <w:i/>
                      <w:sz w:val="22"/>
                    </w:rPr>
                    <w:t>– </w:t>
                  </w:r>
                  <w:r>
                    <w:rPr>
                      <w:i/>
                      <w:sz w:val="23"/>
                    </w:rPr>
                    <w:t>we ensure free on-time delivery to nay job site destinations across the globe </w:t>
                  </w:r>
                  <w:r>
                    <w:rPr>
                      <w:sz w:val="24"/>
                    </w:rPr>
                    <w:t>Comprehensive</w:t>
                  </w:r>
                  <w:r>
                    <w:rPr>
                      <w:spacing w:val="-3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industry</w:t>
                  </w:r>
                  <w:r>
                    <w:rPr>
                      <w:spacing w:val="-3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experience</w:t>
                  </w:r>
                  <w:r>
                    <w:rPr>
                      <w:spacing w:val="-3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–</w:t>
                  </w:r>
                  <w:r>
                    <w:rPr>
                      <w:rFonts w:ascii="Calibri" w:hAnsi="Calibri"/>
                      <w:spacing w:val="-30"/>
                      <w:sz w:val="22"/>
                    </w:rPr>
                    <w:t> </w:t>
                  </w:r>
                  <w:r>
                    <w:rPr>
                      <w:i/>
                      <w:sz w:val="23"/>
                    </w:rPr>
                    <w:t>subject-matter-experts</w:t>
                  </w:r>
                  <w:r>
                    <w:rPr>
                      <w:i/>
                      <w:spacing w:val="-32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offering</w:t>
                  </w:r>
                  <w:r>
                    <w:rPr>
                      <w:i/>
                      <w:spacing w:val="-33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industrial</w:t>
                  </w:r>
                  <w:r>
                    <w:rPr>
                      <w:i/>
                      <w:spacing w:val="-33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&amp;</w:t>
                  </w:r>
                  <w:r>
                    <w:rPr>
                      <w:i/>
                      <w:spacing w:val="-32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engineering</w:t>
                  </w:r>
                  <w:r>
                    <w:rPr>
                      <w:i/>
                      <w:spacing w:val="-33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guidance </w:t>
                  </w:r>
                  <w:r>
                    <w:rPr>
                      <w:sz w:val="24"/>
                    </w:rPr>
                    <w:t>Product</w:t>
                  </w:r>
                  <w:r>
                    <w:rPr>
                      <w:spacing w:val="-1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variety</w:t>
                  </w:r>
                  <w:r>
                    <w:rPr>
                      <w:spacing w:val="-1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–</w:t>
                  </w:r>
                  <w:r>
                    <w:rPr>
                      <w:rFonts w:ascii="Calibri" w:hAnsi="Calibri"/>
                      <w:spacing w:val="-9"/>
                      <w:sz w:val="22"/>
                    </w:rPr>
                    <w:t> </w:t>
                  </w:r>
                  <w:r>
                    <w:rPr>
                      <w:rFonts w:ascii="Calibri" w:hAnsi="Calibri"/>
                      <w:i/>
                      <w:sz w:val="22"/>
                    </w:rPr>
                    <w:t>“</w:t>
                  </w:r>
                  <w:r>
                    <w:rPr>
                      <w:i/>
                      <w:sz w:val="23"/>
                    </w:rPr>
                    <w:t>one-stop</w:t>
                  </w:r>
                  <w:r>
                    <w:rPr>
                      <w:i/>
                      <w:spacing w:val="-13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shop”</w:t>
                  </w:r>
                  <w:r>
                    <w:rPr>
                      <w:i/>
                      <w:spacing w:val="-11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for</w:t>
                  </w:r>
                  <w:r>
                    <w:rPr>
                      <w:i/>
                      <w:spacing w:val="-11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FULL</w:t>
                  </w:r>
                  <w:r>
                    <w:rPr>
                      <w:i/>
                      <w:spacing w:val="-12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LINE</w:t>
                  </w:r>
                  <w:r>
                    <w:rPr>
                      <w:i/>
                      <w:spacing w:val="-13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of</w:t>
                  </w:r>
                  <w:r>
                    <w:rPr>
                      <w:i/>
                      <w:spacing w:val="-11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trusted</w:t>
                  </w:r>
                  <w:r>
                    <w:rPr>
                      <w:i/>
                      <w:spacing w:val="-11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manufacturers</w:t>
                  </w:r>
                  <w:r>
                    <w:rPr>
                      <w:i/>
                      <w:spacing w:val="-14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&amp;</w:t>
                  </w:r>
                  <w:r>
                    <w:rPr>
                      <w:i/>
                      <w:spacing w:val="-12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branded</w:t>
                  </w:r>
                  <w:r>
                    <w:rPr>
                      <w:i/>
                      <w:spacing w:val="-11"/>
                      <w:sz w:val="23"/>
                    </w:rPr>
                    <w:t> </w:t>
                  </w:r>
                  <w:r>
                    <w:rPr>
                      <w:i/>
                      <w:sz w:val="23"/>
                    </w:rPr>
                    <w:t>products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62.120972pt;width:329.2pt;height:16.850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b/>
                      <w:i/>
                      <w:sz w:val="25"/>
                    </w:rPr>
                  </w:pPr>
                  <w:r>
                    <w:rPr>
                      <w:b/>
                      <w:i/>
                      <w:color w:val="934605"/>
                      <w:sz w:val="25"/>
                    </w:rPr>
                    <w:t>Key</w:t>
                  </w:r>
                  <w:r>
                    <w:rPr>
                      <w:b/>
                      <w:i/>
                      <w:color w:val="934605"/>
                      <w:spacing w:val="-23"/>
                      <w:sz w:val="25"/>
                    </w:rPr>
                    <w:t> </w:t>
                  </w:r>
                  <w:r>
                    <w:rPr>
                      <w:b/>
                      <w:i/>
                      <w:color w:val="934605"/>
                      <w:spacing w:val="-3"/>
                      <w:sz w:val="25"/>
                    </w:rPr>
                    <w:t>Customers</w:t>
                  </w:r>
                  <w:r>
                    <w:rPr>
                      <w:b/>
                      <w:i/>
                      <w:color w:val="934605"/>
                      <w:spacing w:val="-22"/>
                      <w:sz w:val="25"/>
                    </w:rPr>
                    <w:t> </w:t>
                  </w:r>
                  <w:r>
                    <w:rPr>
                      <w:b/>
                      <w:i/>
                      <w:color w:val="934605"/>
                      <w:sz w:val="25"/>
                    </w:rPr>
                    <w:t>&amp;</w:t>
                  </w:r>
                  <w:r>
                    <w:rPr>
                      <w:b/>
                      <w:i/>
                      <w:color w:val="934605"/>
                      <w:spacing w:val="-23"/>
                      <w:sz w:val="25"/>
                    </w:rPr>
                    <w:t> </w:t>
                  </w:r>
                  <w:r>
                    <w:rPr>
                      <w:b/>
                      <w:i/>
                      <w:color w:val="934605"/>
                      <w:spacing w:val="-3"/>
                      <w:sz w:val="25"/>
                    </w:rPr>
                    <w:t>Collaborative</w:t>
                  </w:r>
                  <w:r>
                    <w:rPr>
                      <w:b/>
                      <w:i/>
                      <w:color w:val="934605"/>
                      <w:spacing w:val="-22"/>
                      <w:sz w:val="25"/>
                    </w:rPr>
                    <w:t> </w:t>
                  </w:r>
                  <w:r>
                    <w:rPr>
                      <w:b/>
                      <w:i/>
                      <w:color w:val="934605"/>
                      <w:spacing w:val="-3"/>
                      <w:sz w:val="25"/>
                    </w:rPr>
                    <w:t>Partners</w:t>
                  </w:r>
                  <w:r>
                    <w:rPr>
                      <w:b/>
                      <w:i/>
                      <w:color w:val="934605"/>
                      <w:spacing w:val="-23"/>
                      <w:sz w:val="25"/>
                    </w:rPr>
                    <w:t> </w:t>
                  </w:r>
                  <w:r>
                    <w:rPr>
                      <w:b/>
                      <w:i/>
                      <w:color w:val="934605"/>
                      <w:sz w:val="25"/>
                    </w:rPr>
                    <w:t>we</w:t>
                  </w:r>
                  <w:r>
                    <w:rPr>
                      <w:b/>
                      <w:i/>
                      <w:color w:val="934605"/>
                      <w:spacing w:val="-23"/>
                      <w:sz w:val="25"/>
                    </w:rPr>
                    <w:t> </w:t>
                  </w:r>
                  <w:r>
                    <w:rPr>
                      <w:b/>
                      <w:i/>
                      <w:color w:val="934605"/>
                      <w:sz w:val="25"/>
                    </w:rPr>
                    <w:t>specialize</w:t>
                  </w:r>
                  <w:r>
                    <w:rPr>
                      <w:b/>
                      <w:i/>
                      <w:color w:val="934605"/>
                      <w:spacing w:val="-23"/>
                      <w:sz w:val="25"/>
                    </w:rPr>
                    <w:t> </w:t>
                  </w:r>
                  <w:r>
                    <w:rPr>
                      <w:b/>
                      <w:i/>
                      <w:color w:val="934605"/>
                      <w:sz w:val="25"/>
                    </w:rPr>
                    <w:t>in</w:t>
                  </w:r>
                  <w:r>
                    <w:rPr>
                      <w:b/>
                      <w:i/>
                      <w:color w:val="934605"/>
                      <w:spacing w:val="-24"/>
                      <w:sz w:val="25"/>
                    </w:rPr>
                    <w:t> </w:t>
                  </w:r>
                  <w:r>
                    <w:rPr>
                      <w:b/>
                      <w:i/>
                      <w:color w:val="934605"/>
                      <w:sz w:val="25"/>
                    </w:rPr>
                    <w:t>serving: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87.565735pt;width:233.65pt;height:73.850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381" w:val="left" w:leader="none"/>
                    </w:tabs>
                    <w:spacing w:line="240" w:lineRule="auto" w:before="19" w:after="0"/>
                    <w:ind w:left="380" w:right="0" w:hanging="360"/>
                    <w:jc w:val="left"/>
                  </w:pPr>
                  <w:r>
                    <w:rPr/>
                    <w:t>Defense Logistics Agency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(DLA)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381" w:val="left" w:leader="none"/>
                    </w:tabs>
                    <w:spacing w:line="240" w:lineRule="auto" w:before="20" w:after="0"/>
                    <w:ind w:left="380" w:right="0" w:hanging="360"/>
                    <w:jc w:val="left"/>
                  </w:pPr>
                  <w:r>
                    <w:rPr/>
                    <w:t>United States Air Force, Nellis AF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Base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381" w:val="left" w:leader="none"/>
                    </w:tabs>
                    <w:spacing w:line="240" w:lineRule="auto" w:before="20" w:after="0"/>
                    <w:ind w:left="380" w:right="0" w:hanging="360"/>
                    <w:jc w:val="left"/>
                  </w:pPr>
                  <w:r>
                    <w:rPr/>
                    <w:t>National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Aeronautics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&amp;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Space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Administration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(NASA)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381" w:val="left" w:leader="none"/>
                    </w:tabs>
                    <w:spacing w:line="240" w:lineRule="auto" w:before="19" w:after="0"/>
                    <w:ind w:left="380" w:right="0" w:hanging="360"/>
                    <w:jc w:val="left"/>
                  </w:pPr>
                  <w:r>
                    <w:rPr>
                      <w:w w:val="95"/>
                    </w:rPr>
                    <w:t>Harris County Sheriff’s Department &amp; Harris County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Jail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381" w:val="left" w:leader="none"/>
                    </w:tabs>
                    <w:spacing w:line="240" w:lineRule="auto" w:before="20" w:after="0"/>
                    <w:ind w:left="380" w:right="0" w:hanging="360"/>
                    <w:jc w:val="left"/>
                  </w:pPr>
                  <w:r>
                    <w:rPr/>
                    <w:t>Houston Reliant Power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Agency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381" w:val="left" w:leader="none"/>
                    </w:tabs>
                    <w:spacing w:line="240" w:lineRule="auto" w:before="22" w:after="0"/>
                    <w:ind w:left="380" w:right="0" w:hanging="360"/>
                    <w:jc w:val="left"/>
                  </w:pPr>
                  <w:r>
                    <w:rPr/>
                    <w:t>Cities of Dickenson &amp; League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029999pt;margin-top:587.925720pt;width:223.3pt;height:73.850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/>
                    <w:ind w:right="-11"/>
                  </w:pPr>
                  <w:r>
                    <w:rPr>
                      <w:w w:val="95"/>
                    </w:rPr>
                    <w:t>Harris County &amp; Clear Creek Independent School Districts </w:t>
                  </w:r>
                  <w:r>
                    <w:rPr/>
                    <w:t>Counties of Harris &amp; Montgomery</w:t>
                  </w:r>
                </w:p>
                <w:p>
                  <w:pPr>
                    <w:pStyle w:val="BodyText"/>
                    <w:spacing w:line="264" w:lineRule="auto" w:before="0"/>
                    <w:ind w:right="1672"/>
                  </w:pPr>
                  <w:r>
                    <w:rPr>
                      <w:w w:val="95"/>
                    </w:rPr>
                    <w:t>M.D. Anderson &amp; St. Johns Hospitals Galveston Casino &amp; Moody Gardens</w:t>
                  </w:r>
                </w:p>
                <w:p>
                  <w:pPr>
                    <w:pStyle w:val="BodyText"/>
                    <w:spacing w:line="261" w:lineRule="auto" w:before="0"/>
                    <w:ind w:right="-11"/>
                  </w:pPr>
                  <w:r>
                    <w:rPr>
                      <w:w w:val="95"/>
                    </w:rPr>
                    <w:t>General Contractors (GC): Black, Turner James Day </w:t>
                  </w:r>
                  <w:r>
                    <w:rPr/>
                    <w:t>Johnson Controls, FluidlDs, LLC &amp; Calpull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029999pt;margin-top:588.849670pt;width:9.15pt;height:72.75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</w:t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</w:t>
                  </w:r>
                </w:p>
                <w:p>
                  <w:pPr>
                    <w:spacing w:before="43"/>
                    <w:ind w:left="20" w:right="0" w:firstLine="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</w:t>
                  </w:r>
                </w:p>
                <w:p>
                  <w:pPr>
                    <w:spacing w:before="45"/>
                    <w:ind w:left="20" w:right="0" w:firstLine="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</w:t>
                  </w:r>
                </w:p>
                <w:p>
                  <w:pPr>
                    <w:spacing w:before="43"/>
                    <w:ind w:left="20" w:right="0" w:firstLine="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</w:t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rFonts w:ascii="Wingdings" w:hAnsi="Wingdings"/>
                      <w:sz w:val="18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71.440979pt;width:218.6pt;height:16.850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b/>
                      <w:i/>
                      <w:sz w:val="25"/>
                    </w:rPr>
                  </w:pPr>
                  <w:r>
                    <w:rPr>
                      <w:b/>
                      <w:i/>
                      <w:color w:val="934605"/>
                      <w:spacing w:val="-2"/>
                      <w:sz w:val="25"/>
                    </w:rPr>
                    <w:t>Sample</w:t>
                  </w:r>
                  <w:r>
                    <w:rPr>
                      <w:b/>
                      <w:i/>
                      <w:color w:val="934605"/>
                      <w:spacing w:val="-22"/>
                      <w:sz w:val="25"/>
                    </w:rPr>
                    <w:t> </w:t>
                  </w:r>
                  <w:r>
                    <w:rPr>
                      <w:b/>
                      <w:i/>
                      <w:color w:val="934605"/>
                      <w:spacing w:val="-3"/>
                      <w:sz w:val="25"/>
                    </w:rPr>
                    <w:t>Partial</w:t>
                  </w:r>
                  <w:r>
                    <w:rPr>
                      <w:b/>
                      <w:i/>
                      <w:color w:val="934605"/>
                      <w:spacing w:val="-23"/>
                      <w:sz w:val="25"/>
                    </w:rPr>
                    <w:t> </w:t>
                  </w:r>
                  <w:r>
                    <w:rPr>
                      <w:b/>
                      <w:i/>
                      <w:color w:val="934605"/>
                      <w:spacing w:val="-3"/>
                      <w:sz w:val="25"/>
                    </w:rPr>
                    <w:t>Manufacturing</w:t>
                  </w:r>
                  <w:r>
                    <w:rPr>
                      <w:b/>
                      <w:i/>
                      <w:color w:val="934605"/>
                      <w:spacing w:val="-21"/>
                      <w:sz w:val="25"/>
                    </w:rPr>
                    <w:t> </w:t>
                  </w:r>
                  <w:r>
                    <w:rPr>
                      <w:b/>
                      <w:i/>
                      <w:color w:val="934605"/>
                      <w:spacing w:val="-3"/>
                      <w:sz w:val="25"/>
                    </w:rPr>
                    <w:t>Product</w:t>
                  </w:r>
                  <w:r>
                    <w:rPr>
                      <w:b/>
                      <w:i/>
                      <w:color w:val="934605"/>
                      <w:spacing w:val="-22"/>
                      <w:sz w:val="25"/>
                    </w:rPr>
                    <w:t> </w:t>
                  </w:r>
                  <w:r>
                    <w:rPr>
                      <w:b/>
                      <w:i/>
                      <w:color w:val="934605"/>
                      <w:sz w:val="25"/>
                    </w:rPr>
                    <w:t>List: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.040001pt;margin-top:688.841736pt;width:103.95pt;height:74.150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/>
                    <w:ind w:right="-5"/>
                  </w:pPr>
                  <w:r>
                    <w:rPr>
                      <w:w w:val="95"/>
                    </w:rPr>
                    <w:t>Motor Control Centers </w:t>
                  </w:r>
                  <w:r>
                    <w:rPr/>
                    <w:t>Conduit</w:t>
                  </w:r>
                </w:p>
                <w:p>
                  <w:pPr>
                    <w:pStyle w:val="BodyText"/>
                    <w:spacing w:line="273" w:lineRule="auto" w:before="0"/>
                    <w:ind w:right="-5"/>
                  </w:pPr>
                  <w:r>
                    <w:rPr/>
                    <w:t>Circuit Breakers Explosion Proof Fittings Disconnect Switches </w:t>
                  </w:r>
                  <w:r>
                    <w:rPr>
                      <w:w w:val="95"/>
                    </w:rPr>
                    <w:t>Variable Frequency Drives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410004pt;margin-top:688.841736pt;width:87.8pt;height:74.150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spacing w:line="256" w:lineRule="auto"/>
                    <w:ind w:right="434"/>
                  </w:pPr>
                  <w:r>
                    <w:rPr/>
                    <w:t>Switchgear Panel Boards Building Wire </w:t>
                  </w:r>
                  <w:r>
                    <w:rPr>
                      <w:w w:val="95"/>
                    </w:rPr>
                    <w:t>Telephone Cable</w:t>
                  </w:r>
                </w:p>
                <w:p>
                  <w:pPr>
                    <w:pStyle w:val="BodyText"/>
                    <w:spacing w:line="273" w:lineRule="auto" w:before="12"/>
                    <w:ind w:right="-5"/>
                  </w:pPr>
                  <w:r>
                    <w:rPr>
                      <w:w w:val="95"/>
                    </w:rPr>
                    <w:t>Medium Voltage Cable Copper Building Wire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429993pt;margin-top:688.841736pt;width:119.25pt;height:74.150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spacing w:line="256" w:lineRule="auto"/>
                    <w:ind w:right="725"/>
                  </w:pPr>
                  <w:r>
                    <w:rPr/>
                    <w:t>Wiring Devices </w:t>
                  </w:r>
                  <w:r>
                    <w:rPr>
                      <w:w w:val="95"/>
                    </w:rPr>
                    <w:t>Lighting </w:t>
                  </w:r>
                  <w:r>
                    <w:rPr>
                      <w:spacing w:val="-3"/>
                      <w:w w:val="95"/>
                    </w:rPr>
                    <w:t>Fixtures </w:t>
                  </w:r>
                  <w:r>
                    <w:rPr/>
                    <w:t>Transformers Lamps</w:t>
                  </w:r>
                </w:p>
                <w:p>
                  <w:pPr>
                    <w:pStyle w:val="BodyText"/>
                    <w:spacing w:before="12"/>
                  </w:pPr>
                  <w:r>
                    <w:rPr/>
                    <w:t>Relays</w:t>
                  </w:r>
                </w:p>
                <w:p>
                  <w:pPr>
                    <w:pStyle w:val="BodyText"/>
                    <w:spacing w:before="32"/>
                  </w:pPr>
                  <w:r>
                    <w:rPr>
                      <w:w w:val="95"/>
                    </w:rPr>
                    <w:t>Uninterrupted Power Supplies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459991pt;margin-top:688.841736pt;width:44.1pt;height:74.150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spacing w:line="264" w:lineRule="auto"/>
                    <w:ind w:right="-5"/>
                  </w:pPr>
                  <w:r>
                    <w:rPr/>
                    <w:t>Starters Wiremold Tools Meters Vaults </w:t>
                  </w:r>
                  <w:r>
                    <w:rPr>
                      <w:w w:val="95"/>
                    </w:rPr>
                    <w:t>Enclosures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799999pt;margin-top:418.769989pt;width:523pt;height:128.5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tabs>
                      <w:tab w:pos="5705" w:val="left" w:leader="none"/>
                    </w:tabs>
                    <w:spacing w:before="198"/>
                    <w:ind w:left="143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CAGE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Code: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3MT79</w:t>
                    <w:tab/>
                  </w:r>
                  <w:r>
                    <w:rPr>
                      <w:b/>
                      <w:sz w:val="24"/>
                    </w:rPr>
                    <w:t>DUNS </w:t>
                  </w:r>
                  <w:r>
                    <w:rPr>
                      <w:b/>
                      <w:spacing w:val="-3"/>
                      <w:sz w:val="24"/>
                    </w:rPr>
                    <w:t>Number: 012345678</w:t>
                  </w: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i w:val="0"/>
                      <w:sz w:val="22"/>
                    </w:rPr>
                  </w:pPr>
                </w:p>
                <w:p>
                  <w:pPr>
                    <w:spacing w:line="290" w:lineRule="exact" w:before="0"/>
                    <w:ind w:left="88" w:right="0" w:firstLine="0"/>
                    <w:jc w:val="left"/>
                    <w:rPr>
                      <w:b/>
                      <w:i/>
                      <w:sz w:val="25"/>
                    </w:rPr>
                  </w:pPr>
                  <w:r>
                    <w:rPr>
                      <w:b/>
                      <w:i/>
                      <w:color w:val="934605"/>
                      <w:sz w:val="25"/>
                    </w:rPr>
                    <w:t>Primary NAICS Code – Merchant Wholesalers:</w:t>
                  </w:r>
                </w:p>
                <w:p>
                  <w:pPr>
                    <w:spacing w:line="266" w:lineRule="exact" w:before="0"/>
                    <w:ind w:left="1384" w:right="0" w:firstLine="0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orbel" w:hAnsi="Corbel"/>
                      <w:sz w:val="22"/>
                    </w:rPr>
                    <w:t>423610 </w:t>
                  </w:r>
                  <w:r>
                    <w:rPr>
                      <w:rFonts w:ascii="Corbel" w:hAnsi="Corbel"/>
                      <w:sz w:val="20"/>
                    </w:rPr>
                    <w:t>– </w:t>
                  </w:r>
                  <w:r>
                    <w:rPr>
                      <w:rFonts w:ascii="Calibri" w:hAnsi="Calibri"/>
                      <w:sz w:val="20"/>
                    </w:rPr>
                    <w:t>Electrical Apparatus &amp; Equipment, Wiring Supplies, and Related Equipment Merchant Wholesalers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i w:val="0"/>
                      <w:sz w:val="22"/>
                    </w:rPr>
                  </w:pPr>
                </w:p>
                <w:p>
                  <w:pPr>
                    <w:spacing w:line="290" w:lineRule="exact" w:before="0"/>
                    <w:ind w:left="116" w:right="0" w:firstLine="0"/>
                    <w:jc w:val="left"/>
                    <w:rPr>
                      <w:b/>
                      <w:i/>
                      <w:sz w:val="25"/>
                    </w:rPr>
                  </w:pPr>
                  <w:r>
                    <w:rPr>
                      <w:b/>
                      <w:i/>
                      <w:color w:val="934605"/>
                      <w:sz w:val="25"/>
                    </w:rPr>
                    <w:t>Secondary NAICS Codes – Product Manufacturing (Federal Procurements):</w:t>
                  </w:r>
                </w:p>
                <w:p>
                  <w:pPr>
                    <w:spacing w:line="266" w:lineRule="exact" w:before="0"/>
                    <w:ind w:left="1384" w:right="0" w:firstLine="0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orbel" w:hAnsi="Corbel"/>
                      <w:sz w:val="22"/>
                    </w:rPr>
                    <w:t>334 </w:t>
                  </w:r>
                  <w:r>
                    <w:rPr>
                      <w:rFonts w:ascii="Calibri" w:hAnsi="Calibri"/>
                      <w:sz w:val="20"/>
                    </w:rPr>
                    <w:t>– Product/ Component Manufacturing</w:t>
                  </w:r>
                </w:p>
                <w:p>
                  <w:pPr>
                    <w:spacing w:before="0"/>
                    <w:ind w:left="1384" w:right="0" w:firstLine="0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orbel" w:hAnsi="Corbel"/>
                      <w:sz w:val="22"/>
                    </w:rPr>
                    <w:t>335 </w:t>
                  </w:r>
                  <w:r>
                    <w:rPr>
                      <w:rFonts w:ascii="Calibri" w:hAnsi="Calibri"/>
                      <w:sz w:val="20"/>
                    </w:rPr>
                    <w:t>– Electrical Equipment, Appliance, and Component Manufacturing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892075pt;margin-top:46.47998pt;width:10.050pt;height:12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440" w:bottom="0" w:left="6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orbel">
    <w:altName w:val="Corbe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380" w:hanging="361"/>
      </w:pPr>
      <w:rPr>
        <w:rFonts w:hint="default" w:ascii="Wingdings" w:hAnsi="Wingdings" w:eastAsia="Wingdings" w:cs="Wingdings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09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38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667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97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26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955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385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 Math" w:hAnsi="Cambria Math" w:eastAsia="Cambria Math" w:cs="Cambria Math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9"/>
      <w:ind w:left="20"/>
    </w:pPr>
    <w:rPr>
      <w:rFonts w:ascii="Cambria Math" w:hAnsi="Cambria Math" w:eastAsia="Cambria Math" w:cs="Cambria Math"/>
      <w:i/>
      <w:sz w:val="19"/>
      <w:szCs w:val="19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://www.globalalliance.com/" TargetMode="External" Type="http://schemas.openxmlformats.org/officeDocument/2006/relationships/hyperlink"/>
<Relationship Id="rId11" Target="mailto:jward@globalalliance.com" TargetMode="External" Type="http://schemas.openxmlformats.org/officeDocument/2006/relationships/hyperlink"/>
<Relationship Id="rId12" Target="numbering.xml" Type="http://schemas.openxmlformats.org/officeDocument/2006/relationships/numbering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