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0pt;margin-top:-.000017pt;width:595.3pt;height:841.9pt;mso-position-horizontal-relative:page;mso-position-vertical-relative:page;z-index:-5752" filled="true" fillcolor="#daedf3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429727">
            <wp:simplePos x="0" y="0"/>
            <wp:positionH relativeFrom="page">
              <wp:posOffset>26036</wp:posOffset>
            </wp:positionH>
            <wp:positionV relativeFrom="page">
              <wp:posOffset>9623076</wp:posOffset>
            </wp:positionV>
            <wp:extent cx="7534527" cy="950434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527" cy="950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30.700180pt;width:466.1pt;height:138.7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spacing w:before="5"/>
                    <w:ind w:left="2178" w:right="0" w:firstLine="0"/>
                    <w:jc w:val="left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CAPABILITY STATEMENT</w:t>
                  </w:r>
                </w:p>
                <w:p>
                  <w:pPr>
                    <w:spacing w:before="275"/>
                    <w:ind w:left="992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Innovative Engineering and Project Management Solutions</w:t>
                  </w:r>
                </w:p>
                <w:p>
                  <w:pPr>
                    <w:spacing w:before="247"/>
                    <w:ind w:left="2835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Any industry! No job is too small!</w:t>
                  </w:r>
                </w:p>
                <w:p>
                  <w:pPr>
                    <w:spacing w:before="248"/>
                    <w:ind w:left="20" w:right="-2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Downstream Consulting </w:t>
                  </w:r>
                  <w:r>
                    <w:rPr>
                      <w:sz w:val="24"/>
                    </w:rPr>
                    <w:t>is a group of multidisciplinary, consulting engineers providing engineering and technical services with a strong focus on safety, sustainability and innovation.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81.706696pt;width:486.35pt;height:29.25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spacing w:before="12"/>
                    <w:ind w:left="20" w:right="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Our Principals and Associates have extensive experience across all engineering disciplines with combined experience of over hundred years.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23.346710pt;width:482.7pt;height:29.25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spacing w:before="12"/>
                    <w:ind w:left="20" w:right="-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We bring in combined local and global knowledge for the benefit of Australian industries as per the local conditions and Australian industry regulations. </w:t>
                  </w:r>
                  <w:r>
                    <w:rPr>
                      <w:b/>
                      <w:sz w:val="24"/>
                    </w:rPr>
                    <w:t>We put clients first.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69.035065pt;width:486.2pt;height:96.35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6FC0"/>
                      <w:sz w:val="36"/>
                    </w:rPr>
                    <w:t>Services</w:t>
                  </w:r>
                </w:p>
                <w:p>
                  <w:pPr>
                    <w:spacing w:before="282"/>
                    <w:ind w:left="20" w:right="17" w:firstLine="0"/>
                    <w:jc w:val="both"/>
                    <w:rPr>
                      <w:sz w:val="22"/>
                    </w:rPr>
                  </w:pPr>
                  <w:r>
                    <w:rPr>
                      <w:sz w:val="24"/>
                    </w:rPr>
                    <w:t>We provide engineering consultancy and execute project and engineering management for small to medium projects. </w:t>
                  </w:r>
                  <w:r>
                    <w:rPr>
                      <w:sz w:val="22"/>
                    </w:rPr>
                    <w:t>Downstream Consulting will build an appropriate engineering capability for your technical requirements.</w:t>
                  </w:r>
                </w:p>
                <w:p>
                  <w:pPr>
                    <w:spacing w:before="122"/>
                    <w:ind w:left="20" w:right="0" w:firstLine="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We </w:t>
                  </w:r>
                  <w:r>
                    <w:rPr>
                      <w:sz w:val="24"/>
                    </w:rPr>
                    <w:t>provide </w:t>
                  </w:r>
                  <w:r>
                    <w:rPr>
                      <w:sz w:val="22"/>
                    </w:rPr>
                    <w:t>following services: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77.595764pt;width:179.2pt;height:14.35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06FC0"/>
                      <w:sz w:val="22"/>
                    </w:rPr>
                    <w:t>Engineering, Design and 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04.355774pt;width:94.35pt;height:14.35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Civil and Structural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89993pt;margin-top:504.355774pt;width:305.4pt;height:65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ind w:right="2"/>
                  </w:pPr>
                  <w:r>
                    <w:rPr/>
                    <w:t>Design of foundations and buildings (industrial and residential) Earthworks and structural design</w:t>
                  </w:r>
                </w:p>
                <w:p>
                  <w:pPr>
                    <w:pStyle w:val="BodyText"/>
                    <w:spacing w:before="1"/>
                    <w:ind w:right="3170"/>
                  </w:pPr>
                  <w:r>
                    <w:rPr/>
                    <w:t>Analysis of existing structures 3D model development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Peer review (all disciplines)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80.315735pt;width:112.65pt;height:14.35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Mechanical and Piping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89993pt;margin-top:580.315735pt;width:205.75pt;height:64.9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ind w:right="10"/>
                  </w:pPr>
                  <w:r>
                    <w:rPr/>
                    <w:t>Mechanical, piping and pump calculations Plant design 2D and 3D Analysis Pressure vessels</w:t>
                  </w:r>
                </w:p>
                <w:p>
                  <w:pPr>
                    <w:pStyle w:val="BodyText"/>
                    <w:spacing w:before="0"/>
                    <w:ind w:right="2167"/>
                  </w:pPr>
                  <w:r>
                    <w:rPr/>
                    <w:t>Materials handling Rotating equipment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56.185791pt;width:170.2pt;height:14.3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Electrical, Instruments and Control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89993pt;margin-top:656.185791pt;width:248.95pt;height:39.7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ind w:right="891"/>
                  </w:pPr>
                  <w:r>
                    <w:rPr/>
                    <w:t>Electrical equipment design and selection Power reticulation and distribution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Substation, switchboards and switch-rooms 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06.825745pt;width:127.9pt;height:14.3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Process and Metallurgical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89993pt;margin-top:706.825745pt;width:256.9pt;height:26.95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/>
                  </w:pPr>
                  <w:r>
                    <w:rPr/>
                    <w:t>Process flow sheet development</w:t>
                  </w:r>
                </w:p>
                <w:p>
                  <w:pPr>
                    <w:pStyle w:val="BodyText"/>
                    <w:spacing w:line="252" w:lineRule="exact" w:before="0"/>
                  </w:pPr>
                  <w:r>
                    <w:rPr/>
                    <w:t>Metallurgical test work development and supervision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580" w:bottom="0" w:left="580" w:right="128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0pt;margin-top:.000025pt;width:595.3pt;height:841.9pt;mso-position-horizontal-relative:page;mso-position-vertical-relative:page;z-index:-5392" filled="true" fillcolor="#daedf3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430087">
            <wp:simplePos x="0" y="0"/>
            <wp:positionH relativeFrom="page">
              <wp:posOffset>26036</wp:posOffset>
            </wp:positionH>
            <wp:positionV relativeFrom="page">
              <wp:posOffset>449643</wp:posOffset>
            </wp:positionV>
            <wp:extent cx="7466838" cy="1043749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838" cy="1043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111">
            <wp:simplePos x="0" y="0"/>
            <wp:positionH relativeFrom="page">
              <wp:posOffset>26036</wp:posOffset>
            </wp:positionH>
            <wp:positionV relativeFrom="page">
              <wp:posOffset>9623076</wp:posOffset>
            </wp:positionV>
            <wp:extent cx="7534527" cy="950433"/>
            <wp:effectExtent l="0" t="0" r="0" b="0"/>
            <wp:wrapNone/>
            <wp:docPr id="5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527" cy="950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2.289993pt;margin-top:130.265762pt;width:77.350pt;height:14.35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Process 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6.665771pt;width:69.25pt;height:14.35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06FC0"/>
                      <w:sz w:val="22"/>
                    </w:rPr>
                    <w:t>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3.545761pt;width:103.55pt;height:14.35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Project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89993pt;margin-top:183.545761pt;width:226.3pt;height:128.25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/>
                  </w:pPr>
                  <w:r>
                    <w:rPr/>
                    <w:t>Study and Project management</w:t>
                  </w:r>
                </w:p>
                <w:p>
                  <w:pPr>
                    <w:pStyle w:val="BodyText"/>
                    <w:spacing w:before="0"/>
                    <w:ind w:right="-2"/>
                  </w:pPr>
                  <w:r>
                    <w:rPr/>
                    <w:t>Project cost estimate development and review Project reviews and due diligence</w:t>
                  </w:r>
                </w:p>
                <w:p>
                  <w:pPr>
                    <w:pStyle w:val="BodyText"/>
                    <w:spacing w:before="0"/>
                    <w:ind w:right="1587"/>
                  </w:pPr>
                  <w:r>
                    <w:rPr/>
                    <w:t>Risk and quality management Contract management</w:t>
                  </w:r>
                </w:p>
                <w:p>
                  <w:pPr>
                    <w:pStyle w:val="BodyText"/>
                    <w:spacing w:before="1"/>
                    <w:ind w:right="1636"/>
                  </w:pPr>
                  <w:r>
                    <w:rPr/>
                    <w:t>PMC or Owner’s engineering Commissioning management Operational readiness Construction management Project economic evaluation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22.655762pt;width:80.3pt;height:14.3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Project Controls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89993pt;margin-top:322.655762pt;width:161.050pt;height:65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ind w:right="783"/>
                  </w:pPr>
                  <w:r>
                    <w:rPr/>
                    <w:t>Cost management Planning and scheduling Change management Project reporting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Quality management and control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98.615753pt;width:109.6pt;height:14.35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Improvement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89993pt;margin-top:398.615753pt;width:284.650pt;height:39.7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/>
                  </w:pPr>
                  <w:r>
                    <w:rPr/>
                    <w:t>Business process improvements</w:t>
                  </w:r>
                </w:p>
                <w:p>
                  <w:pPr>
                    <w:pStyle w:val="BodyText"/>
                    <w:spacing w:before="0"/>
                    <w:ind w:right="3"/>
                  </w:pPr>
                  <w:r>
                    <w:rPr/>
                    <w:t>Develop and implement business management processes Database development and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54.615051pt;width:72.9pt;height:22.15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6FC0"/>
                      <w:sz w:val="36"/>
                    </w:rPr>
                    <w:t>Benefits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8.848114pt;width:7.25pt;height:44.2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spacing w:line="281" w:lineRule="exact" w:before="20"/>
                    <w:ind w:left="20" w:right="0" w:firstLine="0"/>
                    <w:jc w:val="lef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0"/>
                      <w:sz w:val="23"/>
                    </w:rPr>
                    <w:t></w:t>
                  </w:r>
                </w:p>
                <w:p>
                  <w:pPr>
                    <w:spacing w:line="281" w:lineRule="exact" w:before="0"/>
                    <w:ind w:left="20" w:right="0" w:firstLine="0"/>
                    <w:jc w:val="lef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0"/>
                      <w:sz w:val="23"/>
                    </w:rPr>
                    <w:t></w:t>
                  </w:r>
                </w:p>
                <w:p>
                  <w:pPr>
                    <w:spacing w:line="281" w:lineRule="exact" w:before="0"/>
                    <w:ind w:left="20" w:right="0" w:firstLine="0"/>
                    <w:jc w:val="lef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0"/>
                      <w:sz w:val="23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03999pt;margin-top:490.001221pt;width:415.55pt;height:97.35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spacing w:line="254" w:lineRule="auto" w:before="13"/>
                    <w:ind w:left="20" w:right="79" w:firstLine="0"/>
                    <w:jc w:val="both"/>
                    <w:rPr>
                      <w:sz w:val="23"/>
                    </w:rPr>
                  </w:pPr>
                  <w:r>
                    <w:rPr>
                      <w:sz w:val="23"/>
                    </w:rPr>
                    <w:t>Maximise value for your money through efficient engineering and project delivery Quick response time</w:t>
                  </w:r>
                </w:p>
                <w:p>
                  <w:pPr>
                    <w:spacing w:before="0"/>
                    <w:ind w:left="20" w:right="17" w:firstLine="0"/>
                    <w:jc w:val="both"/>
                    <w:rPr>
                      <w:sz w:val="23"/>
                    </w:rPr>
                  </w:pPr>
                  <w:r>
                    <w:rPr>
                      <w:sz w:val="23"/>
                    </w:rPr>
                    <w:t>Optimally engineered and clearly defined options, costing and suggestions making investment decisions on new engineering projects, expansions modifications of existing installations</w:t>
                  </w:r>
                </w:p>
                <w:p>
                  <w:pPr>
                    <w:spacing w:before="16"/>
                    <w:ind w:left="20" w:right="0" w:firstLine="0"/>
                    <w:jc w:val="both"/>
                    <w:rPr>
                      <w:sz w:val="23"/>
                    </w:rPr>
                  </w:pPr>
                  <w:r>
                    <w:rPr>
                      <w:sz w:val="23"/>
                    </w:rPr>
                    <w:t>No surprises – predictable project outcomes</w:t>
                  </w:r>
                </w:p>
                <w:p>
                  <w:pPr>
                    <w:spacing w:before="14"/>
                    <w:ind w:left="20" w:right="0" w:firstLine="0"/>
                    <w:jc w:val="both"/>
                    <w:rPr>
                      <w:sz w:val="23"/>
                    </w:rPr>
                  </w:pPr>
                  <w:r>
                    <w:rPr>
                      <w:sz w:val="23"/>
                    </w:rPr>
                    <w:t>Smooth interface and minimum disruption with your existing operations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041534pt;margin-top:518.081238pt;width:15.5pt;height:28.1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spacing w:before="13"/>
                    <w:ind w:left="81" w:right="2" w:hanging="62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for 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57.368103pt;width:7.25pt;height:30.05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spacing w:line="280" w:lineRule="exact" w:before="20"/>
                    <w:ind w:left="20" w:right="0" w:firstLine="0"/>
                    <w:jc w:val="lef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0"/>
                      <w:sz w:val="23"/>
                    </w:rPr>
                    <w:t></w:t>
                  </w:r>
                </w:p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0"/>
                      <w:sz w:val="23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10.19574pt;width:453.3pt;height:29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/>
                    <w:ind w:right="1"/>
                  </w:pPr>
                  <w:r>
                    <w:rPr/>
                    <w:t>We will hand-pick multi-tasking individuals or develop small engineering and project teams to produce innovative, cost effective solutions for your technical requirements.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49.345764pt;width:400.75pt;height:14.35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Contact us to develop your scope of services and estimate to execute the work at: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73.94574pt;width:68.05pt;height:14.35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John Ganser: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259995pt;margin-top:673.94574pt;width:101.45pt;height:14.35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+61 (0) 417 971 681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850006pt;margin-top:673.94574pt;width:230.95pt;height:14.35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Email: </w:t>
                  </w:r>
                  <w:hyperlink r:id="rId7">
                    <w:r>
                      <w:rPr>
                        <w:color w:val="0000FF"/>
                        <w:u w:val="single" w:color="0000FF"/>
                      </w:rPr>
                      <w:t>contact@downstreamconsulting.com.au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98.425781pt;width:60.7pt;height:14.35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Jigar Sheth: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259995pt;margin-top:698.425781pt;width:101.45pt;height:14.35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+61 (0) 403 413 889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850006pt;margin-top:698.425781pt;width:27.7pt;height:14.35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Web: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90015pt;margin-top:698.425781pt;width:177.4pt;height:14.35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8">
                    <w:r>
                      <w:rPr>
                        <w:color w:val="0000FF"/>
                        <w:u w:val="single" w:color="0000FF"/>
                      </w:rPr>
                      <w:t>www.downstreamconsulting.com.au</w:t>
                    </w:r>
                  </w:hyperlink>
                </w:p>
              </w:txbxContent>
            </v:textbox>
            <w10:wrap type="none"/>
          </v:shape>
        </w:pict>
      </w:r>
    </w:p>
    <w:sectPr>
      <w:pgSz w:w="11910" w:h="16840"/>
      <w:pgMar w:top="680" w:bottom="0" w:left="5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au" w:eastAsia="en-au" w:bidi="en-au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" w:hAnsi="Arial" w:eastAsia="Arial" w:cs="Arial"/>
      <w:sz w:val="22"/>
      <w:szCs w:val="22"/>
      <w:lang w:val="en-au" w:eastAsia="en-au" w:bidi="en-au"/>
    </w:rPr>
  </w:style>
  <w:style w:styleId="ListParagraph" w:type="paragraph">
    <w:name w:val="List Paragraph"/>
    <w:basedOn w:val="Normal"/>
    <w:uiPriority w:val="1"/>
    <w:qFormat/>
    <w:pPr/>
    <w:rPr>
      <w:lang w:val="en-au" w:eastAsia="en-au" w:bidi="en-au"/>
    </w:rPr>
  </w:style>
  <w:style w:styleId="TableParagraph" w:type="paragraph">
    <w:name w:val="Table Paragraph"/>
    <w:basedOn w:val="Normal"/>
    <w:uiPriority w:val="1"/>
    <w:qFormat/>
    <w:pPr/>
    <w:rPr>
      <w:lang w:val="en-au" w:eastAsia="en-au" w:bidi="en-au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ailto:contact@downstreamconsulting.com.au" TargetMode="External" Type="http://schemas.openxmlformats.org/officeDocument/2006/relationships/hyperlink"/>
<Relationship Id="rId8" Target="http://www.downstreamconsulting.com.au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