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528" from="59.040001pt,130.199997pt" to="560.160001pt,130.199997pt" stroked="true" strokeweight=".48pt" strokecolor="#595958">
            <v:stroke dashstyle="solid"/>
            <w10:wrap type="none"/>
          </v:line>
        </w:pict>
      </w:r>
      <w:r>
        <w:rPr/>
        <w:pict>
          <v:shape style="position:absolute;margin-left:59.040001pt;margin-top:229.559998pt;width:501.15pt;height:.1pt;mso-position-horizontal-relative:page;mso-position-vertical-relative:page;z-index:-7504" coordorigin="1181,4591" coordsize="10023,0" path="m1181,4591l6182,4591m6211,4591l11203,4591e" filled="false" stroked="true" strokeweight=".48pt" strokecolor="#595958">
            <v:path arrowok="t"/>
            <v:stroke dashstyle="solid"/>
            <w10:wrap type="none"/>
          </v:shape>
        </w:pict>
      </w:r>
      <w:r>
        <w:rPr/>
        <w:pict>
          <v:shape style="position:absolute;margin-left:59.040001pt;margin-top:421.079987pt;width:501.15pt;height:.1pt;mso-position-horizontal-relative:page;mso-position-vertical-relative:page;z-index:-7480" coordorigin="1181,8422" coordsize="10023,0" path="m1181,8422l6182,8422m6211,8422l11203,8422e" filled="false" stroked="true" strokeweight=".48pt" strokecolor="#595958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7456" from="310.559998pt,592.799988pt" to="560.159998pt,592.799988pt" stroked="true" strokeweight=".48pt" strokecolor="#59595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432" from="59.040001pt,711.599976pt" to="560.160001pt,711.599976pt" stroked="true" strokeweight=".48pt" strokecolor="#595958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268428047">
            <wp:simplePos x="0" y="0"/>
            <wp:positionH relativeFrom="page">
              <wp:posOffset>928116</wp:posOffset>
            </wp:positionH>
            <wp:positionV relativeFrom="page">
              <wp:posOffset>7472567</wp:posOffset>
            </wp:positionV>
            <wp:extent cx="2808494" cy="962377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8494" cy="962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959999pt;margin-top:24.959999pt;width:563.050pt;height:743.05pt;mso-position-horizontal-relative:page;mso-position-vertical-relative:page;z-index:-7384" coordorigin="499,499" coordsize="11261,14861">
            <v:rect style="position:absolute;left:499;top:499;width:20;height:20" filled="true" fillcolor="#14415c" stroked="false">
              <v:fill type="solid"/>
            </v:rect>
            <v:line style="position:absolute" from="518,509" to="11722,509" stroked="true" strokeweight=".96pt" strokecolor="#14415c">
              <v:stroke dashstyle="solid"/>
            </v:line>
            <v:rect style="position:absolute;left:11721;top:499;width:20;height:20" filled="true" fillcolor="#14415c" stroked="false">
              <v:fill type="solid"/>
            </v:rect>
            <v:line style="position:absolute" from="509,518" to="509,15341" stroked="true" strokeweight=".96pt" strokecolor="#14415c">
              <v:stroke dashstyle="solid"/>
            </v:line>
            <v:line style="position:absolute" from="11750,518" to="11750,15360" stroked="true" strokeweight=".959pt" strokecolor="#000000">
              <v:stroke dashstyle="solid"/>
            </v:line>
            <v:line style="position:absolute" from="11731,518" to="11731,15341" stroked="true" strokeweight=".96pt" strokecolor="#14415c">
              <v:stroke dashstyle="solid"/>
            </v:line>
            <v:rect style="position:absolute;left:518;top:15340;width:11204;height:20" filled="true" fillcolor="#000000" stroked="false">
              <v:fill type="solid"/>
            </v:rect>
            <v:rect style="position:absolute;left:518;top:15321;width:11204;height:20" filled="true" fillcolor="#14415c" stroked="false">
              <v:fill type="solid"/>
            </v:rect>
            <v:rect style="position:absolute;left:11721;top:15340;width:39;height:20" filled="true" fillcolor="#000000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119995pt;margin-top:81.110001pt;width:163.65pt;height:18pt;mso-position-horizontal-relative:page;mso-position-vertical-relative:page;z-index:-7360" type="#_x0000_t202" filled="false" stroked="false">
            <v:textbox inset="0,0,0,0">
              <w:txbxContent>
                <w:p>
                  <w:pPr>
                    <w:spacing w:line="345" w:lineRule="exact" w:before="0"/>
                    <w:ind w:left="20" w:right="0" w:firstLine="0"/>
                    <w:jc w:val="left"/>
                    <w:rPr>
                      <w:rFonts w:ascii="Calibri"/>
                      <w:b/>
                      <w:sz w:val="32"/>
                    </w:rPr>
                  </w:pPr>
                  <w:r>
                    <w:rPr>
                      <w:rFonts w:ascii="Calibri"/>
                      <w:b/>
                      <w:color w:val="0D2B3E"/>
                      <w:sz w:val="32"/>
                    </w:rPr>
                    <w:t>CAPABILITY STATEMENT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040001pt;margin-top:111.709999pt;width:60.3pt;height:18pt;mso-position-horizontal-relative:page;mso-position-vertical-relative:page;z-index:-7336" type="#_x0000_t202" filled="false" stroked="false">
            <v:textbox inset="0,0,0,0">
              <w:txbxContent>
                <w:p>
                  <w:pPr>
                    <w:spacing w:line="345" w:lineRule="exact" w:before="0"/>
                    <w:ind w:left="20" w:right="0" w:firstLine="0"/>
                    <w:jc w:val="left"/>
                    <w:rPr>
                      <w:rFonts w:ascii="Calibri Light"/>
                      <w:b w:val="0"/>
                      <w:sz w:val="26"/>
                    </w:rPr>
                  </w:pPr>
                  <w:bookmarkStart w:name="Overview" w:id="1"/>
                  <w:bookmarkEnd w:id="1"/>
                  <w:r>
                    <w:rPr/>
                  </w:r>
                  <w:r>
                    <w:rPr>
                      <w:rFonts w:ascii="Calibri Light"/>
                      <w:b w:val="0"/>
                      <w:sz w:val="32"/>
                    </w:rPr>
                    <w:t>O</w:t>
                  </w:r>
                  <w:r>
                    <w:rPr>
                      <w:rFonts w:ascii="Calibri Light"/>
                      <w:b w:val="0"/>
                      <w:sz w:val="26"/>
                    </w:rPr>
                    <w:t>VERVIEW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040001pt;margin-top:141.183472pt;width:452.15pt;height:24.55pt;mso-position-horizontal-relative:page;mso-position-vertical-relative:page;z-index:-731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right="-2"/>
                  </w:pPr>
                  <w:r>
                    <w:rPr/>
                    <w:t>Established in 1992, WestWind Engineering, Inc. provides full service staffing and payroll solutions for Government, Commercial and Private Sectors.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040001pt;margin-top:175.503479pt;width:453.1pt;height:24.65pt;mso-position-horizontal-relative:page;mso-position-vertical-relative:page;z-index:-7288" type="#_x0000_t202" filled="false" stroked="false">
            <v:textbox inset="0,0,0,0">
              <w:txbxContent>
                <w:p>
                  <w:pPr>
                    <w:spacing w:before="12"/>
                    <w:ind w:left="20" w:right="-2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“Our strength is our people and the experience they bring to your projects with their extensive background in information technology, aerospace and defense engineering and management.”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040001pt;margin-top:210.949997pt;width:71pt;height:18pt;mso-position-horizontal-relative:page;mso-position-vertical-relative:page;z-index:-7264" type="#_x0000_t202" filled="false" stroked="false">
            <v:textbox inset="0,0,0,0">
              <w:txbxContent>
                <w:p>
                  <w:pPr>
                    <w:spacing w:line="345" w:lineRule="exact" w:before="0"/>
                    <w:ind w:left="20" w:right="0" w:firstLine="0"/>
                    <w:jc w:val="left"/>
                    <w:rPr>
                      <w:rFonts w:ascii="Calibri Light"/>
                      <w:b w:val="0"/>
                      <w:sz w:val="26"/>
                    </w:rPr>
                  </w:pPr>
                  <w:bookmarkStart w:name="Capabilities" w:id="2"/>
                  <w:bookmarkEnd w:id="2"/>
                  <w:r>
                    <w:rPr/>
                  </w:r>
                  <w:r>
                    <w:rPr>
                      <w:rFonts w:ascii="Calibri Light"/>
                      <w:b w:val="0"/>
                      <w:spacing w:val="-3"/>
                      <w:sz w:val="32"/>
                    </w:rPr>
                    <w:t>C</w:t>
                  </w:r>
                  <w:r>
                    <w:rPr>
                      <w:rFonts w:ascii="Calibri Light"/>
                      <w:b w:val="0"/>
                      <w:spacing w:val="-3"/>
                      <w:sz w:val="26"/>
                    </w:rPr>
                    <w:t>APABILITIES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559998pt;margin-top:210.949997pt;width:90.25pt;height:18pt;mso-position-horizontal-relative:page;mso-position-vertical-relative:page;z-index:-7240" type="#_x0000_t202" filled="false" stroked="false">
            <v:textbox inset="0,0,0,0">
              <w:txbxContent>
                <w:p>
                  <w:pPr>
                    <w:spacing w:line="345" w:lineRule="exact" w:before="0"/>
                    <w:ind w:left="20" w:right="0" w:firstLine="0"/>
                    <w:jc w:val="left"/>
                    <w:rPr>
                      <w:rFonts w:ascii="Calibri Light"/>
                      <w:b w:val="0"/>
                      <w:sz w:val="26"/>
                    </w:rPr>
                  </w:pPr>
                  <w:bookmarkStart w:name="Company Data" w:id="3"/>
                  <w:bookmarkEnd w:id="3"/>
                  <w:r>
                    <w:rPr/>
                  </w:r>
                  <w:r>
                    <w:rPr>
                      <w:rFonts w:ascii="Calibri Light"/>
                      <w:b w:val="0"/>
                      <w:spacing w:val="-3"/>
                      <w:sz w:val="32"/>
                    </w:rPr>
                    <w:t>C</w:t>
                  </w:r>
                  <w:r>
                    <w:rPr>
                      <w:rFonts w:ascii="Calibri Light"/>
                      <w:b w:val="0"/>
                      <w:spacing w:val="-3"/>
                      <w:sz w:val="26"/>
                    </w:rPr>
                    <w:t>OMPANY </w:t>
                  </w:r>
                  <w:r>
                    <w:rPr>
                      <w:rFonts w:ascii="Calibri Light"/>
                      <w:b w:val="0"/>
                      <w:spacing w:val="-4"/>
                      <w:sz w:val="32"/>
                    </w:rPr>
                    <w:t>D</w:t>
                  </w:r>
                  <w:r>
                    <w:rPr>
                      <w:rFonts w:ascii="Calibri Light"/>
                      <w:b w:val="0"/>
                      <w:spacing w:val="-4"/>
                      <w:sz w:val="26"/>
                    </w:rPr>
                    <w:t>ATA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30037pt;margin-top:240.54718pt;width:201.4pt;height:36.2pt;mso-position-horizontal-relative:page;mso-position-vertical-relative:page;z-index:-721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right="-4"/>
                  </w:pPr>
                  <w:r>
                    <w:rPr/>
                    <w:t>WestWind Engineering has the very best professional staff of engineers, scientists and managers available to you for: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559998pt;margin-top:240.543472pt;width:233.05pt;height:36.2pt;mso-position-horizontal-relative:page;mso-position-vertical-relative:page;z-index:-719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right="-4"/>
                  </w:pPr>
                  <w:r>
                    <w:rPr/>
                    <w:t>WestWind Engineering has earned a reputation built upon producing results that not only meet, but surpass expectations.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29999pt;margin-top:286.705292pt;width:9.9pt;height:36pt;mso-position-horizontal-relative:page;mso-position-vertical-relative:page;z-index:-7168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6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027718pt;margin-top:286.64209pt;width:195.4pt;height:105.05pt;mso-position-horizontal-relative:page;mso-position-vertical-relative:page;z-index:-714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right="85"/>
                  </w:pPr>
                  <w:r>
                    <w:rPr/>
                    <w:t>System Engineering and Integration Project Management, Planning and control Electronic, Optical and Mechanical Design, Development and Test</w:t>
                  </w:r>
                </w:p>
                <w:p>
                  <w:pPr>
                    <w:pStyle w:val="BodyText"/>
                    <w:spacing w:line="230" w:lineRule="exact" w:before="0"/>
                  </w:pPr>
                  <w:r>
                    <w:rPr/>
                    <w:t>Software and Information Systems</w:t>
                  </w:r>
                </w:p>
                <w:p>
                  <w:pPr>
                    <w:pStyle w:val="BodyText"/>
                    <w:spacing w:before="1"/>
                    <w:ind w:right="44" w:hanging="1"/>
                  </w:pPr>
                  <w:r>
                    <w:rPr/>
                    <w:t>Quality, Reliability and Safety Planning and Implementation</w:t>
                  </w:r>
                </w:p>
                <w:p>
                  <w:pPr>
                    <w:pStyle w:val="BodyText"/>
                    <w:spacing w:before="0"/>
                    <w:ind w:right="-1" w:hanging="1"/>
                  </w:pPr>
                  <w:r>
                    <w:rPr/>
                    <w:t>Contract and Subcontract Management Capture, Proposal, Red/Blue Team Support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530121pt;margin-top:286.570892pt;width:9.9pt;height:93.65pt;mso-position-horizontal-relative:page;mso-position-vertical-relative:page;z-index:-7120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6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11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7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527832pt;margin-top:286.507690pt;width:181.4pt;height:93.7pt;mso-position-horizontal-relative:page;mso-position-vertical-relative:page;z-index:-7096" type="#_x0000_t202" filled="false" stroked="false">
            <v:textbox inset="0,0,0,0">
              <w:txbxContent>
                <w:p>
                  <w:pPr>
                    <w:spacing w:line="229" w:lineRule="exact" w:before="12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SBA Certified SDB</w:t>
                  </w:r>
                </w:p>
                <w:p>
                  <w:pPr>
                    <w:spacing w:before="0"/>
                    <w:ind w:left="20" w:right="821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SBA Certified 8(a) Business SBA Certified EDWOSB Supplier Clearinghouse WBE</w:t>
                  </w:r>
                </w:p>
                <w:p>
                  <w:pPr>
                    <w:pStyle w:val="BodyText"/>
                    <w:spacing w:before="3"/>
                  </w:pPr>
                  <w:r>
                    <w:rPr/>
                    <w:t>GSA Schedule – 736-5 - GS-02F-100AA</w:t>
                  </w:r>
                </w:p>
                <w:p>
                  <w:pPr>
                    <w:pStyle w:val="BodyText"/>
                    <w:spacing w:before="1"/>
                    <w:ind w:right="641"/>
                  </w:pPr>
                  <w:r>
                    <w:rPr/>
                    <w:t>Incorporated in California in 1992 DUNS – 007911907</w:t>
                  </w:r>
                </w:p>
                <w:p>
                  <w:pPr>
                    <w:pStyle w:val="BodyText"/>
                    <w:spacing w:line="229" w:lineRule="exact" w:before="0"/>
                  </w:pPr>
                  <w:r>
                    <w:rPr/>
                    <w:t>Cage Code – 0VSK6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29999pt;margin-top:332.680664pt;width:9.9pt;height:24.6pt;mso-position-horizontal-relative:page;mso-position-vertical-relative:page;z-index:-7072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30037pt;margin-top:367.132294pt;width:9.9pt;height:24.55pt;mso-position-horizontal-relative:page;mso-position-vertical-relative:page;z-index:-7048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7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040001pt;margin-top:402.470001pt;width:40.4pt;height:18pt;mso-position-horizontal-relative:page;mso-position-vertical-relative:page;z-index:-7024" type="#_x0000_t202" filled="false" stroked="false">
            <v:textbox inset="0,0,0,0">
              <w:txbxContent>
                <w:p>
                  <w:pPr>
                    <w:spacing w:line="345" w:lineRule="exact" w:before="0"/>
                    <w:ind w:left="20" w:right="0" w:firstLine="0"/>
                    <w:jc w:val="left"/>
                    <w:rPr>
                      <w:rFonts w:ascii="Calibri Light"/>
                      <w:b w:val="0"/>
                      <w:sz w:val="32"/>
                    </w:rPr>
                  </w:pPr>
                  <w:bookmarkStart w:name="NAICS" w:id="4"/>
                  <w:bookmarkEnd w:id="4"/>
                  <w:r>
                    <w:rPr/>
                  </w:r>
                  <w:r>
                    <w:rPr>
                      <w:rFonts w:ascii="Calibri Light"/>
                      <w:b w:val="0"/>
                      <w:sz w:val="32"/>
                    </w:rPr>
                    <w:t>NAICS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559998pt;margin-top:402.470001pt;width:63.75pt;height:18pt;mso-position-horizontal-relative:page;mso-position-vertical-relative:page;z-index:-7000" type="#_x0000_t202" filled="false" stroked="false">
            <v:textbox inset="0,0,0,0">
              <w:txbxContent>
                <w:p>
                  <w:pPr>
                    <w:spacing w:line="345" w:lineRule="exact" w:before="0"/>
                    <w:ind w:left="20" w:right="0" w:firstLine="0"/>
                    <w:jc w:val="left"/>
                    <w:rPr>
                      <w:rFonts w:ascii="Calibri Light"/>
                      <w:b w:val="0"/>
                      <w:sz w:val="26"/>
                    </w:rPr>
                  </w:pPr>
                  <w:bookmarkStart w:name="Programs" w:id="5"/>
                  <w:bookmarkEnd w:id="5"/>
                  <w:r>
                    <w:rPr/>
                  </w:r>
                  <w:r>
                    <w:rPr>
                      <w:rFonts w:ascii="Calibri Light"/>
                      <w:b w:val="0"/>
                      <w:spacing w:val="-3"/>
                      <w:sz w:val="32"/>
                    </w:rPr>
                    <w:t>P</w:t>
                  </w:r>
                  <w:r>
                    <w:rPr>
                      <w:rFonts w:ascii="Calibri Light"/>
                      <w:b w:val="0"/>
                      <w:spacing w:val="-3"/>
                      <w:sz w:val="26"/>
                    </w:rPr>
                    <w:t>ROGRAMS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40001pt;margin-top:433.863464pt;width:175.75pt;height:13.15pt;mso-position-horizontal-relative:page;mso-position-vertical-relative:page;z-index:-697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WestWind Engineering primary NAICS: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559998pt;margin-top:433.863464pt;width:227.55pt;height:36.2pt;mso-position-horizontal-relative:page;mso-position-vertical-relative:page;z-index:-695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right="-3"/>
                  </w:pPr>
                  <w:r>
                    <w:rPr/>
                    <w:t>WestWind has contributed subject matter expertise towards many successful aerospace and defense programs including: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30037pt;margin-top:456.974091pt;width:9.9pt;height:70.6pt;mso-position-horizontal-relative:page;mso-position-vertical-relative:page;z-index:-6928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7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027763pt;margin-top:456.910889pt;width:215.9pt;height:105.65pt;mso-position-horizontal-relative:page;mso-position-vertical-relative:page;z-index:-690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right="398" w:hanging="1"/>
                  </w:pPr>
                  <w:r>
                    <w:rPr/>
                    <w:t>561311 – Employment Placement Agencies 541214 – Payroll Services</w:t>
                  </w:r>
                </w:p>
                <w:p>
                  <w:pPr>
                    <w:pStyle w:val="BodyText"/>
                    <w:spacing w:before="1"/>
                  </w:pPr>
                  <w:r>
                    <w:rPr/>
                    <w:t>541330 – Engineering Services</w:t>
                  </w:r>
                </w:p>
                <w:p>
                  <w:pPr>
                    <w:pStyle w:val="BodyText"/>
                    <w:spacing w:before="1"/>
                    <w:ind w:right="164"/>
                  </w:pPr>
                  <w:r>
                    <w:rPr/>
                    <w:t>541511 - Computer Programming Services 541611 – Admin/Gen Management Consulting 541614 – Professional, Scientific &amp; Technical Services</w:t>
                  </w:r>
                </w:p>
                <w:p>
                  <w:pPr>
                    <w:pStyle w:val="BodyText"/>
                    <w:spacing w:before="11"/>
                    <w:ind w:right="-3"/>
                  </w:pPr>
                  <w:r>
                    <w:rPr/>
                    <w:t>541712 – R&amp;D in the Physical, Engineering, and Life Sciences (except biotech)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559998pt;margin-top:481.326691pt;width:9.9pt;height:82.1pt;mso-position-horizontal-relative:page;mso-position-vertical-relative:page;z-index:-6880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6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557709pt;margin-top:481.263489pt;width:35.2pt;height:82.15pt;mso-position-horizontal-relative:page;mso-position-vertical-relative:page;z-index:-685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right="17"/>
                  </w:pPr>
                  <w:r>
                    <w:rPr/>
                    <w:t>ABL AEHF AMP </w:t>
                  </w:r>
                  <w:r>
                    <w:rPr>
                      <w:w w:val="95"/>
                    </w:rPr>
                    <w:t>AP-910</w:t>
                  </w:r>
                </w:p>
                <w:p>
                  <w:pPr>
                    <w:pStyle w:val="BodyText"/>
                    <w:spacing w:before="2"/>
                    <w:ind w:right="110"/>
                  </w:pPr>
                  <w:r>
                    <w:rPr/>
                    <w:t>Argon B-2 CEV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230042pt;margin-top:481.326691pt;width:9.9pt;height:82.1pt;mso-position-horizontal-relative:page;mso-position-vertical-relative:page;z-index:-6832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6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.227753pt;margin-top:481.263489pt;width:41.35pt;height:82.15pt;mso-position-horizontal-relative:page;mso-position-vertical-relative:page;z-index:-680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right="339"/>
                  </w:pPr>
                  <w:r>
                    <w:rPr>
                      <w:w w:val="95"/>
                    </w:rPr>
                    <w:t>COIL </w:t>
                  </w:r>
                  <w:r>
                    <w:rPr/>
                    <w:t>F-35</w:t>
                  </w:r>
                </w:p>
                <w:p>
                  <w:pPr>
                    <w:pStyle w:val="BodyText"/>
                    <w:spacing w:before="1"/>
                    <w:ind w:right="8"/>
                  </w:pPr>
                  <w:r>
                    <w:rPr>
                      <w:w w:val="95"/>
                    </w:rPr>
                    <w:t>GOES-R </w:t>
                  </w:r>
                  <w:r>
                    <w:rPr/>
                    <w:t>HESSLT ISAT JIMO JWST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.920013pt;margin-top:481.326691pt;width:9.9pt;height:82.1pt;mso-position-horizontal-relative:page;mso-position-vertical-relative:page;z-index:-6784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6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917725pt;margin-top:481.263489pt;width:43.5pt;height:82.15pt;mso-position-horizontal-relative:page;mso-position-vertical-relative:page;z-index:-676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right="17"/>
                  </w:pPr>
                  <w:r>
                    <w:rPr>
                      <w:w w:val="95"/>
                    </w:rPr>
                    <w:t>NPOESS </w:t>
                  </w:r>
                  <w:r>
                    <w:rPr/>
                    <w:t>SBIRS SBR STSS TDRSS UCAS-D UCLASS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040001pt;margin-top:537.115845pt;width:10.75pt;height:14.3pt;mso-position-horizontal-relative:page;mso-position-vertical-relative:page;z-index:-673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Wingdings" w:hAnsi="Wingdings"/>
                      <w:sz w:val="22"/>
                    </w:rPr>
                  </w:pPr>
                  <w:r>
                    <w:rPr>
                      <w:rFonts w:ascii="Wingdings" w:hAnsi="Wingdings"/>
                      <w:w w:val="100"/>
                      <w:sz w:val="22"/>
                    </w:rPr>
                    <w:t>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559998pt;margin-top:574.190002pt;width:68.45pt;height:18pt;mso-position-horizontal-relative:page;mso-position-vertical-relative:page;z-index:-6712" type="#_x0000_t202" filled="false" stroked="false">
            <v:textbox inset="0,0,0,0">
              <w:txbxContent>
                <w:p>
                  <w:pPr>
                    <w:spacing w:line="345" w:lineRule="exact" w:before="0"/>
                    <w:ind w:left="20" w:right="0" w:firstLine="0"/>
                    <w:jc w:val="left"/>
                    <w:rPr>
                      <w:rFonts w:ascii="Calibri Light"/>
                      <w:b w:val="0"/>
                      <w:sz w:val="26"/>
                    </w:rPr>
                  </w:pPr>
                  <w:bookmarkStart w:name="Customers" w:id="6"/>
                  <w:bookmarkEnd w:id="6"/>
                  <w:r>
                    <w:rPr/>
                  </w:r>
                  <w:r>
                    <w:rPr>
                      <w:rFonts w:ascii="Calibri Light"/>
                      <w:b w:val="0"/>
                      <w:spacing w:val="-3"/>
                      <w:sz w:val="32"/>
                    </w:rPr>
                    <w:t>C</w:t>
                  </w:r>
                  <w:r>
                    <w:rPr>
                      <w:rFonts w:ascii="Calibri Light"/>
                      <w:b w:val="0"/>
                      <w:spacing w:val="-3"/>
                      <w:sz w:val="26"/>
                    </w:rPr>
                    <w:t>USTOMERS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559998pt;margin-top:605.703491pt;width:217.95pt;height:13.15pt;mso-position-horizontal-relative:page;mso-position-vertical-relative:page;z-index:-668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WestWind’s past and present customers include: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54007pt;margin-top:630.126709pt;width:9.9pt;height:59.05pt;mso-position-horizontal-relative:page;mso-position-vertical-relative:page;z-index:-6664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6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537811pt;margin-top:630.063477pt;width:82.5pt;height:59.1pt;mso-position-horizontal-relative:page;mso-position-vertical-relative:page;z-index:-664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right="-3"/>
                  </w:pPr>
                  <w:r>
                    <w:rPr/>
                    <w:t>BAE Systems Eastman Kodak Good Engineering Hughes</w:t>
                  </w:r>
                </w:p>
                <w:p>
                  <w:pPr>
                    <w:pStyle w:val="BodyText"/>
                    <w:spacing w:line="229" w:lineRule="exact" w:before="0"/>
                  </w:pPr>
                  <w:r>
                    <w:rPr/>
                    <w:t>JPL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440002pt;margin-top:630.126709pt;width:10.75pt;height:60.45pt;mso-position-horizontal-relative:page;mso-position-vertical-relative:page;z-index:-6616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spacing w:line="243" w:lineRule="exact" w:before="0"/>
                    <w:ind w:left="20" w:right="0" w:firstLine="0"/>
                    <w:jc w:val="left"/>
                    <w:rPr>
                      <w:rFonts w:ascii="Wingdings" w:hAnsi="Wingdings"/>
                      <w:sz w:val="22"/>
                    </w:rPr>
                  </w:pPr>
                  <w:r>
                    <w:rPr>
                      <w:rFonts w:ascii="Wingdings" w:hAnsi="Wingdings"/>
                      <w:w w:val="100"/>
                      <w:sz w:val="22"/>
                    </w:rPr>
                    <w:t></w:t>
                  </w:r>
                </w:p>
                <w:p>
                  <w:pPr>
                    <w:spacing w:line="243" w:lineRule="exact" w:before="0"/>
                    <w:ind w:left="20" w:right="0" w:firstLine="0"/>
                    <w:jc w:val="left"/>
                    <w:rPr>
                      <w:rFonts w:ascii="Wingdings" w:hAnsi="Wingdings"/>
                      <w:sz w:val="22"/>
                    </w:rPr>
                  </w:pPr>
                  <w:r>
                    <w:rPr>
                      <w:rFonts w:ascii="Wingdings" w:hAnsi="Wingdings"/>
                      <w:w w:val="100"/>
                      <w:sz w:val="22"/>
                    </w:rPr>
                    <w:t>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.437714pt;margin-top:630.063477pt;width:88.1pt;height:60.3pt;mso-position-horizontal-relative:page;mso-position-vertical-relative:page;z-index:-659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right="199"/>
                  </w:pPr>
                  <w:r>
                    <w:rPr/>
                    <w:t>Maxima Systems NASA MFFC</w:t>
                  </w:r>
                </w:p>
                <w:p>
                  <w:pPr>
                    <w:pStyle w:val="BodyText"/>
                    <w:spacing w:line="252" w:lineRule="auto" w:before="1"/>
                    <w:ind w:hanging="1"/>
                  </w:pPr>
                  <w:r>
                    <w:rPr/>
                    <w:t>Northrop Grumman Optimal Energy Raytheon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040001pt;margin-top:692.98999pt;width:53.35pt;height:18pt;mso-position-horizontal-relative:page;mso-position-vertical-relative:page;z-index:-6568" type="#_x0000_t202" filled="false" stroked="false">
            <v:textbox inset="0,0,0,0">
              <w:txbxContent>
                <w:p>
                  <w:pPr>
                    <w:spacing w:line="345" w:lineRule="exact" w:before="0"/>
                    <w:ind w:left="20" w:right="0" w:firstLine="0"/>
                    <w:jc w:val="left"/>
                    <w:rPr>
                      <w:rFonts w:ascii="Calibri Light"/>
                      <w:b w:val="0"/>
                      <w:sz w:val="26"/>
                    </w:rPr>
                  </w:pPr>
                  <w:bookmarkStart w:name="Contact" w:id="7"/>
                  <w:bookmarkEnd w:id="7"/>
                  <w:r>
                    <w:rPr/>
                  </w:r>
                  <w:r>
                    <w:rPr>
                      <w:rFonts w:ascii="Calibri Light"/>
                      <w:b w:val="0"/>
                      <w:sz w:val="32"/>
                    </w:rPr>
                    <w:t>C</w:t>
                  </w:r>
                  <w:r>
                    <w:rPr>
                      <w:rFonts w:ascii="Calibri Light"/>
                      <w:b w:val="0"/>
                      <w:sz w:val="26"/>
                    </w:rPr>
                    <w:t>ONTACT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637497pt;margin-top:722.467651pt;width:453.9pt;height:24.65pt;mso-position-horizontal-relative:page;mso-position-vertical-relative:page;z-index:-654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232" w:hanging="2213"/>
                  </w:pPr>
                  <w:r>
                    <w:rPr/>
                    <w:t>Address - 461 W. 6th St., Suite 226, San Pedro, CA 90731 – Tel (310) 831-3454 / Fax (310) 540-7172 Mary Anne Graves – </w:t>
                  </w:r>
                  <w:hyperlink r:id="rId6">
                    <w:r>
                      <w:rPr/>
                      <w:t>ma.graves@westwind111.com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5.440001pt;margin-top:25.440001pt;width:561.6pt;height:741.6pt;mso-position-horizontal-relative:page;mso-position-vertical-relative:page;z-index:-65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.040001pt;margin-top:119.199997pt;width:501.15pt;height:12pt;mso-position-horizontal-relative:page;mso-position-vertical-relative:page;z-index:-64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.040001pt;margin-top:218.559998pt;width:501.15pt;height:12pt;mso-position-horizontal-relative:page;mso-position-vertical-relative:page;z-index:-64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.040001pt;margin-top:410.079987pt;width:501.15pt;height:12pt;mso-position-horizontal-relative:page;mso-position-vertical-relative:page;z-index:-64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59998pt;margin-top:581.799988pt;width:249.6pt;height:12pt;mso-position-horizontal-relative:page;mso-position-vertical-relative:page;z-index:-64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.040001pt;margin-top:700.599976pt;width:501.15pt;height:12pt;mso-position-horizontal-relative:page;mso-position-vertical-relative:page;z-index:-64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500" w:bottom="280" w:left="10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8"/>
      <w:ind w:left="20"/>
    </w:pPr>
    <w:rPr>
      <w:rFonts w:ascii="Arial" w:hAnsi="Arial" w:eastAsia="Arial" w:cs="Arial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mailto:ma.graves@westwind111.com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