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79830" w14:textId="31ECA420" w:rsidR="00645015" w:rsidRDefault="00C03A07" w:rsidP="004D3289">
      <w:pPr>
        <w:pStyle w:val="Title"/>
        <w:jc w:val="center"/>
      </w:pPr>
      <w:r>
        <w:t>A Feasibility Study</w:t>
      </w:r>
      <w:r w:rsidR="000B5E24">
        <w:t xml:space="preserve"> </w:t>
      </w:r>
      <w:r>
        <w:t xml:space="preserve">on </w:t>
      </w:r>
      <w:r w:rsidR="000B5E24">
        <w:t>Monographs</w:t>
      </w:r>
      <w:r w:rsidR="004D3289">
        <w:t xml:space="preserve"> </w:t>
      </w:r>
    </w:p>
    <w:p w14:paraId="2D16503E" w14:textId="77777777" w:rsidR="0063373C" w:rsidRDefault="0063373C" w:rsidP="0063373C">
      <w:pPr>
        <w:pStyle w:val="Heading1"/>
        <w:numPr>
          <w:ilvl w:val="0"/>
          <w:numId w:val="5"/>
        </w:numPr>
        <w:ind w:left="426" w:hanging="426"/>
      </w:pPr>
      <w:r>
        <w:t>Introduction</w:t>
      </w:r>
    </w:p>
    <w:p w14:paraId="4C111617" w14:textId="77777777" w:rsidR="00C03A07" w:rsidRDefault="0056771D" w:rsidP="004D3289">
      <w:pPr>
        <w:jc w:val="both"/>
      </w:pPr>
      <w:r>
        <w:t>The library sector has, for many years, been experimenting and developing collaborative programmes in order to achieve a wide range of goals – from maximising economies of scale a</w:t>
      </w:r>
      <w:r w:rsidR="00DD4F5D">
        <w:t xml:space="preserve">nd savings to training staff and students. </w:t>
      </w:r>
      <w:r w:rsidR="00B60AF6">
        <w:t xml:space="preserve">The UK Research Reserve (UKRR) programme </w:t>
      </w:r>
      <w:r w:rsidR="00DB3C94">
        <w:t>is one example;</w:t>
      </w:r>
      <w:r w:rsidR="00DD4F5D">
        <w:t xml:space="preserve"> it </w:t>
      </w:r>
      <w:r w:rsidR="00B60AF6">
        <w:t xml:space="preserve">has coordinated journal de-duplication activities across the UK since 2007. It has processed </w:t>
      </w:r>
      <w:r w:rsidR="00D55A0A">
        <w:t>more than 104km of mater</w:t>
      </w:r>
      <w:r w:rsidR="00DB3C94">
        <w:t>ial offered by participating members and</w:t>
      </w:r>
      <w:r w:rsidR="00D55A0A">
        <w:t xml:space="preserve"> enable</w:t>
      </w:r>
      <w:r w:rsidR="00DB3C94">
        <w:t>d</w:t>
      </w:r>
      <w:r w:rsidR="00D55A0A">
        <w:t xml:space="preserve"> libraries to make strategic decisions about their collections and space. </w:t>
      </w:r>
      <w:r w:rsidR="002D2C39">
        <w:t xml:space="preserve">It has also fundamentally shifted the culture within and beyond the </w:t>
      </w:r>
      <w:r w:rsidR="00C7054E">
        <w:t xml:space="preserve">Higher Education </w:t>
      </w:r>
      <w:r w:rsidR="002D2C39">
        <w:t>sector.</w:t>
      </w:r>
    </w:p>
    <w:p w14:paraId="468959B4" w14:textId="77777777" w:rsidR="00DB3C94" w:rsidRDefault="00BC1E4C" w:rsidP="004D3289">
      <w:pPr>
        <w:jc w:val="both"/>
      </w:pPr>
      <w:r>
        <w:t>The community has made significant progr</w:t>
      </w:r>
      <w:r w:rsidR="00C7054E">
        <w:t xml:space="preserve">ess in terms of journals, and </w:t>
      </w:r>
      <w:r>
        <w:t>programme</w:t>
      </w:r>
      <w:r w:rsidR="00C7054E">
        <w:t>s such as UKRR demonstrate</w:t>
      </w:r>
      <w:r>
        <w:t xml:space="preserve"> what can be achieved when the community works together.</w:t>
      </w:r>
      <w:r w:rsidR="00DD4F5D">
        <w:t xml:space="preserve"> However, monographs remain </w:t>
      </w:r>
      <w:proofErr w:type="spellStart"/>
      <w:r w:rsidR="00DD4F5D">
        <w:t>untackled</w:t>
      </w:r>
      <w:proofErr w:type="spellEnd"/>
      <w:r w:rsidR="00DD4F5D">
        <w:t xml:space="preserve"> </w:t>
      </w:r>
      <w:r w:rsidR="00AF641B">
        <w:t xml:space="preserve">at </w:t>
      </w:r>
      <w:r w:rsidR="00DD4F5D">
        <w:t>a national level</w:t>
      </w:r>
      <w:r>
        <w:t xml:space="preserve"> </w:t>
      </w:r>
      <w:r w:rsidR="00DD4F5D">
        <w:t>and it is widely accepted that they prese</w:t>
      </w:r>
      <w:r w:rsidR="0066363B">
        <w:t xml:space="preserve">nt very different challenges from </w:t>
      </w:r>
      <w:r w:rsidR="00A44C1F">
        <w:t xml:space="preserve">journals. Is the UKRR model the right one to manage the nation’s </w:t>
      </w:r>
      <w:r w:rsidR="00DB3C94">
        <w:t xml:space="preserve">print </w:t>
      </w:r>
      <w:r w:rsidR="00A44C1F">
        <w:t>monograph collections?</w:t>
      </w:r>
      <w:r w:rsidR="00DD4F5D">
        <w:t xml:space="preserve"> </w:t>
      </w:r>
      <w:r w:rsidR="00A44C1F">
        <w:t>In the monograph land,</w:t>
      </w:r>
      <w:r w:rsidR="002D2C39">
        <w:t xml:space="preserve"> here in the UK and internationally,</w:t>
      </w:r>
      <w:r w:rsidR="00A44C1F">
        <w:t xml:space="preserve"> </w:t>
      </w:r>
      <w:r w:rsidR="00DB3C94">
        <w:t xml:space="preserve">is there any local, grass-root initiative that </w:t>
      </w:r>
      <w:r w:rsidR="002D2C39">
        <w:t xml:space="preserve">has begun </w:t>
      </w:r>
      <w:r w:rsidR="00DB3C94">
        <w:t>to look at relevant issues?</w:t>
      </w:r>
      <w:r w:rsidR="00A44C1F">
        <w:t xml:space="preserve"> </w:t>
      </w:r>
      <w:r w:rsidR="00DB3C94">
        <w:t>What</w:t>
      </w:r>
      <w:r w:rsidR="002D2C39">
        <w:t xml:space="preserve"> would a feasible, efficient, and economically viable </w:t>
      </w:r>
      <w:r w:rsidR="00DB3C94">
        <w:t>mode</w:t>
      </w:r>
      <w:r w:rsidR="002D2C39">
        <w:t>l</w:t>
      </w:r>
      <w:r w:rsidR="0066363B">
        <w:t xml:space="preserve"> fo</w:t>
      </w:r>
      <w:r w:rsidR="002D2C39">
        <w:t>r national monograph management be</w:t>
      </w:r>
      <w:r w:rsidR="00DB3C94">
        <w:t xml:space="preserve"> if the community decides to tackle this collaboratively and on a large scale? </w:t>
      </w:r>
      <w:r w:rsidR="002D2C39">
        <w:t>Is there an appetite for such a collaborative model?</w:t>
      </w:r>
    </w:p>
    <w:p w14:paraId="1E433711" w14:textId="77777777" w:rsidR="003E0BD5" w:rsidRDefault="002D2C39" w:rsidP="003E0BD5">
      <w:pPr>
        <w:jc w:val="both"/>
      </w:pPr>
      <w:r>
        <w:t>A</w:t>
      </w:r>
      <w:r w:rsidRPr="005B16AF">
        <w:t>s pressures on space continue to rise, and as more and more materials become</w:t>
      </w:r>
      <w:r>
        <w:t xml:space="preserve"> available digitally, </w:t>
      </w:r>
      <w:r w:rsidR="003E0BD5">
        <w:t>the National Monographs Steering Group invites tenders for proposals to undertake a feasibility study that will explore various aspects relating to monographs, identify potential solutions to meet the community’s needs, and to address issues associated with the national monograph management agenda.</w:t>
      </w:r>
    </w:p>
    <w:p w14:paraId="13A45780" w14:textId="0A3E5260" w:rsidR="003E0BD5" w:rsidRDefault="003E0BD5" w:rsidP="003E0BD5">
      <w:pPr>
        <w:jc w:val="both"/>
      </w:pPr>
      <w:r w:rsidRPr="00904C90">
        <w:t xml:space="preserve">The feasibility study will be jointly funded by </w:t>
      </w:r>
      <w:r w:rsidR="00904C90">
        <w:t xml:space="preserve">HEFCE (through </w:t>
      </w:r>
      <w:r w:rsidRPr="00904C90">
        <w:t>UKRR</w:t>
      </w:r>
      <w:r w:rsidR="00904C90">
        <w:t>)</w:t>
      </w:r>
      <w:r w:rsidRPr="00904C90">
        <w:t>, RLUK, and SCONUL</w:t>
      </w:r>
      <w:r w:rsidRPr="001C6450">
        <w:t>.</w:t>
      </w:r>
    </w:p>
    <w:p w14:paraId="22BD988D" w14:textId="77777777" w:rsidR="00C03A07" w:rsidRDefault="00FD3656" w:rsidP="0063373C">
      <w:pPr>
        <w:pStyle w:val="Heading1"/>
        <w:numPr>
          <w:ilvl w:val="0"/>
          <w:numId w:val="5"/>
        </w:numPr>
        <w:ind w:left="426" w:hanging="426"/>
        <w:jc w:val="both"/>
      </w:pPr>
      <w:r>
        <w:t>The National Monograph</w:t>
      </w:r>
      <w:r w:rsidR="003E0BD5">
        <w:t>s</w:t>
      </w:r>
      <w:r>
        <w:t xml:space="preserve"> Steering Group</w:t>
      </w:r>
    </w:p>
    <w:p w14:paraId="5E9224E6" w14:textId="77777777" w:rsidR="004B4AD5" w:rsidRDefault="004B4AD5" w:rsidP="004D3289">
      <w:pPr>
        <w:jc w:val="both"/>
      </w:pPr>
      <w:r>
        <w:t xml:space="preserve">Representatives from six organisations </w:t>
      </w:r>
      <w:r w:rsidR="00AF641B">
        <w:t xml:space="preserve">have come together to form </w:t>
      </w:r>
      <w:r>
        <w:t>the National Monograph</w:t>
      </w:r>
      <w:r w:rsidR="003E0BD5">
        <w:t>s</w:t>
      </w:r>
      <w:r>
        <w:t xml:space="preserve"> Steering Group</w:t>
      </w:r>
      <w:r w:rsidR="0056771D">
        <w:t xml:space="preserve"> (NMSG) to </w:t>
      </w:r>
      <w:r w:rsidR="00BE2EBC">
        <w:t>develop and set</w:t>
      </w:r>
      <w:r w:rsidR="001826FD">
        <w:t xml:space="preserve"> the themes surrounding </w:t>
      </w:r>
      <w:r w:rsidR="00FD3656">
        <w:t xml:space="preserve">the management of monographs. The Group comprises of the </w:t>
      </w:r>
      <w:r w:rsidR="00157670">
        <w:t>British Library (BL),</w:t>
      </w:r>
      <w:r w:rsidR="00FD3656">
        <w:t xml:space="preserve"> Higher Education Funding Council for England (HEFCE), </w:t>
      </w:r>
      <w:proofErr w:type="spellStart"/>
      <w:r w:rsidR="00157670">
        <w:t>Jisc</w:t>
      </w:r>
      <w:proofErr w:type="spellEnd"/>
      <w:r w:rsidR="00157670">
        <w:t xml:space="preserve">, Research Libraries UK (RLUK), </w:t>
      </w:r>
      <w:r w:rsidR="00157670" w:rsidRPr="00157670">
        <w:t>Society of College, National and University Libraries (SCONUL)</w:t>
      </w:r>
      <w:r w:rsidR="00157670">
        <w:t>, and UKRR</w:t>
      </w:r>
      <w:r w:rsidR="004D3289">
        <w:t xml:space="preserve">. </w:t>
      </w:r>
    </w:p>
    <w:p w14:paraId="279E76EE" w14:textId="77777777" w:rsidR="004D3289" w:rsidRDefault="0063373C" w:rsidP="0063373C">
      <w:pPr>
        <w:pStyle w:val="Heading2"/>
      </w:pPr>
      <w:r>
        <w:t xml:space="preserve">2.1 </w:t>
      </w:r>
      <w:r w:rsidR="004D3289">
        <w:t>BL</w:t>
      </w:r>
    </w:p>
    <w:p w14:paraId="0545471B" w14:textId="148E8A44" w:rsidR="004D3289" w:rsidRDefault="003E0BD5" w:rsidP="004D3289">
      <w:r>
        <w:t>T</w:t>
      </w:r>
      <w:r w:rsidR="004D3289">
        <w:t xml:space="preserve">he BL </w:t>
      </w:r>
      <w:r w:rsidR="00E858BD">
        <w:t xml:space="preserve">is the national library and </w:t>
      </w:r>
      <w:r w:rsidR="00CD1D7B">
        <w:t xml:space="preserve">initiated the UKRR concept with its HE partners. Being </w:t>
      </w:r>
      <w:r w:rsidR="00E858BD">
        <w:t>UKRR’s strategic partner</w:t>
      </w:r>
      <w:r w:rsidR="00CD1D7B">
        <w:t>, the BL plays a key role</w:t>
      </w:r>
      <w:r w:rsidR="00E858BD">
        <w:t xml:space="preserve"> in delivering </w:t>
      </w:r>
      <w:r w:rsidR="001826FD">
        <w:t xml:space="preserve">journal </w:t>
      </w:r>
      <w:r w:rsidR="00E858BD">
        <w:t xml:space="preserve">de-duplication services to the sector. </w:t>
      </w:r>
      <w:r w:rsidR="00997873">
        <w:t>The BL is exploring shared</w:t>
      </w:r>
      <w:r w:rsidR="00E858BD">
        <w:t xml:space="preserve"> </w:t>
      </w:r>
      <w:r w:rsidR="00E858BD" w:rsidRPr="005B16AF">
        <w:t xml:space="preserve">storage with the cultural sector </w:t>
      </w:r>
      <w:r w:rsidR="00997873" w:rsidRPr="005B16AF">
        <w:t xml:space="preserve">with a view to securing capital funding for a </w:t>
      </w:r>
      <w:r w:rsidR="00776BE4" w:rsidRPr="005B16AF">
        <w:t>further high density storage facility at Boston Spa.</w:t>
      </w:r>
      <w:r w:rsidR="00776BE4">
        <w:t xml:space="preserve"> T</w:t>
      </w:r>
      <w:r w:rsidR="00997873">
        <w:t xml:space="preserve">his model is currently being looked at internally, with the potential to expand to </w:t>
      </w:r>
      <w:proofErr w:type="gramStart"/>
      <w:r w:rsidR="00A03BA9">
        <w:t>HE</w:t>
      </w:r>
      <w:proofErr w:type="gramEnd"/>
      <w:r w:rsidR="00A03BA9">
        <w:t xml:space="preserve"> and other public service sectors. </w:t>
      </w:r>
    </w:p>
    <w:p w14:paraId="4DC58497" w14:textId="77777777" w:rsidR="00776BE4" w:rsidRDefault="0063373C" w:rsidP="00776BE4">
      <w:pPr>
        <w:pStyle w:val="Heading2"/>
      </w:pPr>
      <w:r>
        <w:lastRenderedPageBreak/>
        <w:t xml:space="preserve">2.2 </w:t>
      </w:r>
      <w:r w:rsidR="00776BE4">
        <w:t>HEFCE</w:t>
      </w:r>
    </w:p>
    <w:p w14:paraId="2D7C6E06" w14:textId="77777777" w:rsidR="00776BE4" w:rsidRDefault="00776BE4" w:rsidP="00776BE4">
      <w:r>
        <w:t>HEFCE</w:t>
      </w:r>
      <w:r w:rsidR="001826FD">
        <w:t xml:space="preserve"> promotes and funds teaching and research in Higher Education Institutions (HEIs)</w:t>
      </w:r>
      <w:r w:rsidR="00D53F12">
        <w:t xml:space="preserve"> in England</w:t>
      </w:r>
      <w:r w:rsidR="001826FD">
        <w:t>. It</w:t>
      </w:r>
      <w:r>
        <w:t xml:space="preserve"> has</w:t>
      </w:r>
      <w:r w:rsidR="001826FD">
        <w:t xml:space="preserve"> financially</w:t>
      </w:r>
      <w:r>
        <w:t xml:space="preserve"> supported UKRR’s work so far. </w:t>
      </w:r>
      <w:r w:rsidR="00D53F12">
        <w:t>Its funding provision for UKRR</w:t>
      </w:r>
      <w:r>
        <w:t xml:space="preserve"> Phase 3 allocates resources for a feasibility study to explore the possible expansion for monographs. </w:t>
      </w:r>
    </w:p>
    <w:p w14:paraId="19959581" w14:textId="77777777" w:rsidR="00776BE4" w:rsidRDefault="0063373C" w:rsidP="0080097A">
      <w:pPr>
        <w:pStyle w:val="Heading2"/>
      </w:pPr>
      <w:r>
        <w:t xml:space="preserve">2.3 </w:t>
      </w:r>
      <w:proofErr w:type="spellStart"/>
      <w:r w:rsidR="00776BE4">
        <w:t>Jisc</w:t>
      </w:r>
      <w:proofErr w:type="spellEnd"/>
    </w:p>
    <w:p w14:paraId="1A95279E" w14:textId="77777777" w:rsidR="00776BE4" w:rsidRDefault="00776BE4" w:rsidP="00776BE4">
      <w:pPr>
        <w:rPr>
          <w:bCs/>
        </w:rPr>
      </w:pPr>
      <w:r w:rsidRPr="00776BE4">
        <w:rPr>
          <w:bCs/>
        </w:rPr>
        <w:t xml:space="preserve">Following on from the publication of </w:t>
      </w:r>
      <w:hyperlink r:id="rId8" w:history="1">
        <w:r w:rsidRPr="00776BE4">
          <w:rPr>
            <w:rStyle w:val="Hyperlink"/>
            <w:bCs/>
            <w:i/>
          </w:rPr>
          <w:t>A national monograph strategy roadmap</w:t>
        </w:r>
      </w:hyperlink>
      <w:r w:rsidR="001826FD">
        <w:rPr>
          <w:rStyle w:val="Hyperlink"/>
          <w:bCs/>
          <w:u w:val="none"/>
        </w:rPr>
        <w:t>,</w:t>
      </w:r>
      <w:r>
        <w:rPr>
          <w:bCs/>
          <w:i/>
          <w:vertAlign w:val="superscript"/>
        </w:rPr>
        <w:t xml:space="preserve"> </w:t>
      </w:r>
      <w:proofErr w:type="spellStart"/>
      <w:r w:rsidRPr="00776BE4">
        <w:rPr>
          <w:bCs/>
        </w:rPr>
        <w:t>Jisc</w:t>
      </w:r>
      <w:proofErr w:type="spellEnd"/>
      <w:r w:rsidRPr="00776BE4">
        <w:rPr>
          <w:bCs/>
        </w:rPr>
        <w:t xml:space="preserve"> is </w:t>
      </w:r>
      <w:r w:rsidR="0075544A">
        <w:rPr>
          <w:bCs/>
        </w:rPr>
        <w:t>engaged in ongoing phases of</w:t>
      </w:r>
      <w:r w:rsidR="0075544A" w:rsidRPr="00776BE4">
        <w:rPr>
          <w:bCs/>
        </w:rPr>
        <w:t xml:space="preserve"> </w:t>
      </w:r>
      <w:r w:rsidRPr="00776BE4">
        <w:rPr>
          <w:bCs/>
        </w:rPr>
        <w:t>work</w:t>
      </w:r>
      <w:r w:rsidR="007E7EBC">
        <w:rPr>
          <w:bCs/>
        </w:rPr>
        <w:t xml:space="preserve"> to improve prospects for </w:t>
      </w:r>
      <w:hyperlink r:id="rId9" w:history="1">
        <w:r w:rsidR="007E7EBC" w:rsidRPr="00776BE4">
          <w:rPr>
            <w:rStyle w:val="Hyperlink"/>
            <w:bCs/>
          </w:rPr>
          <w:t xml:space="preserve">Digital </w:t>
        </w:r>
        <w:r w:rsidR="007E7EBC">
          <w:rPr>
            <w:rStyle w:val="Hyperlink"/>
            <w:bCs/>
          </w:rPr>
          <w:t>Access</w:t>
        </w:r>
      </w:hyperlink>
      <w:r w:rsidR="007E7EBC">
        <w:rPr>
          <w:rStyle w:val="Hyperlink"/>
          <w:bCs/>
        </w:rPr>
        <w:t xml:space="preserve"> to Monographs</w:t>
      </w:r>
      <w:r w:rsidR="007E7EBC">
        <w:t xml:space="preserve"> </w:t>
      </w:r>
      <w:r>
        <w:t xml:space="preserve">and </w:t>
      </w:r>
      <w:r w:rsidR="007E7EBC">
        <w:t xml:space="preserve">to build a </w:t>
      </w:r>
      <w:hyperlink r:id="rId10" w:history="1">
        <w:r w:rsidR="007E7EBC">
          <w:rPr>
            <w:rStyle w:val="Hyperlink"/>
            <w:bCs/>
          </w:rPr>
          <w:t>National</w:t>
        </w:r>
      </w:hyperlink>
      <w:r w:rsidR="007E7EBC">
        <w:rPr>
          <w:rStyle w:val="Hyperlink"/>
          <w:bCs/>
        </w:rPr>
        <w:t xml:space="preserve"> Bibliographic Knowledgebase</w:t>
      </w:r>
      <w:r w:rsidR="00271B06">
        <w:rPr>
          <w:rStyle w:val="Hyperlink"/>
          <w:bCs/>
        </w:rPr>
        <w:t xml:space="preserve"> (NBK)</w:t>
      </w:r>
      <w:r w:rsidR="008F4131">
        <w:rPr>
          <w:bCs/>
        </w:rPr>
        <w:t>.</w:t>
      </w:r>
      <w:r w:rsidR="001826FD">
        <w:rPr>
          <w:bCs/>
        </w:rPr>
        <w:t xml:space="preserve"> </w:t>
      </w:r>
      <w:r w:rsidR="0075544A">
        <w:rPr>
          <w:bCs/>
        </w:rPr>
        <w:t xml:space="preserve">The </w:t>
      </w:r>
      <w:proofErr w:type="spellStart"/>
      <w:r w:rsidR="001826FD">
        <w:rPr>
          <w:bCs/>
        </w:rPr>
        <w:t>Jisc</w:t>
      </w:r>
      <w:proofErr w:type="spellEnd"/>
      <w:r w:rsidR="001826FD">
        <w:rPr>
          <w:bCs/>
        </w:rPr>
        <w:t xml:space="preserve">-funded </w:t>
      </w:r>
      <w:r w:rsidR="0075544A">
        <w:rPr>
          <w:bCs/>
        </w:rPr>
        <w:t>service SUNCAT (</w:t>
      </w:r>
      <w:r w:rsidR="001826FD" w:rsidRPr="001826FD">
        <w:rPr>
          <w:bCs/>
        </w:rPr>
        <w:t>Serials Union Catalogue</w:t>
      </w:r>
      <w:r w:rsidR="0075544A">
        <w:rPr>
          <w:bCs/>
        </w:rPr>
        <w:t>)</w:t>
      </w:r>
      <w:r w:rsidR="001826FD" w:rsidRPr="001826FD">
        <w:rPr>
          <w:bCs/>
        </w:rPr>
        <w:t xml:space="preserve"> </w:t>
      </w:r>
      <w:r w:rsidR="001826FD">
        <w:rPr>
          <w:bCs/>
        </w:rPr>
        <w:t>works closely with UKRR and provides essential data that enable</w:t>
      </w:r>
      <w:r w:rsidR="00AF641B">
        <w:rPr>
          <w:bCs/>
        </w:rPr>
        <w:t>s</w:t>
      </w:r>
      <w:r w:rsidR="001826FD">
        <w:rPr>
          <w:bCs/>
        </w:rPr>
        <w:t xml:space="preserve"> UKRR to manage the scarcity checking process centrally.</w:t>
      </w:r>
    </w:p>
    <w:p w14:paraId="671DA340" w14:textId="77777777" w:rsidR="008F4131" w:rsidRDefault="0063373C" w:rsidP="0080097A">
      <w:pPr>
        <w:pStyle w:val="Heading2"/>
      </w:pPr>
      <w:r>
        <w:t xml:space="preserve">2.4 </w:t>
      </w:r>
      <w:r w:rsidR="008F4131">
        <w:t>RLUK</w:t>
      </w:r>
    </w:p>
    <w:p w14:paraId="770CB9B2" w14:textId="77777777" w:rsidR="005B16AF" w:rsidRDefault="008F4131" w:rsidP="008F4131">
      <w:r>
        <w:t>Monograph management has been identified as a priority area for RLUK libraries. Its recent reports</w:t>
      </w:r>
      <w:r w:rsidR="00EB1B9D">
        <w:t xml:space="preserve">, </w:t>
      </w:r>
      <w:hyperlink r:id="rId11" w:history="1">
        <w:r w:rsidR="00EB1B9D" w:rsidRPr="00AB17B6">
          <w:rPr>
            <w:rStyle w:val="Hyperlink"/>
          </w:rPr>
          <w:t>Strength in numbers</w:t>
        </w:r>
      </w:hyperlink>
      <w:r w:rsidR="00EB1B9D">
        <w:t xml:space="preserve"> and the </w:t>
      </w:r>
      <w:hyperlink r:id="rId12" w:history="1">
        <w:proofErr w:type="spellStart"/>
        <w:r w:rsidR="00EB1B9D" w:rsidRPr="00AB17B6">
          <w:rPr>
            <w:rStyle w:val="Hyperlink"/>
          </w:rPr>
          <w:t>Ithaka</w:t>
        </w:r>
        <w:proofErr w:type="spellEnd"/>
        <w:r w:rsidR="00EB1B9D" w:rsidRPr="00AB17B6">
          <w:rPr>
            <w:rStyle w:val="Hyperlink"/>
          </w:rPr>
          <w:t xml:space="preserve"> survey of academics</w:t>
        </w:r>
      </w:hyperlink>
      <w:r w:rsidR="00EB1B9D" w:rsidRPr="00EB1B9D">
        <w:rPr>
          <w:rStyle w:val="Hyperlink"/>
          <w:u w:val="none"/>
        </w:rPr>
        <w:t xml:space="preserve">, </w:t>
      </w:r>
      <w:r>
        <w:t>suggest that the overlap amongst RLUK libraries collections is low and that academics’ acceptance of electronic monographs has pla</w:t>
      </w:r>
      <w:r w:rsidR="005B16AF">
        <w:t xml:space="preserve">teaued. </w:t>
      </w:r>
      <w:r w:rsidR="00EB1B9D">
        <w:t>However, the sector is not confident with the low overlap figures and suspects there maybe issues about the data accuracy.</w:t>
      </w:r>
    </w:p>
    <w:p w14:paraId="3E3CCDA3" w14:textId="77777777" w:rsidR="005B16AF" w:rsidRDefault="0063373C" w:rsidP="005B16AF">
      <w:pPr>
        <w:pStyle w:val="Heading2"/>
      </w:pPr>
      <w:r>
        <w:t xml:space="preserve">2.5 </w:t>
      </w:r>
      <w:r w:rsidR="005B16AF">
        <w:t>SCONUL</w:t>
      </w:r>
    </w:p>
    <w:p w14:paraId="0B0EE0D1" w14:textId="026367D7" w:rsidR="001C6450" w:rsidRDefault="001C6450" w:rsidP="005B16AF">
      <w:r>
        <w:t>As the UK’s largest academic library membership organisation, responsible for representing teaching-focused and research-focused institutions, SCONUL is seeking highly innovative and effective collection management solutions to ensure libraries can maximise long-term sustainability of their collections and value for money. SCONUL sees the development of a national shared collection strategy as a crucial enabler of efficiency at individual library level and of the development of a national digital library for UK HE.</w:t>
      </w:r>
    </w:p>
    <w:p w14:paraId="32C3FB92" w14:textId="77777777" w:rsidR="005B16AF" w:rsidRDefault="0063373C" w:rsidP="005B16AF">
      <w:pPr>
        <w:pStyle w:val="Heading2"/>
      </w:pPr>
      <w:r>
        <w:t xml:space="preserve">2.6 </w:t>
      </w:r>
      <w:r w:rsidR="005B16AF">
        <w:t>UKRR</w:t>
      </w:r>
    </w:p>
    <w:p w14:paraId="2396E815" w14:textId="77777777" w:rsidR="008F4131" w:rsidRDefault="005B16AF" w:rsidP="005B16AF">
      <w:r>
        <w:t>UKRR has been regarded as a trusted mech</w:t>
      </w:r>
      <w:r w:rsidR="007F55D2">
        <w:t xml:space="preserve">anism and ‘part of the infrastructure’ for the disposal of physical </w:t>
      </w:r>
      <w:r w:rsidR="005F09FB">
        <w:t xml:space="preserve">journal </w:t>
      </w:r>
      <w:r>
        <w:t xml:space="preserve">collections whilst ensuring access to </w:t>
      </w:r>
      <w:r w:rsidR="007F55D2">
        <w:t>and the collective print collection itself is managed and preserved.</w:t>
      </w:r>
      <w:r w:rsidR="008F4131">
        <w:t xml:space="preserve"> </w:t>
      </w:r>
      <w:r w:rsidR="007F55D2">
        <w:t>Its recent discussion with members concluded that there is a need to tackle monographs. By working within the European Print Initiatives Collaboration (</w:t>
      </w:r>
      <w:proofErr w:type="spellStart"/>
      <w:r w:rsidR="007F55D2">
        <w:t>EPICo</w:t>
      </w:r>
      <w:proofErr w:type="spellEnd"/>
      <w:r w:rsidR="007F55D2">
        <w:t>), UKRR se</w:t>
      </w:r>
      <w:r w:rsidR="005F09FB">
        <w:t>eks to learn from best practice and explore potential to collaborate on a European level.</w:t>
      </w:r>
    </w:p>
    <w:p w14:paraId="6F523183" w14:textId="77777777" w:rsidR="0066363B" w:rsidRDefault="00DB4E62" w:rsidP="0063373C">
      <w:pPr>
        <w:pStyle w:val="Heading1"/>
        <w:numPr>
          <w:ilvl w:val="0"/>
          <w:numId w:val="5"/>
        </w:numPr>
        <w:ind w:left="426" w:hanging="426"/>
        <w:jc w:val="both"/>
      </w:pPr>
      <w:r>
        <w:t>Indicative Budget</w:t>
      </w:r>
    </w:p>
    <w:p w14:paraId="3F425E29" w14:textId="09D33B62" w:rsidR="0066363B" w:rsidRDefault="00DB4E62" w:rsidP="0066363B">
      <w:pPr>
        <w:jc w:val="both"/>
      </w:pPr>
      <w:r>
        <w:t xml:space="preserve">The </w:t>
      </w:r>
      <w:r w:rsidR="00904C90">
        <w:t xml:space="preserve">funding available </w:t>
      </w:r>
      <w:r w:rsidR="006B3C40">
        <w:t xml:space="preserve">for the feasibility study is </w:t>
      </w:r>
      <w:r w:rsidR="00904C90">
        <w:t xml:space="preserve">up to </w:t>
      </w:r>
      <w:r w:rsidR="006B3C40">
        <w:t>£</w:t>
      </w:r>
      <w:r w:rsidR="001C6450" w:rsidRPr="007C496E">
        <w:t>45,000</w:t>
      </w:r>
      <w:r w:rsidR="006B3C40" w:rsidRPr="007C496E">
        <w:t xml:space="preserve"> including</w:t>
      </w:r>
      <w:r w:rsidR="006B3C40">
        <w:t xml:space="preserve"> VAT.</w:t>
      </w:r>
      <w:r w:rsidR="0066363B" w:rsidRPr="004D3289">
        <w:t xml:space="preserve"> </w:t>
      </w:r>
    </w:p>
    <w:p w14:paraId="70231033" w14:textId="77777777" w:rsidR="00776BE4" w:rsidRDefault="0048098F" w:rsidP="0063373C">
      <w:pPr>
        <w:pStyle w:val="Heading1"/>
        <w:numPr>
          <w:ilvl w:val="0"/>
          <w:numId w:val="5"/>
        </w:numPr>
        <w:ind w:left="426" w:hanging="426"/>
      </w:pPr>
      <w:r>
        <w:t>Terms of Reference</w:t>
      </w:r>
    </w:p>
    <w:p w14:paraId="0C317568" w14:textId="77777777" w:rsidR="0048098F" w:rsidRDefault="0048098F" w:rsidP="0063373C">
      <w:pPr>
        <w:pStyle w:val="ListParagraph"/>
        <w:numPr>
          <w:ilvl w:val="1"/>
          <w:numId w:val="5"/>
        </w:numPr>
        <w:jc w:val="both"/>
      </w:pPr>
      <w:r>
        <w:t>The NMSG</w:t>
      </w:r>
      <w:r w:rsidRPr="0048098F">
        <w:t xml:space="preserve"> is seeking a suitably qualified and experienced Consultant to carry out</w:t>
      </w:r>
      <w:r>
        <w:t xml:space="preserve"> a feasibility study to understand the scope and scale of relevant issues and ultimately to identify </w:t>
      </w:r>
      <w:r w:rsidR="00E63E4C">
        <w:t xml:space="preserve">potential </w:t>
      </w:r>
      <w:r>
        <w:t xml:space="preserve">options </w:t>
      </w:r>
      <w:r w:rsidR="00651705">
        <w:t xml:space="preserve">and strategies </w:t>
      </w:r>
      <w:r>
        <w:t>for a national monograph</w:t>
      </w:r>
      <w:r w:rsidR="00E63E4C">
        <w:t xml:space="preserve"> management</w:t>
      </w:r>
      <w:r>
        <w:t xml:space="preserve"> project.</w:t>
      </w:r>
    </w:p>
    <w:p w14:paraId="6071DA71" w14:textId="0799C904" w:rsidR="00651705" w:rsidRDefault="0048098F" w:rsidP="0063373C">
      <w:pPr>
        <w:pStyle w:val="ListParagraph"/>
        <w:numPr>
          <w:ilvl w:val="1"/>
          <w:numId w:val="5"/>
        </w:numPr>
        <w:jc w:val="both"/>
      </w:pPr>
      <w:r w:rsidRPr="00683148">
        <w:t xml:space="preserve">The feasibility study will be carried </w:t>
      </w:r>
      <w:r w:rsidR="00A26894" w:rsidRPr="00683148">
        <w:t>out over two stages</w:t>
      </w:r>
      <w:r w:rsidRPr="00683148">
        <w:t xml:space="preserve">. </w:t>
      </w:r>
      <w:r w:rsidR="00A26894" w:rsidRPr="00683148">
        <w:t xml:space="preserve">The first stage </w:t>
      </w:r>
      <w:r w:rsidR="00A03BA9">
        <w:t xml:space="preserve">is expected to </w:t>
      </w:r>
      <w:r w:rsidR="00A26894" w:rsidRPr="00683148">
        <w:t>involve</w:t>
      </w:r>
      <w:r w:rsidRPr="00683148">
        <w:t xml:space="preserve"> desk research</w:t>
      </w:r>
      <w:r w:rsidR="00A26894" w:rsidRPr="00683148">
        <w:t xml:space="preserve"> </w:t>
      </w:r>
      <w:r w:rsidR="00A03BA9">
        <w:t xml:space="preserve">and </w:t>
      </w:r>
      <w:r w:rsidR="00271B06">
        <w:t>consultation</w:t>
      </w:r>
      <w:r w:rsidR="00CA6043">
        <w:t xml:space="preserve"> </w:t>
      </w:r>
      <w:r w:rsidR="00A03BA9">
        <w:t xml:space="preserve">to establish what has been </w:t>
      </w:r>
      <w:r w:rsidR="00271B06">
        <w:t xml:space="preserve">done </w:t>
      </w:r>
      <w:r w:rsidR="00A03BA9">
        <w:t xml:space="preserve">around various parts of the </w:t>
      </w:r>
      <w:r w:rsidR="00A03BA9">
        <w:lastRenderedPageBreak/>
        <w:t xml:space="preserve">community </w:t>
      </w:r>
      <w:r w:rsidR="00A26894" w:rsidRPr="00683148">
        <w:t xml:space="preserve">and </w:t>
      </w:r>
      <w:r w:rsidR="00271B06">
        <w:t xml:space="preserve">to </w:t>
      </w:r>
      <w:r w:rsidR="00A26894" w:rsidRPr="00683148">
        <w:t>provide an in-depth understanding of the monograph landscape</w:t>
      </w:r>
      <w:r w:rsidR="00E63E4C" w:rsidRPr="00683148">
        <w:t xml:space="preserve"> here in the UK and internationally. </w:t>
      </w:r>
      <w:r w:rsidR="00A26894" w:rsidRPr="00683148">
        <w:t>The second stage will expand on what’s been learned</w:t>
      </w:r>
      <w:r w:rsidR="00A11A9A" w:rsidRPr="00683148">
        <w:t xml:space="preserve"> from the first stage</w:t>
      </w:r>
      <w:r w:rsidR="00E63E4C" w:rsidRPr="00683148">
        <w:t xml:space="preserve">, design </w:t>
      </w:r>
      <w:r w:rsidR="00E25C30">
        <w:t xml:space="preserve">and explore </w:t>
      </w:r>
      <w:r w:rsidR="00E63E4C" w:rsidRPr="00683148">
        <w:t>potential models</w:t>
      </w:r>
      <w:r w:rsidR="00651705">
        <w:t>,</w:t>
      </w:r>
      <w:r w:rsidR="00E63E4C" w:rsidRPr="00683148">
        <w:t xml:space="preserve"> and gather first-hand evidence to su</w:t>
      </w:r>
      <w:r w:rsidR="00683148" w:rsidRPr="00683148">
        <w:t>pport/reject identified models.</w:t>
      </w:r>
      <w:r w:rsidR="00E25C30">
        <w:t xml:space="preserve"> </w:t>
      </w:r>
    </w:p>
    <w:p w14:paraId="0AD5FBB8" w14:textId="77777777" w:rsidR="00BE4021" w:rsidRDefault="00BE4021" w:rsidP="00904C90">
      <w:pPr>
        <w:ind w:left="709" w:hanging="349"/>
        <w:jc w:val="both"/>
      </w:pPr>
      <w:r w:rsidRPr="00BE4021">
        <w:t>Members of the NMSG have led, involved, and developed various in</w:t>
      </w:r>
      <w:r>
        <w:t>itiatives and services relating to</w:t>
      </w:r>
      <w:r w:rsidRPr="00BE4021">
        <w:t xml:space="preserve"> monographs. The winning bidder is encouraged to discuss with the group before undertaking desk research.</w:t>
      </w:r>
    </w:p>
    <w:p w14:paraId="4E266D14" w14:textId="672C50C5" w:rsidR="0048098F" w:rsidRPr="00683148" w:rsidRDefault="008E45B2" w:rsidP="008E45B2">
      <w:pPr>
        <w:pStyle w:val="ListParagraph"/>
        <w:numPr>
          <w:ilvl w:val="1"/>
          <w:numId w:val="5"/>
        </w:numPr>
        <w:jc w:val="both"/>
      </w:pPr>
      <w:r>
        <w:t xml:space="preserve">Bids </w:t>
      </w:r>
      <w:r w:rsidR="00683148" w:rsidRPr="00683148">
        <w:t>should</w:t>
      </w:r>
      <w:r w:rsidR="00683148">
        <w:t xml:space="preserve"> </w:t>
      </w:r>
      <w:r w:rsidR="007C496E">
        <w:t>address</w:t>
      </w:r>
      <w:r w:rsidR="00427D68" w:rsidRPr="00683148">
        <w:t>, but not</w:t>
      </w:r>
      <w:r w:rsidR="00B27B3A">
        <w:t xml:space="preserve"> be</w:t>
      </w:r>
      <w:r w:rsidR="00427D68" w:rsidRPr="00683148">
        <w:t xml:space="preserve"> limited to the following</w:t>
      </w:r>
      <w:r w:rsidR="00906EEF">
        <w:t xml:space="preserve"> points:</w:t>
      </w:r>
    </w:p>
    <w:p w14:paraId="33336AB0" w14:textId="77777777" w:rsidR="00906EEF" w:rsidRDefault="00683148" w:rsidP="00906EEF">
      <w:pPr>
        <w:pStyle w:val="ListParagraph"/>
        <w:numPr>
          <w:ilvl w:val="2"/>
          <w:numId w:val="8"/>
        </w:numPr>
        <w:jc w:val="both"/>
      </w:pPr>
      <w:r>
        <w:t>Monograph initiatives</w:t>
      </w:r>
    </w:p>
    <w:p w14:paraId="5690B448" w14:textId="77777777" w:rsidR="00906EEF" w:rsidRDefault="00E25C30" w:rsidP="00906EEF">
      <w:pPr>
        <w:pStyle w:val="ListParagraph"/>
        <w:numPr>
          <w:ilvl w:val="3"/>
          <w:numId w:val="8"/>
        </w:numPr>
        <w:jc w:val="both"/>
      </w:pPr>
      <w:r>
        <w:t>Explore initiatives relating to monographs, current and proposed, in the UK and</w:t>
      </w:r>
      <w:r w:rsidR="00AE72F3">
        <w:t xml:space="preserve"> internationally (</w:t>
      </w:r>
      <w:r>
        <w:t>US and Europe</w:t>
      </w:r>
      <w:r w:rsidR="00AE72F3">
        <w:t xml:space="preserve"> in particular</w:t>
      </w:r>
      <w:r>
        <w:t>)</w:t>
      </w:r>
      <w:r w:rsidR="00906EEF">
        <w:t xml:space="preserve"> – their strategies, models, and financial structures</w:t>
      </w:r>
    </w:p>
    <w:p w14:paraId="08611FE7" w14:textId="0216C128" w:rsidR="00906EEF" w:rsidRDefault="00651705" w:rsidP="00906EEF">
      <w:pPr>
        <w:pStyle w:val="ListParagraph"/>
        <w:numPr>
          <w:ilvl w:val="3"/>
          <w:numId w:val="8"/>
        </w:numPr>
        <w:jc w:val="both"/>
      </w:pPr>
      <w:r>
        <w:t>Unders</w:t>
      </w:r>
      <w:r w:rsidR="00DF69DD">
        <w:t xml:space="preserve">tand different dimensions of monograph management: </w:t>
      </w:r>
      <w:r>
        <w:t xml:space="preserve">de-duplication, shared storage, </w:t>
      </w:r>
      <w:r w:rsidR="007C496E">
        <w:t xml:space="preserve">shared collections, </w:t>
      </w:r>
      <w:r>
        <w:t xml:space="preserve">digitisation projects, </w:t>
      </w:r>
      <w:r w:rsidR="00906EEF">
        <w:t xml:space="preserve">data quality and accuracy, </w:t>
      </w:r>
      <w:r w:rsidR="00DF69DD">
        <w:t>collection overlaps, inte</w:t>
      </w:r>
      <w:r w:rsidR="00F15832">
        <w:t>r-library lending, etc</w:t>
      </w:r>
      <w:r w:rsidR="00DF69DD">
        <w:t>.</w:t>
      </w:r>
    </w:p>
    <w:p w14:paraId="11118A0F" w14:textId="77777777" w:rsidR="00906EEF" w:rsidRDefault="008E45B2" w:rsidP="00906EEF">
      <w:pPr>
        <w:pStyle w:val="ListParagraph"/>
        <w:numPr>
          <w:ilvl w:val="2"/>
          <w:numId w:val="8"/>
        </w:numPr>
        <w:jc w:val="both"/>
      </w:pPr>
      <w:r>
        <w:t>Culture</w:t>
      </w:r>
    </w:p>
    <w:p w14:paraId="68EA0A35" w14:textId="77777777" w:rsidR="002E120E" w:rsidRDefault="002E120E" w:rsidP="00906EEF">
      <w:pPr>
        <w:pStyle w:val="ListParagraph"/>
        <w:numPr>
          <w:ilvl w:val="3"/>
          <w:numId w:val="8"/>
        </w:numPr>
        <w:jc w:val="both"/>
      </w:pPr>
      <w:r>
        <w:t>Examine and investigate the community’s overall views about a national monograph management solution:</w:t>
      </w:r>
    </w:p>
    <w:p w14:paraId="75968C43" w14:textId="4C9B7D34" w:rsidR="00906EEF" w:rsidRDefault="008A7621" w:rsidP="002E120E">
      <w:pPr>
        <w:pStyle w:val="ListParagraph"/>
        <w:numPr>
          <w:ilvl w:val="4"/>
          <w:numId w:val="8"/>
        </w:numPr>
        <w:jc w:val="both"/>
      </w:pPr>
      <w:r>
        <w:t>What is the current need for shared services in monograph management</w:t>
      </w:r>
      <w:r w:rsidR="000913E6">
        <w:t xml:space="preserve"> (e.g. </w:t>
      </w:r>
      <w:r w:rsidR="008B0E57">
        <w:t>the development of NBK and other initiatives</w:t>
      </w:r>
      <w:r w:rsidR="000913E6">
        <w:t>)</w:t>
      </w:r>
      <w:r>
        <w:t xml:space="preserve">? </w:t>
      </w:r>
    </w:p>
    <w:p w14:paraId="2B8FCD98" w14:textId="77777777" w:rsidR="002416B2" w:rsidRDefault="008A7621" w:rsidP="002E120E">
      <w:pPr>
        <w:pStyle w:val="ListParagraph"/>
        <w:numPr>
          <w:ilvl w:val="4"/>
          <w:numId w:val="8"/>
        </w:numPr>
        <w:jc w:val="both"/>
      </w:pPr>
      <w:r>
        <w:t xml:space="preserve">What is the anticipated need? </w:t>
      </w:r>
    </w:p>
    <w:p w14:paraId="46CEFF62" w14:textId="77777777" w:rsidR="002416B2" w:rsidRDefault="008A7621" w:rsidP="002E120E">
      <w:pPr>
        <w:pStyle w:val="ListParagraph"/>
        <w:numPr>
          <w:ilvl w:val="4"/>
          <w:numId w:val="8"/>
        </w:numPr>
        <w:jc w:val="both"/>
      </w:pPr>
      <w:r>
        <w:t>What is the appetite within libraries and institutions for shared solutions for monographs?</w:t>
      </w:r>
      <w:r w:rsidR="002E120E">
        <w:t xml:space="preserve"> In particular, with the term ‘shared solutions’, w</w:t>
      </w:r>
      <w:r>
        <w:t>hat</w:t>
      </w:r>
      <w:r w:rsidR="002E120E">
        <w:t xml:space="preserve"> do people envisage them to be - shared storage, s</w:t>
      </w:r>
      <w:r w:rsidR="00A9484C">
        <w:t>hared collections (i.e. de-duplication and managed collaboratively)</w:t>
      </w:r>
      <w:r w:rsidR="002E120E">
        <w:t>, or others</w:t>
      </w:r>
      <w:r w:rsidR="00CE7699">
        <w:t xml:space="preserve">? </w:t>
      </w:r>
      <w:r w:rsidR="002E120E">
        <w:t>If it’s about shared collections, i</w:t>
      </w:r>
      <w:r w:rsidR="00CE7699">
        <w:t>s there a commitment towards the concept of a shared distributed regional or national collection?</w:t>
      </w:r>
    </w:p>
    <w:p w14:paraId="0E28312A" w14:textId="77777777" w:rsidR="002416B2" w:rsidRDefault="00CE7699" w:rsidP="002E120E">
      <w:pPr>
        <w:pStyle w:val="ListParagraph"/>
        <w:numPr>
          <w:ilvl w:val="4"/>
          <w:numId w:val="8"/>
        </w:numPr>
        <w:jc w:val="both"/>
      </w:pPr>
      <w:r>
        <w:t>Under a shared service model, what would be the best policy for ownership</w:t>
      </w:r>
      <w:r w:rsidR="007B4A05">
        <w:t xml:space="preserve"> - l</w:t>
      </w:r>
      <w:r>
        <w:t>ocal ownership</w:t>
      </w:r>
      <w:r w:rsidR="007B4A05">
        <w:t>, s</w:t>
      </w:r>
      <w:r>
        <w:t>hared ownership (e.g. local consortia)</w:t>
      </w:r>
      <w:r w:rsidR="007B4A05">
        <w:t xml:space="preserve"> or n</w:t>
      </w:r>
      <w:r>
        <w:t>ational ownership (i.e. national distributed collection)</w:t>
      </w:r>
      <w:r w:rsidR="007B4A05">
        <w:t>?</w:t>
      </w:r>
      <w:r w:rsidR="00AE72F3">
        <w:t xml:space="preserve"> What are their pros and cons?</w:t>
      </w:r>
    </w:p>
    <w:p w14:paraId="36F2D493" w14:textId="3F2FEEB4" w:rsidR="002416B2" w:rsidRDefault="002E120E" w:rsidP="002416B2">
      <w:pPr>
        <w:pStyle w:val="ListParagraph"/>
        <w:numPr>
          <w:ilvl w:val="3"/>
          <w:numId w:val="8"/>
        </w:numPr>
        <w:jc w:val="both"/>
      </w:pPr>
      <w:r>
        <w:t>Establish factors that influence people’s responses to the above</w:t>
      </w:r>
      <w:r w:rsidR="00593A99">
        <w:t xml:space="preserve"> issues </w:t>
      </w:r>
      <w:r w:rsidR="00D53F12">
        <w:t>–</w:t>
      </w:r>
      <w:r w:rsidR="00593A99">
        <w:t xml:space="preserve"> </w:t>
      </w:r>
      <w:r w:rsidR="00D53F12">
        <w:t xml:space="preserve">for example, </w:t>
      </w:r>
      <w:r w:rsidR="00593A99">
        <w:t>disciplinary differences, country of publication,</w:t>
      </w:r>
      <w:r w:rsidR="00CE7699">
        <w:t xml:space="preserve"> </w:t>
      </w:r>
      <w:r w:rsidR="00390E81">
        <w:t>date of publication</w:t>
      </w:r>
      <w:r w:rsidR="00B27B3A">
        <w:t xml:space="preserve">, </w:t>
      </w:r>
      <w:r w:rsidR="00CA6043">
        <w:t xml:space="preserve">and </w:t>
      </w:r>
      <w:r w:rsidR="00B27B3A">
        <w:t>geographical location of institution</w:t>
      </w:r>
      <w:r w:rsidR="00593A99">
        <w:t>.</w:t>
      </w:r>
    </w:p>
    <w:p w14:paraId="1CD1EDB6" w14:textId="77777777" w:rsidR="002416B2" w:rsidRDefault="006E18F1" w:rsidP="002416B2">
      <w:pPr>
        <w:pStyle w:val="ListParagraph"/>
        <w:numPr>
          <w:ilvl w:val="2"/>
          <w:numId w:val="8"/>
        </w:numPr>
        <w:jc w:val="both"/>
      </w:pPr>
      <w:r>
        <w:t>Physical s</w:t>
      </w:r>
      <w:r w:rsidR="00684D83">
        <w:t>torage</w:t>
      </w:r>
    </w:p>
    <w:p w14:paraId="3C991E95" w14:textId="2A238AD5" w:rsidR="00593A99" w:rsidRDefault="00593A99" w:rsidP="002416B2">
      <w:pPr>
        <w:pStyle w:val="ListParagraph"/>
        <w:numPr>
          <w:ilvl w:val="3"/>
          <w:numId w:val="8"/>
        </w:numPr>
        <w:jc w:val="both"/>
      </w:pPr>
      <w:r>
        <w:t>Explore the role of</w:t>
      </w:r>
      <w:r w:rsidR="008B115C">
        <w:t xml:space="preserve"> physical storage facilities in the context of</w:t>
      </w:r>
      <w:r>
        <w:t xml:space="preserve"> national monograph management? </w:t>
      </w:r>
    </w:p>
    <w:p w14:paraId="59370E32" w14:textId="77777777" w:rsidR="002416B2" w:rsidRDefault="00593A99" w:rsidP="00593A99">
      <w:pPr>
        <w:pStyle w:val="ListParagraph"/>
        <w:numPr>
          <w:ilvl w:val="4"/>
          <w:numId w:val="8"/>
        </w:numPr>
        <w:jc w:val="both"/>
      </w:pPr>
      <w:r>
        <w:t xml:space="preserve">Is it essential? If so, </w:t>
      </w:r>
      <w:r w:rsidR="00684D83">
        <w:t xml:space="preserve">who will be the most suitable partner </w:t>
      </w:r>
      <w:r>
        <w:t xml:space="preserve">to develop this further </w:t>
      </w:r>
      <w:r w:rsidR="008B115C">
        <w:t xml:space="preserve">with </w:t>
      </w:r>
      <w:r w:rsidR="00684D83">
        <w:t xml:space="preserve">– </w:t>
      </w:r>
      <w:r w:rsidR="008B115C">
        <w:t xml:space="preserve">the </w:t>
      </w:r>
      <w:r w:rsidR="00684D83">
        <w:t>BL, com</w:t>
      </w:r>
      <w:r>
        <w:t xml:space="preserve">mercial suppliers, or </w:t>
      </w:r>
      <w:r w:rsidR="00684D83">
        <w:t>consortia</w:t>
      </w:r>
      <w:r>
        <w:t xml:space="preserve"> owned by the community</w:t>
      </w:r>
      <w:r w:rsidR="00684D83">
        <w:t>?</w:t>
      </w:r>
    </w:p>
    <w:p w14:paraId="30288CBA" w14:textId="77777777" w:rsidR="002416B2" w:rsidRDefault="00593A99" w:rsidP="002416B2">
      <w:pPr>
        <w:pStyle w:val="ListParagraph"/>
        <w:numPr>
          <w:ilvl w:val="3"/>
          <w:numId w:val="8"/>
        </w:numPr>
        <w:jc w:val="both"/>
      </w:pPr>
      <w:r>
        <w:t>Examine</w:t>
      </w:r>
      <w:r w:rsidR="00EF081A">
        <w:t xml:space="preserve"> the current state o</w:t>
      </w:r>
      <w:r>
        <w:t>f institutional/library storage</w:t>
      </w:r>
    </w:p>
    <w:p w14:paraId="1EAB7904" w14:textId="77777777" w:rsidR="002416B2" w:rsidRDefault="00593A99" w:rsidP="002416B2">
      <w:pPr>
        <w:pStyle w:val="ListParagraph"/>
        <w:numPr>
          <w:ilvl w:val="3"/>
          <w:numId w:val="8"/>
        </w:numPr>
        <w:jc w:val="both"/>
      </w:pPr>
      <w:r>
        <w:t xml:space="preserve">Analyse </w:t>
      </w:r>
      <w:r w:rsidR="00684D83">
        <w:t>institutions</w:t>
      </w:r>
      <w:r>
        <w:t>’ interest</w:t>
      </w:r>
      <w:r w:rsidR="00684D83">
        <w:t xml:space="preserve"> in pursuing local, regional or national storage solutions?</w:t>
      </w:r>
    </w:p>
    <w:p w14:paraId="334E3FD5" w14:textId="77777777" w:rsidR="002416B2" w:rsidRDefault="006E18F1" w:rsidP="002416B2">
      <w:pPr>
        <w:pStyle w:val="ListParagraph"/>
        <w:numPr>
          <w:ilvl w:val="2"/>
          <w:numId w:val="8"/>
        </w:numPr>
        <w:jc w:val="both"/>
      </w:pPr>
      <w:r>
        <w:t>Digital s</w:t>
      </w:r>
      <w:r w:rsidR="00EF081A">
        <w:t>urrogates</w:t>
      </w:r>
    </w:p>
    <w:p w14:paraId="5BF39CC1" w14:textId="77777777" w:rsidR="00686997" w:rsidRDefault="00593A99" w:rsidP="002416B2">
      <w:pPr>
        <w:pStyle w:val="ListParagraph"/>
        <w:numPr>
          <w:ilvl w:val="3"/>
          <w:numId w:val="8"/>
        </w:numPr>
        <w:jc w:val="both"/>
      </w:pPr>
      <w:r>
        <w:t>Understand the landscape of digitisation projects</w:t>
      </w:r>
    </w:p>
    <w:p w14:paraId="2BD171CE" w14:textId="77777777" w:rsidR="002416B2" w:rsidRDefault="00EF081A" w:rsidP="00686997">
      <w:pPr>
        <w:pStyle w:val="ListParagraph"/>
        <w:numPr>
          <w:ilvl w:val="4"/>
          <w:numId w:val="8"/>
        </w:numPr>
        <w:jc w:val="both"/>
      </w:pPr>
      <w:r>
        <w:lastRenderedPageBreak/>
        <w:t>Do we have the correct data to enable informed decision making</w:t>
      </w:r>
      <w:r w:rsidR="00686997">
        <w:t xml:space="preserve"> between print and digital surrogates</w:t>
      </w:r>
      <w:r>
        <w:t>?</w:t>
      </w:r>
    </w:p>
    <w:p w14:paraId="1D07AF93" w14:textId="77777777" w:rsidR="002416B2" w:rsidRDefault="00EF081A" w:rsidP="00686997">
      <w:pPr>
        <w:pStyle w:val="ListParagraph"/>
        <w:numPr>
          <w:ilvl w:val="4"/>
          <w:numId w:val="8"/>
        </w:numPr>
        <w:jc w:val="both"/>
      </w:pPr>
      <w:r>
        <w:t xml:space="preserve">How easy is it to know </w:t>
      </w:r>
      <w:r w:rsidR="008A71BD">
        <w:t>if a digital surrogate</w:t>
      </w:r>
      <w:r>
        <w:t xml:space="preserve"> exists</w:t>
      </w:r>
      <w:r w:rsidR="008B115C" w:rsidRPr="008B115C">
        <w:t xml:space="preserve"> </w:t>
      </w:r>
      <w:r w:rsidR="008B115C">
        <w:t>for a given print item</w:t>
      </w:r>
      <w:r>
        <w:t>?</w:t>
      </w:r>
    </w:p>
    <w:p w14:paraId="4AE755AC" w14:textId="77777777" w:rsidR="006E18F1" w:rsidRDefault="00686997" w:rsidP="002416B2">
      <w:pPr>
        <w:pStyle w:val="ListParagraph"/>
        <w:numPr>
          <w:ilvl w:val="3"/>
          <w:numId w:val="8"/>
        </w:numPr>
        <w:jc w:val="both"/>
      </w:pPr>
      <w:r>
        <w:t>Evaluate h</w:t>
      </w:r>
      <w:r w:rsidR="008A71BD">
        <w:t xml:space="preserve">ow the existence of digital surrogates </w:t>
      </w:r>
      <w:r>
        <w:t xml:space="preserve">would/should </w:t>
      </w:r>
      <w:r w:rsidR="008A71BD">
        <w:t>affect discussions on ret</w:t>
      </w:r>
      <w:r w:rsidR="006E18F1">
        <w:t>ention and/or physical storage</w:t>
      </w:r>
      <w:r w:rsidR="008B115C">
        <w:t xml:space="preserve"> of print</w:t>
      </w:r>
      <w:r w:rsidR="006E18F1">
        <w:t>?</w:t>
      </w:r>
    </w:p>
    <w:p w14:paraId="27CE74F6" w14:textId="77777777" w:rsidR="002416B2" w:rsidRDefault="002416B2" w:rsidP="002416B2">
      <w:pPr>
        <w:pStyle w:val="ListParagraph"/>
        <w:numPr>
          <w:ilvl w:val="2"/>
          <w:numId w:val="8"/>
        </w:numPr>
        <w:jc w:val="both"/>
      </w:pPr>
      <w:r>
        <w:t>Data</w:t>
      </w:r>
    </w:p>
    <w:p w14:paraId="3669D42A" w14:textId="77777777" w:rsidR="00686997" w:rsidRDefault="00686997" w:rsidP="002416B2">
      <w:pPr>
        <w:pStyle w:val="ListParagraph"/>
        <w:numPr>
          <w:ilvl w:val="3"/>
          <w:numId w:val="8"/>
        </w:numPr>
        <w:jc w:val="both"/>
      </w:pPr>
      <w:r>
        <w:t>Analyse issues associated with data</w:t>
      </w:r>
    </w:p>
    <w:p w14:paraId="14FD1E16" w14:textId="77777777" w:rsidR="002416B2" w:rsidRDefault="000E03A4" w:rsidP="00686997">
      <w:pPr>
        <w:pStyle w:val="ListParagraph"/>
        <w:numPr>
          <w:ilvl w:val="4"/>
          <w:numId w:val="8"/>
        </w:numPr>
        <w:jc w:val="both"/>
      </w:pPr>
      <w:r>
        <w:t>What are the barriers to improving the quality of data</w:t>
      </w:r>
      <w:r w:rsidR="002416B2">
        <w:t>?</w:t>
      </w:r>
    </w:p>
    <w:p w14:paraId="4D77E8C4" w14:textId="77777777" w:rsidR="002416B2" w:rsidRDefault="002416B2" w:rsidP="00686997">
      <w:pPr>
        <w:pStyle w:val="ListParagraph"/>
        <w:numPr>
          <w:ilvl w:val="4"/>
          <w:numId w:val="8"/>
        </w:numPr>
        <w:jc w:val="both"/>
      </w:pPr>
      <w:r>
        <w:t>Would institutions commit to upgrading and maintaining data in order to support a collective national initiative?</w:t>
      </w:r>
    </w:p>
    <w:p w14:paraId="0C297894" w14:textId="77777777" w:rsidR="00686997" w:rsidRDefault="00686997" w:rsidP="00686997">
      <w:pPr>
        <w:pStyle w:val="ListParagraph"/>
        <w:numPr>
          <w:ilvl w:val="3"/>
          <w:numId w:val="8"/>
        </w:numPr>
        <w:jc w:val="both"/>
      </w:pPr>
      <w:r>
        <w:t>Understand challenges associated with data</w:t>
      </w:r>
    </w:p>
    <w:p w14:paraId="2E038348" w14:textId="77777777" w:rsidR="0080097A" w:rsidRDefault="002416B2" w:rsidP="00686997">
      <w:pPr>
        <w:pStyle w:val="ListParagraph"/>
        <w:numPr>
          <w:ilvl w:val="4"/>
          <w:numId w:val="8"/>
        </w:numPr>
        <w:jc w:val="both"/>
      </w:pPr>
      <w:r>
        <w:t xml:space="preserve">Does the community have </w:t>
      </w:r>
      <w:r w:rsidR="0080097A">
        <w:t>accurate data to enable matching and decision-making?</w:t>
      </w:r>
    </w:p>
    <w:p w14:paraId="57D03FDD" w14:textId="77777777" w:rsidR="00701ACB" w:rsidRDefault="00701ACB" w:rsidP="0080097A">
      <w:pPr>
        <w:pStyle w:val="ListParagraph"/>
        <w:numPr>
          <w:ilvl w:val="2"/>
          <w:numId w:val="8"/>
        </w:numPr>
        <w:jc w:val="both"/>
      </w:pPr>
      <w:r>
        <w:t>Inter-library lending</w:t>
      </w:r>
    </w:p>
    <w:p w14:paraId="6B2EF1E6" w14:textId="77777777" w:rsidR="00686997" w:rsidRDefault="00686997" w:rsidP="0080097A">
      <w:pPr>
        <w:pStyle w:val="ListParagraph"/>
        <w:numPr>
          <w:ilvl w:val="3"/>
          <w:numId w:val="8"/>
        </w:numPr>
        <w:jc w:val="both"/>
      </w:pPr>
      <w:r>
        <w:t xml:space="preserve">Consider </w:t>
      </w:r>
      <w:r w:rsidR="000E03A4">
        <w:t xml:space="preserve">the current Copyright, Designs and Patents Act </w:t>
      </w:r>
      <w:r>
        <w:t>and the proposed potential model(s):</w:t>
      </w:r>
    </w:p>
    <w:p w14:paraId="030304FC" w14:textId="77777777" w:rsidR="0080097A" w:rsidRDefault="0080097A" w:rsidP="00686997">
      <w:pPr>
        <w:pStyle w:val="ListParagraph"/>
        <w:numPr>
          <w:ilvl w:val="4"/>
          <w:numId w:val="8"/>
        </w:numPr>
        <w:jc w:val="both"/>
      </w:pPr>
      <w:r>
        <w:t>Are current systems sufficiently robust?</w:t>
      </w:r>
    </w:p>
    <w:p w14:paraId="25E2F7EA" w14:textId="77777777" w:rsidR="0080097A" w:rsidRDefault="0080097A" w:rsidP="00686997">
      <w:pPr>
        <w:pStyle w:val="ListParagraph"/>
        <w:numPr>
          <w:ilvl w:val="4"/>
          <w:numId w:val="8"/>
        </w:numPr>
        <w:jc w:val="both"/>
      </w:pPr>
      <w:r>
        <w:t>Does rarity of ‘final’ copies affect willingness to lend?</w:t>
      </w:r>
    </w:p>
    <w:p w14:paraId="0F4D809D" w14:textId="77777777" w:rsidR="006E18F1" w:rsidRDefault="0080097A" w:rsidP="00562EC8">
      <w:pPr>
        <w:pStyle w:val="ListParagraph"/>
        <w:numPr>
          <w:ilvl w:val="4"/>
          <w:numId w:val="8"/>
        </w:numPr>
        <w:jc w:val="both"/>
      </w:pPr>
      <w:r>
        <w:t xml:space="preserve">Would reliable information on </w:t>
      </w:r>
      <w:r w:rsidR="008F55C0">
        <w:t xml:space="preserve">and availability of </w:t>
      </w:r>
      <w:r>
        <w:t xml:space="preserve">digital surrogates influence the number of copies retained in </w:t>
      </w:r>
      <w:r w:rsidR="008B115C">
        <w:t>t</w:t>
      </w:r>
      <w:r>
        <w:t>he distributed national collection?</w:t>
      </w:r>
    </w:p>
    <w:p w14:paraId="2B4BBEC9" w14:textId="77777777" w:rsidR="003704A8" w:rsidRDefault="003704A8" w:rsidP="003704A8">
      <w:pPr>
        <w:pStyle w:val="ListParagraph"/>
        <w:numPr>
          <w:ilvl w:val="2"/>
          <w:numId w:val="8"/>
        </w:numPr>
        <w:jc w:val="both"/>
      </w:pPr>
      <w:r>
        <w:t>Model(s)</w:t>
      </w:r>
    </w:p>
    <w:p w14:paraId="13E2DDE5" w14:textId="77777777" w:rsidR="004F6FA0" w:rsidRDefault="004F6FA0" w:rsidP="003704A8">
      <w:pPr>
        <w:pStyle w:val="ListParagraph"/>
        <w:numPr>
          <w:ilvl w:val="3"/>
          <w:numId w:val="8"/>
        </w:numPr>
        <w:jc w:val="both"/>
      </w:pPr>
      <w:r>
        <w:t xml:space="preserve">Identify and evaluate potential models for </w:t>
      </w:r>
      <w:r w:rsidR="00473981">
        <w:t xml:space="preserve">print </w:t>
      </w:r>
      <w:r>
        <w:t>monograph management</w:t>
      </w:r>
    </w:p>
    <w:p w14:paraId="01674880" w14:textId="560A9ED0" w:rsidR="003704A8" w:rsidRDefault="003704A8" w:rsidP="004F6FA0">
      <w:pPr>
        <w:pStyle w:val="ListParagraph"/>
        <w:numPr>
          <w:ilvl w:val="4"/>
          <w:numId w:val="8"/>
        </w:numPr>
        <w:jc w:val="both"/>
      </w:pPr>
      <w:r>
        <w:t>What model</w:t>
      </w:r>
      <w:r w:rsidR="007C496E">
        <w:t>(</w:t>
      </w:r>
      <w:r>
        <w:t>s</w:t>
      </w:r>
      <w:r w:rsidR="007C496E">
        <w:t>)</w:t>
      </w:r>
      <w:r>
        <w:t xml:space="preserve"> would best suit local needs?</w:t>
      </w:r>
    </w:p>
    <w:p w14:paraId="725513B7" w14:textId="4BCB2975" w:rsidR="003704A8" w:rsidRDefault="003704A8" w:rsidP="004F6FA0">
      <w:pPr>
        <w:pStyle w:val="ListParagraph"/>
        <w:numPr>
          <w:ilvl w:val="4"/>
          <w:numId w:val="8"/>
        </w:numPr>
        <w:jc w:val="both"/>
      </w:pPr>
      <w:r>
        <w:t>What model</w:t>
      </w:r>
      <w:r w:rsidR="007C496E">
        <w:t>(</w:t>
      </w:r>
      <w:r>
        <w:t>s</w:t>
      </w:r>
      <w:r w:rsidR="007C496E">
        <w:t>)</w:t>
      </w:r>
      <w:r>
        <w:t xml:space="preserve"> might be palatable to institutions/libraries?</w:t>
      </w:r>
    </w:p>
    <w:p w14:paraId="212B23EE" w14:textId="08DE200C" w:rsidR="003704A8" w:rsidRDefault="00562EC8" w:rsidP="003704A8">
      <w:pPr>
        <w:pStyle w:val="ListParagraph"/>
        <w:numPr>
          <w:ilvl w:val="3"/>
          <w:numId w:val="8"/>
        </w:numPr>
        <w:jc w:val="both"/>
      </w:pPr>
      <w:r>
        <w:t>Evaluate</w:t>
      </w:r>
      <w:r w:rsidR="003704A8">
        <w:t xml:space="preserve"> the concept of ‘preservation’ and ‘holding’ copies being developed by UKRR for journals </w:t>
      </w:r>
      <w:r>
        <w:t xml:space="preserve">and whether it is </w:t>
      </w:r>
      <w:r w:rsidR="003704A8">
        <w:t xml:space="preserve">relevant for </w:t>
      </w:r>
      <w:r w:rsidR="003704A8" w:rsidRPr="00AE72F3">
        <w:t>monographs</w:t>
      </w:r>
      <w:r>
        <w:t xml:space="preserve"> and should be applied in </w:t>
      </w:r>
      <w:r w:rsidR="007C496E">
        <w:t xml:space="preserve">a </w:t>
      </w:r>
      <w:r>
        <w:t>monograph model</w:t>
      </w:r>
      <w:r w:rsidR="003704A8">
        <w:t xml:space="preserve"> </w:t>
      </w:r>
    </w:p>
    <w:p w14:paraId="0F0E1AEF" w14:textId="77777777" w:rsidR="00562EC8" w:rsidRPr="00AE6995" w:rsidRDefault="00562EC8" w:rsidP="003704A8">
      <w:pPr>
        <w:pStyle w:val="ListParagraph"/>
        <w:numPr>
          <w:ilvl w:val="3"/>
          <w:numId w:val="8"/>
        </w:numPr>
        <w:jc w:val="both"/>
      </w:pPr>
      <w:r w:rsidRPr="00904C90">
        <w:t>Understand financial implications of a national monograph management project</w:t>
      </w:r>
    </w:p>
    <w:p w14:paraId="2B2C0284" w14:textId="77777777" w:rsidR="00562EC8" w:rsidRPr="00AE6995" w:rsidRDefault="003704A8" w:rsidP="00562EC8">
      <w:pPr>
        <w:pStyle w:val="ListParagraph"/>
        <w:numPr>
          <w:ilvl w:val="4"/>
          <w:numId w:val="8"/>
        </w:numPr>
        <w:jc w:val="both"/>
      </w:pPr>
      <w:r w:rsidRPr="00904C90">
        <w:t>What would be the estimated costs</w:t>
      </w:r>
      <w:r w:rsidR="00562EC8" w:rsidRPr="00904C90">
        <w:t>?</w:t>
      </w:r>
    </w:p>
    <w:p w14:paraId="52694490" w14:textId="77777777" w:rsidR="003704A8" w:rsidRPr="00AE6995" w:rsidRDefault="00562EC8" w:rsidP="00562EC8">
      <w:pPr>
        <w:pStyle w:val="ListParagraph"/>
        <w:numPr>
          <w:ilvl w:val="4"/>
          <w:numId w:val="8"/>
        </w:numPr>
        <w:jc w:val="both"/>
      </w:pPr>
      <w:r w:rsidRPr="00904C90">
        <w:t xml:space="preserve">What would be the </w:t>
      </w:r>
      <w:r w:rsidR="003704A8" w:rsidRPr="00904C90">
        <w:t>potential savings?</w:t>
      </w:r>
    </w:p>
    <w:p w14:paraId="2B783483" w14:textId="77777777" w:rsidR="00CF0908" w:rsidRPr="00904C90" w:rsidRDefault="00562EC8" w:rsidP="003704A8">
      <w:pPr>
        <w:pStyle w:val="ListParagraph"/>
        <w:numPr>
          <w:ilvl w:val="3"/>
          <w:numId w:val="8"/>
        </w:numPr>
        <w:jc w:val="both"/>
      </w:pPr>
      <w:r w:rsidRPr="00904C90">
        <w:t>Analyse the effects and impact if the community takes no action</w:t>
      </w:r>
    </w:p>
    <w:p w14:paraId="6FDA7FB4" w14:textId="363BA955" w:rsidR="00C03A07" w:rsidRDefault="00254A08" w:rsidP="0060540B">
      <w:pPr>
        <w:pStyle w:val="Heading1"/>
        <w:numPr>
          <w:ilvl w:val="0"/>
          <w:numId w:val="5"/>
        </w:numPr>
        <w:ind w:left="426" w:hanging="426"/>
        <w:jc w:val="both"/>
      </w:pPr>
      <w:r>
        <w:t>Deliverables and Timetable</w:t>
      </w:r>
    </w:p>
    <w:p w14:paraId="2C62200B" w14:textId="4B75D0DC" w:rsidR="005976C5" w:rsidRDefault="0080097A" w:rsidP="00701ACB">
      <w:pPr>
        <w:contextualSpacing/>
        <w:jc w:val="both"/>
        <w:rPr>
          <w:rFonts w:cs="Arial"/>
        </w:rPr>
      </w:pPr>
      <w:r>
        <w:rPr>
          <w:rFonts w:cs="Arial"/>
        </w:rPr>
        <w:t xml:space="preserve">Tenders should be received no later than </w:t>
      </w:r>
      <w:r w:rsidR="00530DD8" w:rsidRPr="00334154">
        <w:rPr>
          <w:rFonts w:cs="Arial"/>
          <w:b/>
        </w:rPr>
        <w:t xml:space="preserve">12 </w:t>
      </w:r>
      <w:r w:rsidR="002E112F" w:rsidRPr="00334154">
        <w:rPr>
          <w:rFonts w:cs="Arial"/>
          <w:b/>
        </w:rPr>
        <w:t>noon</w:t>
      </w:r>
      <w:r w:rsidR="0095076A" w:rsidRPr="00334154">
        <w:rPr>
          <w:rFonts w:cs="Arial"/>
          <w:b/>
        </w:rPr>
        <w:t xml:space="preserve"> </w:t>
      </w:r>
      <w:r w:rsidR="00901AEB">
        <w:rPr>
          <w:rFonts w:cs="Arial"/>
          <w:b/>
        </w:rPr>
        <w:t xml:space="preserve">10 </w:t>
      </w:r>
      <w:r w:rsidR="0095076A" w:rsidRPr="00334154">
        <w:rPr>
          <w:rFonts w:cs="Arial"/>
          <w:b/>
        </w:rPr>
        <w:t>November</w:t>
      </w:r>
      <w:r w:rsidR="002E112F" w:rsidRPr="00334154">
        <w:rPr>
          <w:rFonts w:cs="Arial"/>
          <w:b/>
        </w:rPr>
        <w:t xml:space="preserve"> 2016</w:t>
      </w:r>
      <w:r w:rsidR="002E112F" w:rsidRPr="00334154">
        <w:rPr>
          <w:rFonts w:cs="Arial"/>
        </w:rPr>
        <w:t>.</w:t>
      </w:r>
      <w:r w:rsidR="002E112F">
        <w:rPr>
          <w:rFonts w:cs="Arial"/>
        </w:rPr>
        <w:t xml:space="preserve"> Tenders received after the deadline will not be accepted.</w:t>
      </w:r>
      <w:r w:rsidR="005976C5">
        <w:rPr>
          <w:rFonts w:cs="Arial"/>
        </w:rPr>
        <w:t xml:space="preserve"> The timetable for this ITT is as follows and may be subject to change without further notice:</w:t>
      </w:r>
    </w:p>
    <w:p w14:paraId="4B73FF04" w14:textId="77777777" w:rsidR="005976C5" w:rsidRDefault="005976C5" w:rsidP="00701ACB">
      <w:pPr>
        <w:contextualSpacing/>
        <w:jc w:val="both"/>
        <w:rPr>
          <w:rFonts w:cs="Arial"/>
        </w:rPr>
      </w:pPr>
    </w:p>
    <w:p w14:paraId="3C0B1F0F" w14:textId="77777777" w:rsidR="00530DD8" w:rsidRDefault="00530DD8" w:rsidP="00701ACB">
      <w:pPr>
        <w:contextualSpacing/>
        <w:jc w:val="both"/>
        <w:rPr>
          <w:rFonts w:cs="Arial"/>
        </w:rPr>
      </w:pPr>
    </w:p>
    <w:p w14:paraId="1B3839FD" w14:textId="77777777" w:rsidR="00334154" w:rsidRDefault="00334154" w:rsidP="00701ACB">
      <w:pPr>
        <w:contextualSpacing/>
        <w:jc w:val="both"/>
        <w:rPr>
          <w:rFonts w:cs="Arial"/>
        </w:rPr>
      </w:pPr>
    </w:p>
    <w:p w14:paraId="57156292" w14:textId="77777777" w:rsidR="00334154" w:rsidRDefault="00334154" w:rsidP="00701ACB">
      <w:pPr>
        <w:contextualSpacing/>
        <w:jc w:val="both"/>
        <w:rPr>
          <w:rFonts w:cs="Arial"/>
        </w:rPr>
      </w:pPr>
    </w:p>
    <w:p w14:paraId="6A7355B3" w14:textId="77777777" w:rsidR="00334154" w:rsidRDefault="00334154" w:rsidP="00701ACB">
      <w:pPr>
        <w:contextualSpacing/>
        <w:jc w:val="both"/>
        <w:rPr>
          <w:rFonts w:cs="Arial"/>
        </w:rPr>
      </w:pPr>
    </w:p>
    <w:p w14:paraId="65ABABFC" w14:textId="77777777" w:rsidR="00334154" w:rsidRDefault="00334154" w:rsidP="00701ACB">
      <w:pPr>
        <w:contextualSpacing/>
        <w:jc w:val="both"/>
        <w:rPr>
          <w:rFonts w:cs="Arial"/>
        </w:rPr>
      </w:pPr>
    </w:p>
    <w:p w14:paraId="05F1DB56" w14:textId="77777777" w:rsidR="00334154" w:rsidRDefault="00334154" w:rsidP="00701ACB">
      <w:pPr>
        <w:contextualSpacing/>
        <w:jc w:val="both"/>
        <w:rPr>
          <w:rFonts w:cs="Arial"/>
        </w:rPr>
      </w:pPr>
    </w:p>
    <w:p w14:paraId="2A781E3A" w14:textId="77777777" w:rsidR="00334154" w:rsidRDefault="00334154" w:rsidP="00701ACB">
      <w:pPr>
        <w:contextualSpacing/>
        <w:jc w:val="both"/>
        <w:rPr>
          <w:rFonts w:cs="Arial"/>
        </w:rPr>
      </w:pPr>
    </w:p>
    <w:p w14:paraId="5D2C6272" w14:textId="77777777" w:rsidR="00334154" w:rsidRDefault="00334154" w:rsidP="00701ACB">
      <w:pPr>
        <w:contextualSpacing/>
        <w:jc w:val="both"/>
        <w:rPr>
          <w:rFonts w:cs="Arial"/>
        </w:rPr>
      </w:pPr>
    </w:p>
    <w:tbl>
      <w:tblPr>
        <w:tblStyle w:val="TableGrid"/>
        <w:tblpPr w:leftFromText="180" w:rightFromText="180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76C5" w14:paraId="1180EACB" w14:textId="77777777" w:rsidTr="008F55C0">
        <w:tc>
          <w:tcPr>
            <w:tcW w:w="4621" w:type="dxa"/>
          </w:tcPr>
          <w:p w14:paraId="11B35DCA" w14:textId="77777777" w:rsidR="005976C5" w:rsidRPr="005976C5" w:rsidRDefault="005976C5" w:rsidP="005976C5">
            <w:pPr>
              <w:contextualSpacing/>
              <w:jc w:val="both"/>
              <w:rPr>
                <w:rFonts w:cs="Arial"/>
                <w:b/>
              </w:rPr>
            </w:pPr>
            <w:r w:rsidRPr="005976C5">
              <w:rPr>
                <w:rFonts w:cs="Arial"/>
                <w:b/>
              </w:rPr>
              <w:t>Activity</w:t>
            </w:r>
          </w:p>
        </w:tc>
        <w:tc>
          <w:tcPr>
            <w:tcW w:w="4621" w:type="dxa"/>
          </w:tcPr>
          <w:p w14:paraId="2921D1F8" w14:textId="77777777" w:rsidR="005976C5" w:rsidRPr="005976C5" w:rsidRDefault="005976C5" w:rsidP="005976C5">
            <w:pPr>
              <w:contextualSpacing/>
              <w:jc w:val="both"/>
              <w:rPr>
                <w:rFonts w:cs="Arial"/>
                <w:b/>
              </w:rPr>
            </w:pPr>
            <w:r w:rsidRPr="005976C5">
              <w:rPr>
                <w:rFonts w:cs="Arial"/>
                <w:b/>
              </w:rPr>
              <w:t>Date</w:t>
            </w:r>
          </w:p>
        </w:tc>
      </w:tr>
      <w:tr w:rsidR="005976C5" w14:paraId="2477F7A5" w14:textId="77777777" w:rsidTr="008F55C0">
        <w:tc>
          <w:tcPr>
            <w:tcW w:w="4621" w:type="dxa"/>
          </w:tcPr>
          <w:p w14:paraId="19BC1D1A" w14:textId="77777777" w:rsidR="005976C5" w:rsidRDefault="008B115C" w:rsidP="005976C5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ITT documentation</w:t>
            </w:r>
            <w:r w:rsidR="00530DD8">
              <w:rPr>
                <w:rFonts w:cs="Arial"/>
              </w:rPr>
              <w:t xml:space="preserve"> issued</w:t>
            </w:r>
          </w:p>
        </w:tc>
        <w:tc>
          <w:tcPr>
            <w:tcW w:w="4621" w:type="dxa"/>
          </w:tcPr>
          <w:p w14:paraId="60B5407D" w14:textId="46AB3DEA" w:rsidR="005976C5" w:rsidRPr="00334154" w:rsidRDefault="00901AEB" w:rsidP="00BD0B56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5379F">
              <w:rPr>
                <w:rFonts w:cs="Arial"/>
              </w:rPr>
              <w:t>9</w:t>
            </w:r>
            <w:r w:rsidR="002E5BB1" w:rsidRPr="00334154">
              <w:rPr>
                <w:rFonts w:cs="Arial"/>
              </w:rPr>
              <w:t xml:space="preserve"> </w:t>
            </w:r>
            <w:r w:rsidR="00BD0B56" w:rsidRPr="00334154">
              <w:rPr>
                <w:rFonts w:cs="Arial"/>
              </w:rPr>
              <w:t xml:space="preserve">October </w:t>
            </w:r>
            <w:r w:rsidR="00530DD8" w:rsidRPr="00334154">
              <w:rPr>
                <w:rFonts w:cs="Arial"/>
              </w:rPr>
              <w:t>2016</w:t>
            </w:r>
          </w:p>
        </w:tc>
      </w:tr>
      <w:tr w:rsidR="005976C5" w14:paraId="58B232EB" w14:textId="77777777" w:rsidTr="008F55C0">
        <w:tc>
          <w:tcPr>
            <w:tcW w:w="4621" w:type="dxa"/>
          </w:tcPr>
          <w:p w14:paraId="29642E90" w14:textId="77777777" w:rsidR="005976C5" w:rsidRDefault="00530DD8" w:rsidP="005976C5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Final date for questions</w:t>
            </w:r>
          </w:p>
        </w:tc>
        <w:tc>
          <w:tcPr>
            <w:tcW w:w="4621" w:type="dxa"/>
          </w:tcPr>
          <w:p w14:paraId="035B17F1" w14:textId="2FA94140" w:rsidR="005976C5" w:rsidRPr="00334154" w:rsidRDefault="00901AEB" w:rsidP="005976C5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4 November</w:t>
            </w:r>
            <w:r w:rsidR="00BD0B56" w:rsidRPr="00334154">
              <w:rPr>
                <w:rFonts w:cs="Arial"/>
              </w:rPr>
              <w:t xml:space="preserve"> </w:t>
            </w:r>
            <w:r w:rsidR="00530DD8" w:rsidRPr="00334154">
              <w:rPr>
                <w:rFonts w:cs="Arial"/>
              </w:rPr>
              <w:t>2016 (12 noon)</w:t>
            </w:r>
          </w:p>
        </w:tc>
      </w:tr>
      <w:tr w:rsidR="005976C5" w14:paraId="113F6265" w14:textId="77777777" w:rsidTr="008F55C0">
        <w:tc>
          <w:tcPr>
            <w:tcW w:w="4621" w:type="dxa"/>
          </w:tcPr>
          <w:p w14:paraId="47584E51" w14:textId="77777777" w:rsidR="005976C5" w:rsidRDefault="00530DD8" w:rsidP="005976C5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Closing date for submissions</w:t>
            </w:r>
          </w:p>
        </w:tc>
        <w:tc>
          <w:tcPr>
            <w:tcW w:w="4621" w:type="dxa"/>
          </w:tcPr>
          <w:p w14:paraId="21C15750" w14:textId="0B38F5BE" w:rsidR="005976C5" w:rsidRPr="00334154" w:rsidRDefault="00901AEB" w:rsidP="005976C5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95076A" w:rsidRPr="00334154">
              <w:rPr>
                <w:rFonts w:cs="Arial"/>
              </w:rPr>
              <w:t xml:space="preserve"> November</w:t>
            </w:r>
            <w:r w:rsidR="002E5BB1" w:rsidRPr="00334154">
              <w:rPr>
                <w:rFonts w:cs="Arial"/>
              </w:rPr>
              <w:t xml:space="preserve"> </w:t>
            </w:r>
            <w:r w:rsidR="00530DD8" w:rsidRPr="00334154">
              <w:rPr>
                <w:rFonts w:cs="Arial"/>
              </w:rPr>
              <w:t>2016 (12 noon)</w:t>
            </w:r>
          </w:p>
        </w:tc>
      </w:tr>
      <w:tr w:rsidR="005976C5" w14:paraId="48171324" w14:textId="77777777" w:rsidTr="008F55C0">
        <w:tc>
          <w:tcPr>
            <w:tcW w:w="4621" w:type="dxa"/>
          </w:tcPr>
          <w:p w14:paraId="47AE775C" w14:textId="631680DF" w:rsidR="005976C5" w:rsidRDefault="00530DD8" w:rsidP="005976C5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Evaluation and selection process</w:t>
            </w:r>
            <w:r w:rsidR="0085379F">
              <w:rPr>
                <w:rFonts w:cs="Arial"/>
              </w:rPr>
              <w:t xml:space="preserve"> (shortlisted candidates will</w:t>
            </w:r>
            <w:r w:rsidR="00021EE3">
              <w:rPr>
                <w:rFonts w:cs="Arial"/>
              </w:rPr>
              <w:t xml:space="preserve"> be invited to an interview)</w:t>
            </w:r>
          </w:p>
        </w:tc>
        <w:tc>
          <w:tcPr>
            <w:tcW w:w="4621" w:type="dxa"/>
          </w:tcPr>
          <w:p w14:paraId="0B25E6E2" w14:textId="01DED3C1" w:rsidR="0085379F" w:rsidRPr="00334154" w:rsidRDefault="00901AEB" w:rsidP="00B014D9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="00B014D9" w:rsidRPr="00334154">
              <w:rPr>
                <w:rFonts w:cs="Arial"/>
              </w:rPr>
              <w:t xml:space="preserve"> November </w:t>
            </w:r>
            <w:r w:rsidR="00530DD8" w:rsidRPr="00334154">
              <w:rPr>
                <w:rFonts w:cs="Arial"/>
              </w:rPr>
              <w:t>–</w:t>
            </w:r>
            <w:r>
              <w:rPr>
                <w:rFonts w:cs="Arial"/>
              </w:rPr>
              <w:t>9 December</w:t>
            </w:r>
            <w:r w:rsidR="00B014D9" w:rsidRPr="00334154">
              <w:rPr>
                <w:rFonts w:cs="Arial"/>
              </w:rPr>
              <w:t xml:space="preserve"> </w:t>
            </w:r>
            <w:r w:rsidR="00530DD8" w:rsidRPr="00334154">
              <w:rPr>
                <w:rFonts w:cs="Arial"/>
              </w:rPr>
              <w:t>2016</w:t>
            </w:r>
          </w:p>
        </w:tc>
      </w:tr>
      <w:tr w:rsidR="0085379F" w14:paraId="616D2A4D" w14:textId="77777777" w:rsidTr="008F55C0">
        <w:tc>
          <w:tcPr>
            <w:tcW w:w="4621" w:type="dxa"/>
          </w:tcPr>
          <w:p w14:paraId="68D33564" w14:textId="33FCC4AF" w:rsidR="0085379F" w:rsidRDefault="0085379F" w:rsidP="005976C5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Interview</w:t>
            </w:r>
          </w:p>
        </w:tc>
        <w:tc>
          <w:tcPr>
            <w:tcW w:w="4621" w:type="dxa"/>
          </w:tcPr>
          <w:p w14:paraId="09B4354B" w14:textId="031238F5" w:rsidR="0085379F" w:rsidRDefault="0085379F" w:rsidP="00B014D9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2 December 2016</w:t>
            </w:r>
          </w:p>
        </w:tc>
      </w:tr>
      <w:tr w:rsidR="005976C5" w14:paraId="22CC77D5" w14:textId="77777777" w:rsidTr="008F55C0">
        <w:tc>
          <w:tcPr>
            <w:tcW w:w="4621" w:type="dxa"/>
          </w:tcPr>
          <w:p w14:paraId="384617E8" w14:textId="77777777" w:rsidR="005976C5" w:rsidRDefault="00530DD8" w:rsidP="005976C5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Contract award and commencement</w:t>
            </w:r>
          </w:p>
        </w:tc>
        <w:tc>
          <w:tcPr>
            <w:tcW w:w="4621" w:type="dxa"/>
          </w:tcPr>
          <w:p w14:paraId="740FF239" w14:textId="6D1FB823" w:rsidR="005976C5" w:rsidRPr="00334154" w:rsidRDefault="00507593" w:rsidP="005976C5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13 December </w:t>
            </w:r>
            <w:r w:rsidR="00530DD8" w:rsidRPr="00334154">
              <w:rPr>
                <w:rFonts w:cs="Arial"/>
              </w:rPr>
              <w:t>2016</w:t>
            </w:r>
          </w:p>
        </w:tc>
      </w:tr>
    </w:tbl>
    <w:p w14:paraId="191DFB6D" w14:textId="77777777" w:rsidR="00940D67" w:rsidRDefault="00530DD8" w:rsidP="00701ACB">
      <w:pPr>
        <w:contextualSpacing/>
        <w:jc w:val="both"/>
        <w:rPr>
          <w:rFonts w:cs="Arial"/>
        </w:rPr>
      </w:pPr>
      <w:r>
        <w:rPr>
          <w:rFonts w:cs="Arial"/>
        </w:rPr>
        <w:t>The study is expected to be completed in two stages:</w:t>
      </w:r>
      <w:r w:rsidR="00940D67">
        <w:rPr>
          <w:rFonts w:cs="Arial"/>
        </w:rPr>
        <w:t xml:space="preserve"> </w:t>
      </w:r>
    </w:p>
    <w:p w14:paraId="2E433E4B" w14:textId="77777777" w:rsidR="00940D67" w:rsidRDefault="00940D67" w:rsidP="00940D67">
      <w:pPr>
        <w:pStyle w:val="Heading3"/>
      </w:pPr>
      <w:r>
        <w:t>Stage 1</w:t>
      </w:r>
    </w:p>
    <w:p w14:paraId="64B997D7" w14:textId="0AC9A548" w:rsidR="00701ACB" w:rsidRPr="00940D67" w:rsidRDefault="000A70D9" w:rsidP="00701ACB">
      <w:pPr>
        <w:contextualSpacing/>
        <w:jc w:val="both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cs="Arial"/>
        </w:rPr>
        <w:t>Duration</w:t>
      </w:r>
      <w:r w:rsidRPr="003852F7">
        <w:rPr>
          <w:rFonts w:cs="Arial"/>
        </w:rPr>
        <w:t xml:space="preserve">: </w:t>
      </w:r>
      <w:r w:rsidR="00334154">
        <w:rPr>
          <w:rFonts w:cs="Arial"/>
        </w:rPr>
        <w:t>1-</w:t>
      </w:r>
      <w:r w:rsidR="00972187">
        <w:rPr>
          <w:rFonts w:cs="Arial"/>
        </w:rPr>
        <w:t>2</w:t>
      </w:r>
      <w:r>
        <w:rPr>
          <w:rFonts w:cs="Arial"/>
        </w:rPr>
        <w:t xml:space="preserve"> month</w:t>
      </w:r>
      <w:r w:rsidR="00972187">
        <w:rPr>
          <w:rFonts w:cs="Arial"/>
        </w:rPr>
        <w:t>s</w:t>
      </w:r>
      <w:r>
        <w:rPr>
          <w:rFonts w:cs="Arial"/>
        </w:rPr>
        <w:t xml:space="preserve"> (scheduled to run </w:t>
      </w:r>
      <w:r w:rsidR="00C54075">
        <w:rPr>
          <w:rFonts w:cs="Arial"/>
        </w:rPr>
        <w:t xml:space="preserve">between </w:t>
      </w:r>
      <w:r w:rsidR="00C54075" w:rsidRPr="00334154">
        <w:rPr>
          <w:rFonts w:cs="Arial"/>
        </w:rPr>
        <w:t>December</w:t>
      </w:r>
      <w:r w:rsidR="00B014D9" w:rsidRPr="00334154">
        <w:rPr>
          <w:rFonts w:cs="Arial"/>
        </w:rPr>
        <w:t xml:space="preserve"> </w:t>
      </w:r>
      <w:r w:rsidRPr="00334154">
        <w:rPr>
          <w:rFonts w:cs="Arial"/>
        </w:rPr>
        <w:t>2016</w:t>
      </w:r>
      <w:r w:rsidR="00B014D9">
        <w:rPr>
          <w:rFonts w:cs="Arial"/>
        </w:rPr>
        <w:t xml:space="preserve"> and January 2017</w:t>
      </w:r>
      <w:r>
        <w:rPr>
          <w:rFonts w:cs="Arial"/>
        </w:rPr>
        <w:t>)</w:t>
      </w:r>
    </w:p>
    <w:p w14:paraId="3F02EFB8" w14:textId="77777777" w:rsidR="00701ACB" w:rsidRDefault="00701ACB" w:rsidP="00701ACB">
      <w:pPr>
        <w:contextualSpacing/>
        <w:jc w:val="both"/>
        <w:rPr>
          <w:rFonts w:cs="Arial"/>
        </w:rPr>
      </w:pPr>
    </w:p>
    <w:p w14:paraId="6EB32CCC" w14:textId="17222941" w:rsidR="00940D67" w:rsidRDefault="000A70D9" w:rsidP="00940D67">
      <w:pPr>
        <w:contextualSpacing/>
        <w:jc w:val="both"/>
        <w:rPr>
          <w:rFonts w:cs="Arial"/>
        </w:rPr>
      </w:pPr>
      <w:r w:rsidRPr="00701ACB">
        <w:rPr>
          <w:rFonts w:cs="Arial"/>
        </w:rPr>
        <w:t xml:space="preserve">The Consultant </w:t>
      </w:r>
      <w:r w:rsidRPr="00701ACB">
        <w:t>shall</w:t>
      </w:r>
      <w:r w:rsidRPr="00701ACB">
        <w:rPr>
          <w:rFonts w:cs="Arial"/>
        </w:rPr>
        <w:t xml:space="preserve"> provide regular updates to the NMSG and a </w:t>
      </w:r>
      <w:r w:rsidR="00A66758">
        <w:rPr>
          <w:rFonts w:cs="Arial"/>
        </w:rPr>
        <w:t>preliminary</w:t>
      </w:r>
      <w:r w:rsidR="00A66758" w:rsidRPr="00701ACB">
        <w:rPr>
          <w:rFonts w:cs="Arial"/>
        </w:rPr>
        <w:t xml:space="preserve"> </w:t>
      </w:r>
      <w:r w:rsidRPr="00701ACB">
        <w:rPr>
          <w:rFonts w:cs="Arial"/>
        </w:rPr>
        <w:t xml:space="preserve">report </w:t>
      </w:r>
      <w:r w:rsidR="00F34E6C">
        <w:rPr>
          <w:rFonts w:cs="Arial"/>
        </w:rPr>
        <w:t xml:space="preserve">and </w:t>
      </w:r>
      <w:r w:rsidR="00F34E6C" w:rsidRPr="00C54075">
        <w:rPr>
          <w:rFonts w:cs="Arial"/>
        </w:rPr>
        <w:t>presentation</w:t>
      </w:r>
      <w:r w:rsidR="00F34E6C">
        <w:rPr>
          <w:rFonts w:cs="Arial"/>
        </w:rPr>
        <w:t xml:space="preserve"> </w:t>
      </w:r>
      <w:r w:rsidRPr="00701ACB">
        <w:rPr>
          <w:rFonts w:cs="Arial"/>
        </w:rPr>
        <w:t>at the end of Stage 1</w:t>
      </w:r>
      <w:r w:rsidR="00530DD8">
        <w:rPr>
          <w:rFonts w:cs="Arial"/>
        </w:rPr>
        <w:t xml:space="preserve"> and no later than </w:t>
      </w:r>
      <w:r w:rsidR="00B50E5D">
        <w:rPr>
          <w:rFonts w:cs="Arial"/>
        </w:rPr>
        <w:t>31</w:t>
      </w:r>
      <w:r w:rsidR="00487CB8">
        <w:rPr>
          <w:rFonts w:cs="Arial"/>
        </w:rPr>
        <w:t xml:space="preserve"> January </w:t>
      </w:r>
      <w:r w:rsidR="00530DD8">
        <w:rPr>
          <w:rFonts w:cs="Arial"/>
        </w:rPr>
        <w:t>201</w:t>
      </w:r>
      <w:r w:rsidR="00487CB8">
        <w:rPr>
          <w:rFonts w:cs="Arial"/>
        </w:rPr>
        <w:t>7</w:t>
      </w:r>
      <w:r w:rsidRPr="00701ACB">
        <w:rPr>
          <w:rFonts w:cs="Arial"/>
        </w:rPr>
        <w:t>.</w:t>
      </w:r>
      <w:r w:rsidR="00487CB8">
        <w:rPr>
          <w:rFonts w:cs="Arial"/>
        </w:rPr>
        <w:t xml:space="preserve"> A draft set of questions to be asked of the community is also expected to be delivered at the end of Stage 1.</w:t>
      </w:r>
    </w:p>
    <w:p w14:paraId="6ACA8ED5" w14:textId="77777777" w:rsidR="00487CB8" w:rsidRDefault="00487CB8" w:rsidP="00940D67">
      <w:pPr>
        <w:contextualSpacing/>
        <w:jc w:val="both"/>
        <w:rPr>
          <w:rFonts w:cs="Arial"/>
        </w:rPr>
      </w:pPr>
    </w:p>
    <w:p w14:paraId="77D683FA" w14:textId="77777777" w:rsidR="00487CB8" w:rsidRDefault="00487CB8" w:rsidP="00940D67">
      <w:pPr>
        <w:contextualSpacing/>
        <w:jc w:val="both"/>
        <w:rPr>
          <w:rFonts w:cs="Arial"/>
        </w:rPr>
      </w:pPr>
      <w:r>
        <w:rPr>
          <w:rFonts w:cs="Arial"/>
        </w:rPr>
        <w:t>The NMSG will review the outcome of Stage 1 and provide feedback to the Consultant before the second stage begins.</w:t>
      </w:r>
    </w:p>
    <w:p w14:paraId="7B91FEBC" w14:textId="77777777" w:rsidR="00940D67" w:rsidRPr="00940D67" w:rsidRDefault="00940D67" w:rsidP="00940D67">
      <w:pPr>
        <w:pStyle w:val="Heading3"/>
        <w:rPr>
          <w:rFonts w:cs="Arial"/>
        </w:rPr>
      </w:pPr>
      <w:r>
        <w:t>Stage 2</w:t>
      </w:r>
    </w:p>
    <w:p w14:paraId="2AE66850" w14:textId="14957137" w:rsidR="000A70D9" w:rsidRPr="003852F7" w:rsidRDefault="00530DD8" w:rsidP="000A70D9">
      <w:pPr>
        <w:contextualSpacing/>
        <w:jc w:val="both"/>
        <w:rPr>
          <w:rFonts w:cs="Arial"/>
        </w:rPr>
      </w:pPr>
      <w:r>
        <w:rPr>
          <w:rFonts w:cs="Arial"/>
        </w:rPr>
        <w:t xml:space="preserve">Duration: </w:t>
      </w:r>
      <w:r w:rsidR="003704A8">
        <w:rPr>
          <w:rFonts w:cs="Arial"/>
        </w:rPr>
        <w:t>2 months</w:t>
      </w:r>
      <w:r w:rsidR="000A70D9">
        <w:rPr>
          <w:rFonts w:cs="Arial"/>
        </w:rPr>
        <w:t xml:space="preserve"> (scheduled to run between </w:t>
      </w:r>
      <w:r w:rsidR="00B9024A" w:rsidRPr="00334154">
        <w:rPr>
          <w:rFonts w:cs="Arial"/>
        </w:rPr>
        <w:t>March and April</w:t>
      </w:r>
      <w:r w:rsidR="00487CB8" w:rsidRPr="00334154">
        <w:rPr>
          <w:rFonts w:cs="Arial"/>
        </w:rPr>
        <w:t xml:space="preserve"> </w:t>
      </w:r>
      <w:r w:rsidR="000A70D9" w:rsidRPr="00334154">
        <w:rPr>
          <w:rFonts w:cs="Arial"/>
        </w:rPr>
        <w:t>2017</w:t>
      </w:r>
      <w:r w:rsidR="000A70D9" w:rsidRPr="00507593">
        <w:rPr>
          <w:rFonts w:cs="Arial"/>
        </w:rPr>
        <w:t>)</w:t>
      </w:r>
    </w:p>
    <w:p w14:paraId="643C7BD5" w14:textId="77777777" w:rsidR="000A70D9" w:rsidRPr="003852F7" w:rsidRDefault="000A70D9" w:rsidP="000A70D9">
      <w:pPr>
        <w:contextualSpacing/>
        <w:jc w:val="both"/>
        <w:rPr>
          <w:rFonts w:cs="Arial"/>
        </w:rPr>
      </w:pPr>
    </w:p>
    <w:p w14:paraId="7F67921C" w14:textId="59B3640D" w:rsidR="000A70D9" w:rsidRPr="00D96B8D" w:rsidRDefault="000A70D9" w:rsidP="000A70D9">
      <w:pPr>
        <w:contextualSpacing/>
        <w:jc w:val="both"/>
        <w:rPr>
          <w:rFonts w:cs="Arial"/>
        </w:rPr>
      </w:pPr>
      <w:r w:rsidRPr="003852F7">
        <w:rPr>
          <w:rFonts w:cs="Arial"/>
        </w:rPr>
        <w:t>The Consultant shall provi</w:t>
      </w:r>
      <w:r w:rsidR="00D96B8D">
        <w:rPr>
          <w:rFonts w:cs="Arial"/>
        </w:rPr>
        <w:t>de a written Interim Report</w:t>
      </w:r>
      <w:r w:rsidRPr="003852F7">
        <w:rPr>
          <w:rFonts w:cs="Arial"/>
        </w:rPr>
        <w:t xml:space="preserve"> and a presentation that outlines thei</w:t>
      </w:r>
      <w:r w:rsidR="00D96B8D">
        <w:rPr>
          <w:rFonts w:cs="Arial"/>
        </w:rPr>
        <w:t>r findings to the NMSG</w:t>
      </w:r>
      <w:r w:rsidRPr="003852F7">
        <w:rPr>
          <w:rFonts w:cs="Arial"/>
        </w:rPr>
        <w:t xml:space="preserve"> </w:t>
      </w:r>
      <w:r w:rsidR="003704A8">
        <w:rPr>
          <w:rFonts w:cs="Arial"/>
        </w:rPr>
        <w:t xml:space="preserve">in </w:t>
      </w:r>
      <w:r w:rsidR="00B9024A">
        <w:rPr>
          <w:rFonts w:cs="Arial"/>
        </w:rPr>
        <w:t xml:space="preserve">late March 2017 </w:t>
      </w:r>
      <w:r w:rsidRPr="003852F7">
        <w:rPr>
          <w:rFonts w:cs="Arial"/>
        </w:rPr>
        <w:t xml:space="preserve">having addressed all of the </w:t>
      </w:r>
      <w:r w:rsidR="00D96B8D">
        <w:rPr>
          <w:rFonts w:cs="Arial"/>
        </w:rPr>
        <w:t>themes/</w:t>
      </w:r>
      <w:r w:rsidRPr="003852F7">
        <w:rPr>
          <w:rFonts w:cs="Arial"/>
        </w:rPr>
        <w:t xml:space="preserve">questions outlined above in </w:t>
      </w:r>
      <w:r w:rsidR="00D96B8D">
        <w:rPr>
          <w:rFonts w:cs="Arial"/>
        </w:rPr>
        <w:t>the Terms of Reference. The NMSG</w:t>
      </w:r>
      <w:r w:rsidRPr="003852F7">
        <w:rPr>
          <w:rFonts w:cs="Arial"/>
        </w:rPr>
        <w:t xml:space="preserve"> will provide</w:t>
      </w:r>
      <w:r w:rsidR="00B9024A">
        <w:rPr>
          <w:rFonts w:cs="Arial"/>
        </w:rPr>
        <w:t xml:space="preserve"> further</w:t>
      </w:r>
      <w:r w:rsidRPr="003852F7">
        <w:rPr>
          <w:rFonts w:cs="Arial"/>
        </w:rPr>
        <w:t xml:space="preserve"> feedback and clarification to the Consultant on the presentation and Interim Report that will enable the Consultant to address further issue</w:t>
      </w:r>
      <w:r w:rsidR="00F34E6C">
        <w:rPr>
          <w:rFonts w:cs="Arial"/>
        </w:rPr>
        <w:t>s and areas that require additional</w:t>
      </w:r>
      <w:r w:rsidRPr="003852F7">
        <w:rPr>
          <w:rFonts w:cs="Arial"/>
        </w:rPr>
        <w:t xml:space="preserve"> an</w:t>
      </w:r>
      <w:r w:rsidR="00D96B8D">
        <w:rPr>
          <w:rFonts w:cs="Arial"/>
        </w:rPr>
        <w:t xml:space="preserve">alysis and review. </w:t>
      </w:r>
      <w:r w:rsidRPr="003852F7">
        <w:rPr>
          <w:rFonts w:cs="Arial"/>
        </w:rPr>
        <w:t>The Consultant shall carry out final analysis/review and provid</w:t>
      </w:r>
      <w:r w:rsidR="00D96B8D">
        <w:rPr>
          <w:rFonts w:cs="Arial"/>
        </w:rPr>
        <w:t xml:space="preserve">e a written Final Report </w:t>
      </w:r>
      <w:r w:rsidR="003704A8">
        <w:rPr>
          <w:rFonts w:cs="Arial"/>
        </w:rPr>
        <w:t xml:space="preserve">and presentation </w:t>
      </w:r>
      <w:r w:rsidR="00D96B8D">
        <w:rPr>
          <w:rFonts w:cs="Arial"/>
        </w:rPr>
        <w:t xml:space="preserve">to the NMSG by the </w:t>
      </w:r>
      <w:r w:rsidR="00B9024A">
        <w:rPr>
          <w:rFonts w:cs="Arial"/>
        </w:rPr>
        <w:t>28</w:t>
      </w:r>
      <w:r w:rsidR="00B9024A" w:rsidRPr="00C54075">
        <w:rPr>
          <w:rFonts w:cs="Arial"/>
          <w:vertAlign w:val="superscript"/>
        </w:rPr>
        <w:t>th</w:t>
      </w:r>
      <w:r w:rsidR="00B9024A">
        <w:rPr>
          <w:rFonts w:cs="Arial"/>
        </w:rPr>
        <w:t xml:space="preserve"> April </w:t>
      </w:r>
      <w:r w:rsidR="00D96B8D" w:rsidRPr="00334154">
        <w:rPr>
          <w:rFonts w:cs="Arial"/>
        </w:rPr>
        <w:t>2017</w:t>
      </w:r>
      <w:r w:rsidRPr="003852F7">
        <w:rPr>
          <w:rFonts w:cs="Arial"/>
        </w:rPr>
        <w:t xml:space="preserve">. </w:t>
      </w:r>
    </w:p>
    <w:p w14:paraId="435D466A" w14:textId="77777777" w:rsidR="00254A08" w:rsidRPr="00254A08" w:rsidRDefault="00254A08" w:rsidP="0060540B">
      <w:pPr>
        <w:pStyle w:val="Heading1"/>
        <w:numPr>
          <w:ilvl w:val="0"/>
          <w:numId w:val="5"/>
        </w:numPr>
        <w:ind w:left="426" w:hanging="426"/>
        <w:jc w:val="both"/>
        <w:rPr>
          <w:rFonts w:eastAsia="Times New Roman"/>
        </w:rPr>
      </w:pPr>
      <w:r w:rsidRPr="00254A08">
        <w:rPr>
          <w:rFonts w:eastAsia="Times New Roman"/>
        </w:rPr>
        <w:t>Method Statement</w:t>
      </w:r>
    </w:p>
    <w:p w14:paraId="6C632F4A" w14:textId="77777777" w:rsidR="00254A08" w:rsidRPr="00254A08" w:rsidRDefault="00254A08" w:rsidP="0047635E">
      <w:pPr>
        <w:jc w:val="both"/>
      </w:pPr>
      <w:r w:rsidRPr="00254A08">
        <w:t>The Consultant will need to submit as part of its tender a project plan, method statement, and any other relevant information on how they will deliver the brief and approach each of</w:t>
      </w:r>
      <w:r w:rsidR="003704A8">
        <w:t xml:space="preserve"> the</w:t>
      </w:r>
      <w:r w:rsidR="00D96B8D">
        <w:t xml:space="preserve"> stages set out above</w:t>
      </w:r>
      <w:r w:rsidRPr="00254A08">
        <w:t xml:space="preserve">. </w:t>
      </w:r>
    </w:p>
    <w:p w14:paraId="341A2178" w14:textId="77777777" w:rsidR="00254A08" w:rsidRPr="00254A08" w:rsidRDefault="00254A08" w:rsidP="0047635E">
      <w:pPr>
        <w:jc w:val="both"/>
      </w:pPr>
      <w:r w:rsidRPr="00254A08">
        <w:t>In your project plan please set out the resources and number of days required for each of the above stages.</w:t>
      </w:r>
    </w:p>
    <w:p w14:paraId="6982CE89" w14:textId="77777777" w:rsidR="00254A08" w:rsidRPr="00254A08" w:rsidRDefault="00254A08" w:rsidP="0060540B">
      <w:pPr>
        <w:pStyle w:val="Heading1"/>
        <w:numPr>
          <w:ilvl w:val="0"/>
          <w:numId w:val="5"/>
        </w:numPr>
        <w:ind w:left="426" w:hanging="426"/>
        <w:jc w:val="both"/>
        <w:rPr>
          <w:rFonts w:eastAsia="Times New Roman"/>
        </w:rPr>
      </w:pPr>
      <w:r w:rsidRPr="00254A08">
        <w:rPr>
          <w:rFonts w:eastAsia="Times New Roman"/>
        </w:rPr>
        <w:t>Pricing</w:t>
      </w:r>
    </w:p>
    <w:p w14:paraId="5A3A44B8" w14:textId="77777777" w:rsidR="00254A08" w:rsidRDefault="00254A08" w:rsidP="00D96B8D">
      <w:pPr>
        <w:jc w:val="both"/>
        <w:rPr>
          <w:rFonts w:cstheme="minorHAnsi"/>
        </w:rPr>
      </w:pPr>
      <w:r w:rsidRPr="00D96B8D">
        <w:rPr>
          <w:rFonts w:cstheme="minorHAnsi"/>
        </w:rPr>
        <w:t>In your tender return please include the following:</w:t>
      </w:r>
    </w:p>
    <w:p w14:paraId="086B36B7" w14:textId="77777777" w:rsidR="0060540B" w:rsidRDefault="0060540B" w:rsidP="0060540B">
      <w:pPr>
        <w:pStyle w:val="ListParagraph"/>
        <w:numPr>
          <w:ilvl w:val="1"/>
          <w:numId w:val="5"/>
        </w:numPr>
        <w:jc w:val="both"/>
      </w:pPr>
      <w:r>
        <w:t>The basis on which the fee for the Consultancy Service would be calculated</w:t>
      </w:r>
    </w:p>
    <w:p w14:paraId="141EC53A" w14:textId="1DA5D868" w:rsidR="0060540B" w:rsidRDefault="0060540B" w:rsidP="0047635E">
      <w:pPr>
        <w:pStyle w:val="ListParagraph"/>
        <w:numPr>
          <w:ilvl w:val="1"/>
          <w:numId w:val="5"/>
        </w:numPr>
        <w:jc w:val="both"/>
      </w:pPr>
      <w:r>
        <w:lastRenderedPageBreak/>
        <w:t xml:space="preserve">A flat fixed fee for all the consultancy work required </w:t>
      </w:r>
      <w:r w:rsidR="0095076A">
        <w:t xml:space="preserve">incl. </w:t>
      </w:r>
      <w:r>
        <w:t>VAT</w:t>
      </w:r>
    </w:p>
    <w:p w14:paraId="7B810521" w14:textId="2FA103A1" w:rsidR="00254A08" w:rsidRPr="00254A08" w:rsidRDefault="00254A08" w:rsidP="0047635E">
      <w:pPr>
        <w:pStyle w:val="ListParagraph"/>
        <w:numPr>
          <w:ilvl w:val="1"/>
          <w:numId w:val="5"/>
        </w:numPr>
        <w:jc w:val="both"/>
      </w:pPr>
      <w:r w:rsidRPr="00254A08">
        <w:t>A breakdown of hourly charges and expected hours for each Stage to complete the consultancy work for the purposes of comparison</w:t>
      </w:r>
    </w:p>
    <w:p w14:paraId="1FAEB2A2" w14:textId="77777777" w:rsidR="00A62A8A" w:rsidRPr="00BE7A59" w:rsidRDefault="00A62A8A" w:rsidP="004D3289">
      <w:pPr>
        <w:jc w:val="both"/>
      </w:pPr>
      <w:bookmarkStart w:id="0" w:name="_GoBack"/>
      <w:bookmarkEnd w:id="0"/>
    </w:p>
    <w:sectPr w:rsidR="00A62A8A" w:rsidRPr="00BE7A59" w:rsidSect="00A62A8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93E4" w14:textId="77777777" w:rsidR="00AC0DFB" w:rsidRDefault="00AC0DFB" w:rsidP="00BE7A59">
      <w:pPr>
        <w:spacing w:after="0" w:line="240" w:lineRule="auto"/>
      </w:pPr>
      <w:r>
        <w:separator/>
      </w:r>
    </w:p>
  </w:endnote>
  <w:endnote w:type="continuationSeparator" w:id="0">
    <w:p w14:paraId="2B5AD02A" w14:textId="77777777" w:rsidR="00AC0DFB" w:rsidRDefault="00AC0DFB" w:rsidP="00BE7A59">
      <w:pPr>
        <w:spacing w:after="0" w:line="240" w:lineRule="auto"/>
      </w:pPr>
      <w:r>
        <w:continuationSeparator/>
      </w:r>
    </w:p>
  </w:endnote>
  <w:endnote w:type="continuationNotice" w:id="1">
    <w:p w14:paraId="0C386A97" w14:textId="77777777" w:rsidR="00AC0DFB" w:rsidRDefault="00AC0D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721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DCB1D" w14:textId="77777777" w:rsidR="004344A2" w:rsidRDefault="004344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D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5E5EA08" w14:textId="77777777" w:rsidR="00BE7A59" w:rsidRDefault="004344A2">
    <w:pPr>
      <w:pStyle w:val="Footer"/>
    </w:pPr>
    <w:r>
      <w:tab/>
    </w:r>
    <w:r>
      <w:tab/>
    </w:r>
    <w:r>
      <w:rPr>
        <w:noProof/>
      </w:rPr>
      <w:drawing>
        <wp:inline distT="0" distB="0" distL="0" distR="0" wp14:anchorId="66DFB7F0" wp14:editId="2FA05BB0">
          <wp:extent cx="585470" cy="2133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21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B1E73" w14:textId="77777777" w:rsidR="00AC0DFB" w:rsidRDefault="00AC0DFB" w:rsidP="00BE7A59">
      <w:pPr>
        <w:spacing w:after="0" w:line="240" w:lineRule="auto"/>
      </w:pPr>
      <w:r>
        <w:separator/>
      </w:r>
    </w:p>
  </w:footnote>
  <w:footnote w:type="continuationSeparator" w:id="0">
    <w:p w14:paraId="1413C3DB" w14:textId="77777777" w:rsidR="00AC0DFB" w:rsidRDefault="00AC0DFB" w:rsidP="00BE7A59">
      <w:pPr>
        <w:spacing w:after="0" w:line="240" w:lineRule="auto"/>
      </w:pPr>
      <w:r>
        <w:continuationSeparator/>
      </w:r>
    </w:p>
  </w:footnote>
  <w:footnote w:type="continuationNotice" w:id="1">
    <w:p w14:paraId="16B355B5" w14:textId="77777777" w:rsidR="00AC0DFB" w:rsidRDefault="00AC0D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B2629" w14:textId="73908FB3" w:rsidR="00BE7A59" w:rsidRDefault="001031D9">
    <w:pPr>
      <w:pStyle w:val="Header"/>
    </w:pPr>
    <w:r>
      <w:rPr>
        <w:rFonts w:eastAsia="Times New Roman"/>
        <w:noProof/>
      </w:rPr>
      <w:drawing>
        <wp:inline distT="0" distB="0" distL="0" distR="0" wp14:anchorId="0E68350E" wp14:editId="6297C5EA">
          <wp:extent cx="620202" cy="570865"/>
          <wp:effectExtent l="0" t="0" r="8890" b="635"/>
          <wp:docPr id="4" name="Picture 4" descr="cid:22E3A192-A55B-4FCE-ACE5-78F530A54AF5@universe.lon.ac.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3EF70ED-030E-43AC-9F4B-45EC75E5BB4B" descr="cid:22E3A192-A55B-4FCE-ACE5-78F530A54AF5@universe.lon.ac.u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80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E1629A" w:rsidRPr="00E1629A">
      <w:rPr>
        <w:noProof/>
      </w:rPr>
      <w:drawing>
        <wp:inline distT="0" distB="0" distL="0" distR="0" wp14:anchorId="78A0593A" wp14:editId="1818ADCC">
          <wp:extent cx="580446" cy="587984"/>
          <wp:effectExtent l="0" t="0" r="0" b="3175"/>
          <wp:docPr id="1" name="Picture 1" descr="C:\Users\dyang\AppData\Local\Microsoft\Windows\Temporary Internet Files\Content.Outlook\ZWE5HQCS\Sconul logo jpg_cmyk_no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yang\AppData\Local\Microsoft\Windows\Temporary Internet Files\Content.Outlook\ZWE5HQCS\Sconul logo jpg_cmyk_no taglin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403" cy="60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629A">
      <w:t xml:space="preserve">  </w:t>
    </w:r>
    <w:r w:rsidR="00E1629A" w:rsidRPr="00BE7A59">
      <w:rPr>
        <w:noProof/>
      </w:rPr>
      <w:drawing>
        <wp:inline distT="0" distB="0" distL="0" distR="0" wp14:anchorId="73BAF6FB" wp14:editId="66A1FCE2">
          <wp:extent cx="609600" cy="588010"/>
          <wp:effectExtent l="19050" t="0" r="0" b="0"/>
          <wp:docPr id="2" name="Picture 1" descr="C:\Documents and Settings\cdbrown\My Documents\My Pictures\UKR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dbrown\My Documents\My Pictures\UKRR 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8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79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A7968"/>
    <w:multiLevelType w:val="hybridMultilevel"/>
    <w:tmpl w:val="9570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5C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D145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BC4712"/>
    <w:multiLevelType w:val="multilevel"/>
    <w:tmpl w:val="1DC44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72C071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DD5FE4"/>
    <w:multiLevelType w:val="hybridMultilevel"/>
    <w:tmpl w:val="8AFA2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515C2"/>
    <w:multiLevelType w:val="hybridMultilevel"/>
    <w:tmpl w:val="8960D328"/>
    <w:lvl w:ilvl="0" w:tplc="30E64CE8">
      <w:numFmt w:val="bullet"/>
      <w:pStyle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60B96"/>
    <w:multiLevelType w:val="hybridMultilevel"/>
    <w:tmpl w:val="6BD2E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0DBC"/>
    <w:multiLevelType w:val="multilevel"/>
    <w:tmpl w:val="08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0" w15:restartNumberingAfterBreak="0">
    <w:nsid w:val="7CF87CE5"/>
    <w:multiLevelType w:val="hybridMultilevel"/>
    <w:tmpl w:val="5F583A82"/>
    <w:lvl w:ilvl="0" w:tplc="240C2308">
      <w:start w:val="2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20"/>
    <w:rsid w:val="00011D27"/>
    <w:rsid w:val="00021EE3"/>
    <w:rsid w:val="00050B20"/>
    <w:rsid w:val="000913E6"/>
    <w:rsid w:val="000A70D9"/>
    <w:rsid w:val="000B3B3D"/>
    <w:rsid w:val="000B5E24"/>
    <w:rsid w:val="000C72A2"/>
    <w:rsid w:val="000E03A4"/>
    <w:rsid w:val="001031D9"/>
    <w:rsid w:val="00105179"/>
    <w:rsid w:val="00105547"/>
    <w:rsid w:val="00147F18"/>
    <w:rsid w:val="00157670"/>
    <w:rsid w:val="001826FD"/>
    <w:rsid w:val="001A2D51"/>
    <w:rsid w:val="001C6450"/>
    <w:rsid w:val="001F3443"/>
    <w:rsid w:val="00207662"/>
    <w:rsid w:val="00237F2A"/>
    <w:rsid w:val="002416B2"/>
    <w:rsid w:val="00254A08"/>
    <w:rsid w:val="00271B06"/>
    <w:rsid w:val="002D2C39"/>
    <w:rsid w:val="002E112F"/>
    <w:rsid w:val="002E120E"/>
    <w:rsid w:val="002E5BB1"/>
    <w:rsid w:val="00334154"/>
    <w:rsid w:val="003704A8"/>
    <w:rsid w:val="00390E81"/>
    <w:rsid w:val="003C38B9"/>
    <w:rsid w:val="003E0BD5"/>
    <w:rsid w:val="00427D68"/>
    <w:rsid w:val="004344A2"/>
    <w:rsid w:val="004459FE"/>
    <w:rsid w:val="004614C0"/>
    <w:rsid w:val="00467459"/>
    <w:rsid w:val="00473981"/>
    <w:rsid w:val="0047635E"/>
    <w:rsid w:val="0048098F"/>
    <w:rsid w:val="00487CB8"/>
    <w:rsid w:val="004A1AF4"/>
    <w:rsid w:val="004B4AD5"/>
    <w:rsid w:val="004D1536"/>
    <w:rsid w:val="004D3289"/>
    <w:rsid w:val="004F6FA0"/>
    <w:rsid w:val="005019AC"/>
    <w:rsid w:val="00507593"/>
    <w:rsid w:val="00530DD8"/>
    <w:rsid w:val="00562EC8"/>
    <w:rsid w:val="0056771D"/>
    <w:rsid w:val="00593A99"/>
    <w:rsid w:val="005976C5"/>
    <w:rsid w:val="005A4F8F"/>
    <w:rsid w:val="005B16AF"/>
    <w:rsid w:val="005E0E9A"/>
    <w:rsid w:val="005F09FB"/>
    <w:rsid w:val="00600EE7"/>
    <w:rsid w:val="0060540B"/>
    <w:rsid w:val="0063373C"/>
    <w:rsid w:val="006351A3"/>
    <w:rsid w:val="00645015"/>
    <w:rsid w:val="00651705"/>
    <w:rsid w:val="0066363B"/>
    <w:rsid w:val="00683148"/>
    <w:rsid w:val="0068429A"/>
    <w:rsid w:val="00684D83"/>
    <w:rsid w:val="00686997"/>
    <w:rsid w:val="006B3C40"/>
    <w:rsid w:val="006E18F1"/>
    <w:rsid w:val="00701ACB"/>
    <w:rsid w:val="00710334"/>
    <w:rsid w:val="0072676D"/>
    <w:rsid w:val="0075544A"/>
    <w:rsid w:val="00776BE4"/>
    <w:rsid w:val="00797A5E"/>
    <w:rsid w:val="007B4A05"/>
    <w:rsid w:val="007C496E"/>
    <w:rsid w:val="007E7EBC"/>
    <w:rsid w:val="007F55D2"/>
    <w:rsid w:val="0080097A"/>
    <w:rsid w:val="00834BB5"/>
    <w:rsid w:val="00843B4E"/>
    <w:rsid w:val="0085379F"/>
    <w:rsid w:val="00853FE7"/>
    <w:rsid w:val="008A4FF8"/>
    <w:rsid w:val="008A71BD"/>
    <w:rsid w:val="008A7621"/>
    <w:rsid w:val="008B0E57"/>
    <w:rsid w:val="008B115C"/>
    <w:rsid w:val="008E45B2"/>
    <w:rsid w:val="008F4131"/>
    <w:rsid w:val="008F55C0"/>
    <w:rsid w:val="00901AEB"/>
    <w:rsid w:val="00904C90"/>
    <w:rsid w:val="00906EEF"/>
    <w:rsid w:val="00910D95"/>
    <w:rsid w:val="00925920"/>
    <w:rsid w:val="00926ECB"/>
    <w:rsid w:val="00933C4B"/>
    <w:rsid w:val="00940D67"/>
    <w:rsid w:val="0095076A"/>
    <w:rsid w:val="00972187"/>
    <w:rsid w:val="009752FA"/>
    <w:rsid w:val="009862A2"/>
    <w:rsid w:val="00997873"/>
    <w:rsid w:val="009C03DA"/>
    <w:rsid w:val="00A03BA9"/>
    <w:rsid w:val="00A11A9A"/>
    <w:rsid w:val="00A23178"/>
    <w:rsid w:val="00A25896"/>
    <w:rsid w:val="00A26894"/>
    <w:rsid w:val="00A37BE2"/>
    <w:rsid w:val="00A44C1F"/>
    <w:rsid w:val="00A62A8A"/>
    <w:rsid w:val="00A66758"/>
    <w:rsid w:val="00A9484C"/>
    <w:rsid w:val="00AC0DFB"/>
    <w:rsid w:val="00AC4647"/>
    <w:rsid w:val="00AE6995"/>
    <w:rsid w:val="00AE72F3"/>
    <w:rsid w:val="00AF641B"/>
    <w:rsid w:val="00B014D9"/>
    <w:rsid w:val="00B102C9"/>
    <w:rsid w:val="00B27B3A"/>
    <w:rsid w:val="00B50E5D"/>
    <w:rsid w:val="00B60AF6"/>
    <w:rsid w:val="00B9024A"/>
    <w:rsid w:val="00BB75AE"/>
    <w:rsid w:val="00BC1E4C"/>
    <w:rsid w:val="00BD0B56"/>
    <w:rsid w:val="00BE2EBC"/>
    <w:rsid w:val="00BE4021"/>
    <w:rsid w:val="00BE7A59"/>
    <w:rsid w:val="00C03A07"/>
    <w:rsid w:val="00C37EDF"/>
    <w:rsid w:val="00C54075"/>
    <w:rsid w:val="00C7054E"/>
    <w:rsid w:val="00C82363"/>
    <w:rsid w:val="00CA6043"/>
    <w:rsid w:val="00CD1D7B"/>
    <w:rsid w:val="00CE7699"/>
    <w:rsid w:val="00CF0908"/>
    <w:rsid w:val="00D53F12"/>
    <w:rsid w:val="00D55A0A"/>
    <w:rsid w:val="00D82699"/>
    <w:rsid w:val="00D906A2"/>
    <w:rsid w:val="00D96B8D"/>
    <w:rsid w:val="00DA6857"/>
    <w:rsid w:val="00DB2506"/>
    <w:rsid w:val="00DB3C94"/>
    <w:rsid w:val="00DB4E62"/>
    <w:rsid w:val="00DC0222"/>
    <w:rsid w:val="00DC1FA9"/>
    <w:rsid w:val="00DD4F5D"/>
    <w:rsid w:val="00DE532D"/>
    <w:rsid w:val="00DF69DD"/>
    <w:rsid w:val="00E1629A"/>
    <w:rsid w:val="00E25C30"/>
    <w:rsid w:val="00E632A3"/>
    <w:rsid w:val="00E63E4C"/>
    <w:rsid w:val="00E65D31"/>
    <w:rsid w:val="00E858BD"/>
    <w:rsid w:val="00EB1B9D"/>
    <w:rsid w:val="00EF081A"/>
    <w:rsid w:val="00EF73C7"/>
    <w:rsid w:val="00EF7974"/>
    <w:rsid w:val="00F000E1"/>
    <w:rsid w:val="00F15832"/>
    <w:rsid w:val="00F34E6C"/>
    <w:rsid w:val="00F87C9C"/>
    <w:rsid w:val="00FB1646"/>
    <w:rsid w:val="00FC171A"/>
    <w:rsid w:val="00FD3656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D9C34AA"/>
  <w15:docId w15:val="{C1DDFDAE-20AE-494F-9A41-4072E5AA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A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A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09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A59"/>
  </w:style>
  <w:style w:type="paragraph" w:styleId="Footer">
    <w:name w:val="footer"/>
    <w:basedOn w:val="Normal"/>
    <w:link w:val="FooterChar"/>
    <w:uiPriority w:val="99"/>
    <w:unhideWhenUsed/>
    <w:rsid w:val="00BE7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A59"/>
  </w:style>
  <w:style w:type="paragraph" w:styleId="BalloonText">
    <w:name w:val="Balloon Text"/>
    <w:basedOn w:val="Normal"/>
    <w:link w:val="BalloonTextChar"/>
    <w:uiPriority w:val="99"/>
    <w:semiHidden/>
    <w:unhideWhenUsed/>
    <w:rsid w:val="00BE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B5E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5E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03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3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6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6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6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C4647"/>
    <w:rPr>
      <w:color w:val="0000FF" w:themeColor="hyperlink"/>
      <w:u w:val="single"/>
    </w:rPr>
  </w:style>
  <w:style w:type="paragraph" w:customStyle="1" w:styleId="Bullet">
    <w:name w:val="Bullet"/>
    <w:basedOn w:val="ListParagraph"/>
    <w:qFormat/>
    <w:rsid w:val="00776BE4"/>
    <w:pPr>
      <w:numPr>
        <w:numId w:val="1"/>
      </w:numPr>
      <w:tabs>
        <w:tab w:val="left" w:pos="567"/>
      </w:tabs>
      <w:spacing w:after="0" w:line="240" w:lineRule="atLeast"/>
      <w:ind w:left="568" w:hanging="284"/>
    </w:pPr>
    <w:rPr>
      <w:rFonts w:ascii="Franklin Gothic Book" w:hAnsi="Franklin Gothic Book" w:cs="Times New Roman"/>
      <w:bCs/>
    </w:rPr>
  </w:style>
  <w:style w:type="paragraph" w:styleId="ListParagraph">
    <w:name w:val="List Paragraph"/>
    <w:basedOn w:val="Normal"/>
    <w:uiPriority w:val="34"/>
    <w:qFormat/>
    <w:rsid w:val="00776B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5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C3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0097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59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B7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monographs.jiscinvolve.org/wp/2016/07/18/nbk/" TargetMode="External" Type="http://schemas.openxmlformats.org/officeDocument/2006/relationships/hyperlink"/>
<Relationship Id="rId11" Target="http://www.rluk.ac.uk/news/new-report-provides-insight-into-remarkable-collections-held-in-uk-research-libraries/" TargetMode="External" Type="http://schemas.openxmlformats.org/officeDocument/2006/relationships/hyperlink"/>
<Relationship Id="rId12" Target="http://www.rluk.ac.uk/news/increasing-numbers-of-uk-academics-now-utilise-university-online-capabilities/" TargetMode="External" Type="http://schemas.openxmlformats.org/officeDocument/2006/relationships/hyperlink"/>
<Relationship Id="rId13" Target="header1.xml" Type="http://schemas.openxmlformats.org/officeDocument/2006/relationships/header"/>
<Relationship Id="rId14" Target="footer1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s://www.jisc.ac.uk/reports/a-national-monograph-strategy-roadmap" TargetMode="External" Type="http://schemas.openxmlformats.org/officeDocument/2006/relationships/hyperlink"/>
<Relationship Id="rId9" Target="http://monographs.jiscinvolve.org/wp/2015/11/23/investigating-access-barriers-to-monographs-in-digital-form-a-call-for-participation/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edia/image4.pn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Relationship Id="rId2" Target="cid:22E3A192-A55B-4FCE-ACE5-78F530A54AF5@universe.lon.ac.uk" TargetMode="External" Type="http://schemas.openxmlformats.org/officeDocument/2006/relationships/image"/>
<Relationship Id="rId3" Target="media/image2.jpeg" Type="http://schemas.openxmlformats.org/officeDocument/2006/relationships/image"/>
<Relationship Id="rId4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133C-0E77-423E-BB07-67DF43CD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1900</Words>
  <Characters>10830</Characters>
  <DocSecurity>0</DocSecurity>
  <Lines>90</Lines>
  <Paragraphs>25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12705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