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57" w:rsidRDefault="00BB6457" w:rsidP="00BB6457">
      <w:pPr>
        <w:pStyle w:val="Default"/>
      </w:pPr>
    </w:p>
    <w:p w:rsidR="00BB6457" w:rsidRDefault="00BB6457" w:rsidP="00771D0A">
      <w:pPr>
        <w:jc w:val="center"/>
        <w:rPr>
          <w:rStyle w:val="A0"/>
        </w:rPr>
      </w:pPr>
      <w:r>
        <w:rPr>
          <w:rStyle w:val="A0"/>
        </w:rPr>
        <w:t>STRATEGIC PLANNING</w:t>
      </w:r>
      <w:r>
        <w:rPr>
          <w:rStyle w:val="A0"/>
        </w:rPr>
        <w:tab/>
      </w:r>
      <w:r w:rsidRPr="00BB6457">
        <w:rPr>
          <w:rStyle w:val="A0"/>
          <w:noProof/>
        </w:rPr>
        <w:drawing>
          <wp:inline distT="0" distB="0" distL="0" distR="0">
            <wp:extent cx="5943600" cy="5868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868365"/>
                    </a:xfrm>
                    <a:prstGeom prst="rect">
                      <a:avLst/>
                    </a:prstGeom>
                    <a:noFill/>
                    <a:ln>
                      <a:noFill/>
                    </a:ln>
                  </pic:spPr>
                </pic:pic>
              </a:graphicData>
            </a:graphic>
          </wp:inline>
        </w:drawing>
      </w:r>
      <w:bookmarkStart w:id="0" w:name="_GoBack"/>
      <w:bookmarkEnd w:id="0"/>
    </w:p>
    <w:p w:rsidR="00BB6457" w:rsidRDefault="00BB6457" w:rsidP="00BB6457">
      <w:pPr>
        <w:rPr>
          <w:rStyle w:val="A0"/>
        </w:rPr>
      </w:pPr>
    </w:p>
    <w:p w:rsidR="00BB6457" w:rsidRDefault="00BB6457" w:rsidP="00BB6457">
      <w:pPr>
        <w:pStyle w:val="Heading1"/>
        <w:rPr>
          <w:b/>
          <w:sz w:val="40"/>
        </w:rPr>
      </w:pPr>
      <w:r w:rsidRPr="00BB6457">
        <w:rPr>
          <w:b/>
          <w:sz w:val="40"/>
        </w:rPr>
        <w:lastRenderedPageBreak/>
        <w:t>Your Vision Statement (and/or Mission Statement)</w:t>
      </w:r>
    </w:p>
    <w:p w:rsidR="00BB6457" w:rsidRPr="00BB6457" w:rsidRDefault="00BB6457" w:rsidP="00BB6457"/>
    <w:p w:rsidR="004019C0" w:rsidRDefault="00BB6457" w:rsidP="00BB6457">
      <w:pPr>
        <w:rPr>
          <w:rStyle w:val="A0"/>
        </w:rPr>
      </w:pPr>
      <w:r>
        <w:rPr>
          <w:rFonts w:cs="Quicksand"/>
          <w:color w:val="000000"/>
          <w:sz w:val="23"/>
          <w:szCs w:val="23"/>
        </w:rPr>
        <w:t>First things first – a Vision Statement and a Mission Statement are not interchangeable or the same. However we found that in many cases, the amount of confusion generated from their relationship to one another means that it is actually more productive to focus on just one from a strategic planning angle.</w:t>
      </w:r>
      <w:r>
        <w:rPr>
          <w:rStyle w:val="A0"/>
        </w:rPr>
        <w:tab/>
      </w:r>
      <w:r>
        <w:rPr>
          <w:rStyle w:val="A0"/>
        </w:rPr>
        <w:tab/>
      </w:r>
    </w:p>
    <w:p w:rsidR="00BB6457" w:rsidRDefault="00BB6457" w:rsidP="00BB6457">
      <w:pPr>
        <w:pStyle w:val="Heading1"/>
        <w:rPr>
          <w:b/>
          <w:sz w:val="44"/>
        </w:rPr>
      </w:pPr>
      <w:r w:rsidRPr="00BB6457">
        <w:rPr>
          <w:b/>
          <w:sz w:val="44"/>
        </w:rPr>
        <w:t>Your Values</w:t>
      </w:r>
    </w:p>
    <w:p w:rsidR="00BB6457" w:rsidRDefault="00BB6457" w:rsidP="00BB6457">
      <w:pPr>
        <w:rPr>
          <w:rFonts w:cs="Quicksand"/>
          <w:color w:val="000000"/>
          <w:sz w:val="23"/>
          <w:szCs w:val="23"/>
        </w:rPr>
      </w:pPr>
      <w:r>
        <w:rPr>
          <w:rFonts w:cs="Quicksand"/>
          <w:color w:val="000000"/>
          <w:sz w:val="23"/>
          <w:szCs w:val="23"/>
        </w:rPr>
        <w:t>Think of Values as the ‘enablers’ to your Vision Statement. Don’t be afraid to be honest about how you want your people to act and think. For example, a biotechnology company might have a Vision Statement</w:t>
      </w:r>
    </w:p>
    <w:p w:rsidR="00BB6457" w:rsidRDefault="00BB6457" w:rsidP="00BB6457">
      <w:pPr>
        <w:rPr>
          <w:rFonts w:cs="Quicksand"/>
          <w:color w:val="000000"/>
          <w:sz w:val="23"/>
          <w:szCs w:val="23"/>
        </w:rPr>
      </w:pPr>
    </w:p>
    <w:p w:rsidR="00BB6457" w:rsidRDefault="00BB6457" w:rsidP="00BB6457">
      <w:pPr>
        <w:pStyle w:val="Pa1"/>
        <w:jc w:val="both"/>
        <w:rPr>
          <w:rFonts w:cs="Quicksand"/>
          <w:color w:val="000000"/>
          <w:sz w:val="23"/>
          <w:szCs w:val="23"/>
        </w:rPr>
      </w:pPr>
      <w:r>
        <w:rPr>
          <w:rFonts w:cs="Quicksand"/>
          <w:b/>
          <w:bCs/>
          <w:color w:val="000000"/>
          <w:sz w:val="23"/>
          <w:szCs w:val="23"/>
        </w:rPr>
        <w:t>– Innovative</w:t>
      </w:r>
    </w:p>
    <w:p w:rsidR="00BB6457" w:rsidRDefault="00BB6457" w:rsidP="00BB6457">
      <w:pPr>
        <w:pStyle w:val="Pa1"/>
        <w:jc w:val="both"/>
        <w:rPr>
          <w:rFonts w:cs="Quicksand"/>
          <w:color w:val="000000"/>
          <w:sz w:val="23"/>
          <w:szCs w:val="23"/>
        </w:rPr>
      </w:pPr>
      <w:r>
        <w:rPr>
          <w:rFonts w:cs="Quicksand"/>
          <w:b/>
          <w:bCs/>
          <w:color w:val="000000"/>
          <w:sz w:val="23"/>
          <w:szCs w:val="23"/>
        </w:rPr>
        <w:t>– Responsive</w:t>
      </w:r>
    </w:p>
    <w:p w:rsidR="00BB6457" w:rsidRDefault="00BB6457" w:rsidP="00BB6457">
      <w:pPr>
        <w:pStyle w:val="Pa1"/>
        <w:jc w:val="both"/>
        <w:rPr>
          <w:rFonts w:cs="Quicksand"/>
          <w:color w:val="000000"/>
          <w:sz w:val="23"/>
          <w:szCs w:val="23"/>
        </w:rPr>
      </w:pPr>
      <w:r>
        <w:rPr>
          <w:rFonts w:cs="Quicksand"/>
          <w:b/>
          <w:bCs/>
          <w:color w:val="000000"/>
          <w:sz w:val="23"/>
          <w:szCs w:val="23"/>
        </w:rPr>
        <w:t>– Caring</w:t>
      </w:r>
    </w:p>
    <w:p w:rsidR="00BB6457" w:rsidRDefault="00BB6457" w:rsidP="00BB6457">
      <w:pPr>
        <w:rPr>
          <w:rFonts w:cs="Quicksand"/>
          <w:b/>
          <w:bCs/>
          <w:color w:val="000000"/>
          <w:sz w:val="23"/>
          <w:szCs w:val="23"/>
        </w:rPr>
      </w:pPr>
      <w:r>
        <w:rPr>
          <w:rFonts w:cs="Quicksand"/>
          <w:b/>
          <w:bCs/>
          <w:color w:val="000000"/>
          <w:sz w:val="23"/>
          <w:szCs w:val="23"/>
        </w:rPr>
        <w:t>– Commercially Minded</w:t>
      </w:r>
    </w:p>
    <w:p w:rsidR="00BB6457" w:rsidRDefault="00BB6457" w:rsidP="00BB6457">
      <w:pPr>
        <w:rPr>
          <w:rFonts w:cs="Quicksand"/>
          <w:b/>
          <w:bCs/>
          <w:color w:val="000000"/>
          <w:sz w:val="23"/>
          <w:szCs w:val="23"/>
        </w:rPr>
      </w:pPr>
    </w:p>
    <w:p w:rsidR="00BB6457" w:rsidRDefault="00BB6457" w:rsidP="00BB6457">
      <w:pPr>
        <w:pStyle w:val="Heading1"/>
        <w:rPr>
          <w:b/>
          <w:sz w:val="44"/>
        </w:rPr>
      </w:pPr>
      <w:r w:rsidRPr="00BB6457">
        <w:rPr>
          <w:b/>
          <w:sz w:val="44"/>
        </w:rPr>
        <w:t>Your Focus Areas</w:t>
      </w:r>
    </w:p>
    <w:p w:rsidR="00BB6457" w:rsidRDefault="00BB6457" w:rsidP="00BB6457">
      <w:pPr>
        <w:rPr>
          <w:rFonts w:cs="Quicksand"/>
          <w:color w:val="000000"/>
          <w:sz w:val="23"/>
          <w:szCs w:val="23"/>
        </w:rPr>
      </w:pPr>
      <w:r>
        <w:rPr>
          <w:rFonts w:cs="Quicksand"/>
          <w:color w:val="000000"/>
          <w:sz w:val="23"/>
          <w:szCs w:val="23"/>
        </w:rPr>
        <w:t>Your Vision Statement gives you a degree of focus already – but will hopefully be suitably broad that it gives room for your people to come up with innovative ways in which to achieve it. Focus Areas help to provide that extra degree of clarification on your current thinking about the best way to get there.</w:t>
      </w:r>
    </w:p>
    <w:p w:rsidR="00BB6457" w:rsidRDefault="00BB6457" w:rsidP="00BB6457">
      <w:pPr>
        <w:rPr>
          <w:rFonts w:cs="Quicksand"/>
          <w:color w:val="000000"/>
          <w:sz w:val="23"/>
          <w:szCs w:val="23"/>
        </w:rPr>
      </w:pPr>
    </w:p>
    <w:p w:rsidR="00BB6457" w:rsidRDefault="00BB6457" w:rsidP="00BB6457">
      <w:pPr>
        <w:pStyle w:val="Pa1"/>
        <w:jc w:val="both"/>
        <w:rPr>
          <w:rFonts w:cs="Quicksand"/>
          <w:color w:val="000000"/>
          <w:sz w:val="23"/>
          <w:szCs w:val="23"/>
        </w:rPr>
      </w:pPr>
      <w:r>
        <w:rPr>
          <w:rFonts w:cs="Quicksand"/>
          <w:b/>
          <w:bCs/>
          <w:color w:val="000000"/>
          <w:sz w:val="23"/>
          <w:szCs w:val="23"/>
        </w:rPr>
        <w:t>– Pushing the boundaries of technological innovation</w:t>
      </w:r>
    </w:p>
    <w:p w:rsidR="00BB6457" w:rsidRDefault="00BB6457" w:rsidP="00BB6457">
      <w:pPr>
        <w:pStyle w:val="Pa1"/>
        <w:jc w:val="both"/>
        <w:rPr>
          <w:rFonts w:cs="Quicksand"/>
          <w:color w:val="000000"/>
          <w:sz w:val="23"/>
          <w:szCs w:val="23"/>
        </w:rPr>
      </w:pPr>
      <w:r>
        <w:rPr>
          <w:rFonts w:cs="Quicksand"/>
          <w:b/>
          <w:bCs/>
          <w:color w:val="000000"/>
          <w:sz w:val="23"/>
          <w:szCs w:val="23"/>
        </w:rPr>
        <w:t>– Exploring new markets to generate growth</w:t>
      </w:r>
    </w:p>
    <w:p w:rsidR="00BB6457" w:rsidRDefault="00BB6457" w:rsidP="00BB6457">
      <w:pPr>
        <w:pStyle w:val="Pa1"/>
        <w:jc w:val="both"/>
        <w:rPr>
          <w:rFonts w:cs="Quicksand"/>
          <w:color w:val="000000"/>
          <w:sz w:val="23"/>
          <w:szCs w:val="23"/>
        </w:rPr>
      </w:pPr>
      <w:r>
        <w:rPr>
          <w:rFonts w:cs="Quicksand"/>
          <w:b/>
          <w:bCs/>
          <w:color w:val="000000"/>
          <w:sz w:val="23"/>
          <w:szCs w:val="23"/>
        </w:rPr>
        <w:t>– Gaining a deeper understanding of the needs of our customers</w:t>
      </w:r>
    </w:p>
    <w:p w:rsidR="00BB6457" w:rsidRDefault="00BB6457" w:rsidP="00BB6457">
      <w:pPr>
        <w:rPr>
          <w:rFonts w:cs="Quicksand"/>
          <w:b/>
          <w:bCs/>
          <w:color w:val="000000"/>
          <w:sz w:val="23"/>
          <w:szCs w:val="23"/>
        </w:rPr>
      </w:pPr>
      <w:r>
        <w:rPr>
          <w:rFonts w:cs="Quicksand"/>
          <w:b/>
          <w:bCs/>
          <w:color w:val="000000"/>
          <w:sz w:val="23"/>
          <w:szCs w:val="23"/>
        </w:rPr>
        <w:t>– Growing shareholder returns</w:t>
      </w:r>
    </w:p>
    <w:p w:rsidR="00BB6457" w:rsidRDefault="00BB6457" w:rsidP="00BB6457">
      <w:pPr>
        <w:rPr>
          <w:rFonts w:cs="Quicksand"/>
          <w:b/>
          <w:bCs/>
          <w:color w:val="000000"/>
          <w:sz w:val="23"/>
          <w:szCs w:val="23"/>
        </w:rPr>
      </w:pPr>
    </w:p>
    <w:p w:rsidR="00BB6457" w:rsidRDefault="00BB6457" w:rsidP="00BB6457">
      <w:pPr>
        <w:pStyle w:val="Heading1"/>
        <w:rPr>
          <w:b/>
          <w:sz w:val="44"/>
        </w:rPr>
      </w:pPr>
      <w:r w:rsidRPr="00BB6457">
        <w:rPr>
          <w:b/>
          <w:sz w:val="44"/>
        </w:rPr>
        <w:t>Your Strategic Objectives</w:t>
      </w:r>
    </w:p>
    <w:p w:rsidR="00BB6457" w:rsidRDefault="00BB6457" w:rsidP="00BB6457">
      <w:pPr>
        <w:rPr>
          <w:rFonts w:cs="Quicksand"/>
          <w:color w:val="000000"/>
          <w:sz w:val="23"/>
          <w:szCs w:val="23"/>
        </w:rPr>
      </w:pPr>
      <w:r>
        <w:rPr>
          <w:rFonts w:cs="Quicksand"/>
          <w:color w:val="000000"/>
          <w:sz w:val="23"/>
          <w:szCs w:val="23"/>
        </w:rPr>
        <w:t>Your Strategic Objectives should align to one or more of your Focus Areas. It’s here that for the first time in our journey so far, that we need to start being quite specific</w:t>
      </w:r>
    </w:p>
    <w:p w:rsidR="004C3EC9" w:rsidRDefault="004C3EC9" w:rsidP="00BB6457">
      <w:pPr>
        <w:rPr>
          <w:rFonts w:cs="Quicksand"/>
          <w:color w:val="000000"/>
          <w:sz w:val="23"/>
          <w:szCs w:val="23"/>
        </w:rPr>
      </w:pPr>
    </w:p>
    <w:p w:rsidR="004C3EC9" w:rsidRDefault="004C3EC9" w:rsidP="004C3EC9">
      <w:pPr>
        <w:pStyle w:val="Heading1"/>
        <w:rPr>
          <w:b/>
          <w:sz w:val="44"/>
        </w:rPr>
      </w:pPr>
      <w:r w:rsidRPr="004C3EC9">
        <w:rPr>
          <w:b/>
          <w:sz w:val="44"/>
        </w:rPr>
        <w:lastRenderedPageBreak/>
        <w:t>Your Goals</w:t>
      </w:r>
    </w:p>
    <w:p w:rsidR="004C3EC9" w:rsidRDefault="004C3EC9" w:rsidP="004C3EC9">
      <w:pPr>
        <w:rPr>
          <w:rFonts w:cs="Quicksand"/>
          <w:color w:val="000000"/>
          <w:sz w:val="23"/>
          <w:szCs w:val="23"/>
        </w:rPr>
      </w:pPr>
      <w:r>
        <w:rPr>
          <w:rFonts w:cs="Quicksand"/>
          <w:color w:val="000000"/>
          <w:sz w:val="23"/>
          <w:szCs w:val="23"/>
        </w:rPr>
        <w:t>Goals are not strategic per-se. They are however absolutely critical, as without them your plan is nothing more than a statement of intent. When we look at our experiences of working with clients – the strategic plans which have failed are the ones where Goals were not clearly defined – or were defined so slowly that the momentum of the strategic planning process was lost.</w:t>
      </w:r>
    </w:p>
    <w:p w:rsidR="004C3EC9" w:rsidRDefault="004C3EC9" w:rsidP="004C3EC9">
      <w:pPr>
        <w:rPr>
          <w:rFonts w:cs="Quicksand"/>
          <w:color w:val="000000"/>
          <w:sz w:val="23"/>
          <w:szCs w:val="23"/>
        </w:rPr>
      </w:pPr>
    </w:p>
    <w:p w:rsidR="004C3EC9" w:rsidRPr="004C3EC9" w:rsidRDefault="004C3EC9" w:rsidP="004C3EC9"/>
    <w:p w:rsidR="00BB6457" w:rsidRDefault="00BB6457" w:rsidP="00BB6457">
      <w:pPr>
        <w:rPr>
          <w:rFonts w:cs="Quicksand"/>
          <w:color w:val="000000"/>
          <w:sz w:val="23"/>
          <w:szCs w:val="23"/>
        </w:rPr>
      </w:pPr>
    </w:p>
    <w:p w:rsidR="00BB6457" w:rsidRPr="00BB6457" w:rsidRDefault="00BB6457" w:rsidP="00BB6457"/>
    <w:p w:rsidR="00BB6457" w:rsidRDefault="00BB6457" w:rsidP="00BB6457">
      <w:pPr>
        <w:rPr>
          <w:rFonts w:cs="Quicksand"/>
          <w:b/>
          <w:bCs/>
          <w:color w:val="000000"/>
          <w:sz w:val="23"/>
          <w:szCs w:val="23"/>
        </w:rPr>
      </w:pPr>
    </w:p>
    <w:p w:rsidR="00BB6457" w:rsidRPr="00BB6457" w:rsidRDefault="00BB6457" w:rsidP="00BB6457"/>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rPr>
          <w:rStyle w:val="A0"/>
        </w:rPr>
      </w:pPr>
    </w:p>
    <w:p w:rsidR="00BB6457" w:rsidRDefault="00BB6457" w:rsidP="00BB6457">
      <w:pPr>
        <w:jc w:val="center"/>
      </w:pPr>
    </w:p>
    <w:sectPr w:rsidR="00BB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oinSans-Bold">
    <w:altName w:val="SoinSans-Bold"/>
    <w:panose1 w:val="00000000000000000000"/>
    <w:charset w:val="00"/>
    <w:family w:val="swiss"/>
    <w:notTrueType/>
    <w:pitch w:val="default"/>
    <w:sig w:usb0="00000003" w:usb1="00000000" w:usb2="00000000" w:usb3="00000000" w:csb0="00000001" w:csb1="00000000"/>
  </w:font>
  <w:font w:name="Quicksand">
    <w:altName w:val="Quicksand"/>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57"/>
    <w:rsid w:val="004C3EC9"/>
    <w:rsid w:val="00771D0A"/>
    <w:rsid w:val="00AE036A"/>
    <w:rsid w:val="00BB6457"/>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662B4-F7FA-40A4-AA45-FD2F60B1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64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457"/>
    <w:pPr>
      <w:autoSpaceDE w:val="0"/>
      <w:autoSpaceDN w:val="0"/>
      <w:adjustRightInd w:val="0"/>
      <w:spacing w:after="0" w:line="240" w:lineRule="auto"/>
    </w:pPr>
    <w:rPr>
      <w:rFonts w:ascii="SoinSans-Bold" w:hAnsi="SoinSans-Bold" w:cs="SoinSans-Bold"/>
      <w:color w:val="000000"/>
      <w:sz w:val="24"/>
      <w:szCs w:val="24"/>
    </w:rPr>
  </w:style>
  <w:style w:type="character" w:customStyle="1" w:styleId="A0">
    <w:name w:val="A0"/>
    <w:uiPriority w:val="99"/>
    <w:rsid w:val="00BB6457"/>
    <w:rPr>
      <w:rFonts w:cs="SoinSans-Bold"/>
      <w:color w:val="000000"/>
      <w:sz w:val="82"/>
      <w:szCs w:val="82"/>
    </w:rPr>
  </w:style>
  <w:style w:type="character" w:customStyle="1" w:styleId="Heading1Char">
    <w:name w:val="Heading 1 Char"/>
    <w:basedOn w:val="DefaultParagraphFont"/>
    <w:link w:val="Heading1"/>
    <w:uiPriority w:val="9"/>
    <w:rsid w:val="00BB6457"/>
    <w:rPr>
      <w:rFonts w:asciiTheme="majorHAnsi" w:eastAsiaTheme="majorEastAsia" w:hAnsiTheme="majorHAnsi" w:cstheme="majorBidi"/>
      <w:color w:val="2E74B5" w:themeColor="accent1" w:themeShade="BF"/>
      <w:sz w:val="32"/>
      <w:szCs w:val="32"/>
    </w:rPr>
  </w:style>
  <w:style w:type="paragraph" w:customStyle="1" w:styleId="Pa1">
    <w:name w:val="Pa1"/>
    <w:basedOn w:val="Default"/>
    <w:next w:val="Default"/>
    <w:uiPriority w:val="99"/>
    <w:rsid w:val="00BB6457"/>
    <w:pPr>
      <w:spacing w:line="241" w:lineRule="atLeast"/>
    </w:pPr>
    <w:rPr>
      <w:rFonts w:ascii="Quicksand" w:hAnsi="Quicksan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emf"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266</Words>
  <Characters>1522</Characters>
  <DocSecurity>0</DocSecurity>
  <Lines>12</Lines>
  <Paragraphs>3</Paragraphs>
  <ScaleCrop>false</ScaleCrop>
  <Company/>
  <LinksUpToDate>false</LinksUpToDate>
  <CharactersWithSpaces>1785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