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CBD" w:rsidRDefault="00AE0CBD" w:rsidP="00843762">
      <w:pPr>
        <w:shd w:val="clear" w:color="auto" w:fill="FFFFFF"/>
        <w:spacing w:after="0" w:line="398" w:lineRule="atLeast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:rsidR="00AE0CBD" w:rsidRPr="00AE0CBD" w:rsidRDefault="00AE0CBD" w:rsidP="00BB17B3">
      <w:pPr>
        <w:pBdr>
          <w:top w:val="single" w:sz="12" w:space="1" w:color="4472C4" w:themeColor="accent5"/>
          <w:left w:val="single" w:sz="12" w:space="25" w:color="4472C4" w:themeColor="accent5"/>
          <w:bottom w:val="single" w:sz="12" w:space="1" w:color="4472C4" w:themeColor="accent5"/>
          <w:right w:val="single" w:sz="12" w:space="4" w:color="4472C4" w:themeColor="accent5"/>
          <w:between w:val="single" w:sz="12" w:space="1" w:color="4472C4" w:themeColor="accent5"/>
          <w:bar w:val="single" w:sz="12" w:color="4472C4" w:themeColor="accent5"/>
        </w:pBdr>
        <w:shd w:val="clear" w:color="auto" w:fill="FFC000"/>
        <w:spacing w:after="0" w:line="48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26"/>
        </w:rPr>
      </w:pPr>
      <w:r w:rsidRPr="00AE0CBD">
        <w:rPr>
          <w:rFonts w:ascii="Arial" w:eastAsia="Times New Roman" w:hAnsi="Arial" w:cs="Arial"/>
          <w:b/>
          <w:bCs/>
          <w:color w:val="000000"/>
          <w:sz w:val="32"/>
          <w:szCs w:val="26"/>
        </w:rPr>
        <w:t>USE CASE TEMPLATE</w:t>
      </w:r>
    </w:p>
    <w:p w:rsidR="00843762" w:rsidRDefault="00843762" w:rsidP="00BB17B3">
      <w:pPr>
        <w:numPr>
          <w:ilvl w:val="0"/>
          <w:numId w:val="1"/>
        </w:num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  <w:between w:val="single" w:sz="12" w:space="1" w:color="4472C4" w:themeColor="accent5"/>
          <w:bar w:val="single" w:sz="12" w:color="4472C4" w:themeColor="accent5"/>
        </w:pBdr>
        <w:shd w:val="clear" w:color="auto" w:fill="FFC000"/>
        <w:spacing w:after="0" w:line="48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843762">
        <w:rPr>
          <w:rFonts w:ascii="Arial" w:eastAsia="Times New Roman" w:hAnsi="Arial" w:cs="Arial"/>
          <w:b/>
          <w:bCs/>
          <w:color w:val="000000"/>
          <w:sz w:val="26"/>
          <w:szCs w:val="26"/>
        </w:rPr>
        <w:t>Name</w:t>
      </w:r>
      <w:r w:rsidRPr="00843762">
        <w:rPr>
          <w:rFonts w:ascii="Arial" w:eastAsia="Times New Roman" w:hAnsi="Arial" w:cs="Arial"/>
          <w:color w:val="000000"/>
          <w:sz w:val="26"/>
          <w:szCs w:val="26"/>
        </w:rPr>
        <w:t> – A clear verb/noun or actor/verb/noun descriptor that communicates the scope of the use case.</w:t>
      </w:r>
    </w:p>
    <w:p w:rsidR="00843762" w:rsidRPr="00843762" w:rsidRDefault="00843762" w:rsidP="00BB17B3">
      <w:pPr>
        <w:numPr>
          <w:ilvl w:val="0"/>
          <w:numId w:val="1"/>
        </w:num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  <w:between w:val="single" w:sz="12" w:space="1" w:color="4472C4" w:themeColor="accent5"/>
          <w:bar w:val="single" w:sz="12" w:color="4472C4" w:themeColor="accent5"/>
        </w:pBdr>
        <w:shd w:val="clear" w:color="auto" w:fill="FFC000"/>
        <w:spacing w:after="0" w:line="48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843762">
        <w:rPr>
          <w:rFonts w:ascii="Arial" w:eastAsia="Times New Roman" w:hAnsi="Arial" w:cs="Arial"/>
          <w:b/>
          <w:bCs/>
          <w:color w:val="000000"/>
          <w:sz w:val="26"/>
          <w:szCs w:val="26"/>
        </w:rPr>
        <w:t>Brief Description</w:t>
      </w:r>
      <w:r w:rsidRPr="00843762">
        <w:rPr>
          <w:rFonts w:ascii="Arial" w:eastAsia="Times New Roman" w:hAnsi="Arial" w:cs="Arial"/>
          <w:color w:val="000000"/>
          <w:sz w:val="26"/>
          <w:szCs w:val="26"/>
        </w:rPr>
        <w:t> – A brief paragraph of text describing the scope of the use case.</w:t>
      </w:r>
    </w:p>
    <w:p w:rsidR="00843762" w:rsidRPr="00843762" w:rsidRDefault="00843762" w:rsidP="00BB17B3">
      <w:pPr>
        <w:numPr>
          <w:ilvl w:val="0"/>
          <w:numId w:val="1"/>
        </w:num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  <w:between w:val="single" w:sz="12" w:space="1" w:color="4472C4" w:themeColor="accent5"/>
          <w:bar w:val="single" w:sz="12" w:color="4472C4" w:themeColor="accent5"/>
        </w:pBdr>
        <w:shd w:val="clear" w:color="auto" w:fill="FFC000"/>
        <w:spacing w:after="0" w:line="48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843762">
        <w:rPr>
          <w:rFonts w:ascii="Arial" w:eastAsia="Times New Roman" w:hAnsi="Arial" w:cs="Arial"/>
          <w:b/>
          <w:bCs/>
          <w:color w:val="000000"/>
          <w:sz w:val="26"/>
          <w:szCs w:val="26"/>
        </w:rPr>
        <w:t>Actors</w:t>
      </w:r>
      <w:r w:rsidRPr="00843762">
        <w:rPr>
          <w:rFonts w:ascii="Arial" w:eastAsia="Times New Roman" w:hAnsi="Arial" w:cs="Arial"/>
          <w:color w:val="000000"/>
          <w:sz w:val="26"/>
          <w:szCs w:val="26"/>
        </w:rPr>
        <w:t> – A list of the types of users who can engage in the activities described in the use case. Actor names should not correspond to job titles.</w:t>
      </w:r>
    </w:p>
    <w:p w:rsidR="00843762" w:rsidRPr="00843762" w:rsidRDefault="00843762" w:rsidP="00BB17B3">
      <w:pPr>
        <w:numPr>
          <w:ilvl w:val="0"/>
          <w:numId w:val="1"/>
        </w:num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  <w:between w:val="single" w:sz="12" w:space="1" w:color="4472C4" w:themeColor="accent5"/>
          <w:bar w:val="single" w:sz="12" w:color="4472C4" w:themeColor="accent5"/>
        </w:pBdr>
        <w:shd w:val="clear" w:color="auto" w:fill="FFC000"/>
        <w:spacing w:after="0" w:line="48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843762">
        <w:rPr>
          <w:rFonts w:ascii="Arial" w:eastAsia="Times New Roman" w:hAnsi="Arial" w:cs="Arial"/>
          <w:b/>
          <w:bCs/>
          <w:color w:val="000000"/>
          <w:sz w:val="26"/>
          <w:szCs w:val="26"/>
        </w:rPr>
        <w:t>Preconditions</w:t>
      </w:r>
      <w:r w:rsidRPr="00843762">
        <w:rPr>
          <w:rFonts w:ascii="Arial" w:eastAsia="Times New Roman" w:hAnsi="Arial" w:cs="Arial"/>
          <w:color w:val="000000"/>
          <w:sz w:val="26"/>
          <w:szCs w:val="26"/>
        </w:rPr>
        <w:t> – Anything the solution can assume to be true when the use case begins.</w:t>
      </w:r>
    </w:p>
    <w:p w:rsidR="00843762" w:rsidRPr="00843762" w:rsidRDefault="00843762" w:rsidP="00BB17B3">
      <w:pPr>
        <w:numPr>
          <w:ilvl w:val="0"/>
          <w:numId w:val="1"/>
        </w:num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  <w:between w:val="single" w:sz="12" w:space="1" w:color="4472C4" w:themeColor="accent5"/>
          <w:bar w:val="single" w:sz="12" w:color="4472C4" w:themeColor="accent5"/>
        </w:pBdr>
        <w:shd w:val="clear" w:color="auto" w:fill="FFC000"/>
        <w:spacing w:after="0" w:line="48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843762">
        <w:rPr>
          <w:rFonts w:ascii="Arial" w:eastAsia="Times New Roman" w:hAnsi="Arial" w:cs="Arial"/>
          <w:b/>
          <w:bCs/>
          <w:color w:val="000000"/>
          <w:sz w:val="26"/>
          <w:szCs w:val="26"/>
        </w:rPr>
        <w:t>Basic Flow</w:t>
      </w:r>
      <w:r w:rsidRPr="00843762">
        <w:rPr>
          <w:rFonts w:ascii="Arial" w:eastAsia="Times New Roman" w:hAnsi="Arial" w:cs="Arial"/>
          <w:color w:val="000000"/>
          <w:sz w:val="26"/>
          <w:szCs w:val="26"/>
        </w:rPr>
        <w:t> – The set of steps the actors take to accomplish the goal of the use case. A clear description of what the system does in response to each user action.</w:t>
      </w:r>
    </w:p>
    <w:p w:rsidR="00843762" w:rsidRPr="00843762" w:rsidRDefault="00843762" w:rsidP="00BB17B3">
      <w:pPr>
        <w:numPr>
          <w:ilvl w:val="0"/>
          <w:numId w:val="1"/>
        </w:num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  <w:between w:val="single" w:sz="12" w:space="1" w:color="4472C4" w:themeColor="accent5"/>
          <w:bar w:val="single" w:sz="12" w:color="4472C4" w:themeColor="accent5"/>
        </w:pBdr>
        <w:shd w:val="clear" w:color="auto" w:fill="FFC000"/>
        <w:spacing w:after="0" w:line="48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843762">
        <w:rPr>
          <w:rFonts w:ascii="Arial" w:eastAsia="Times New Roman" w:hAnsi="Arial" w:cs="Arial"/>
          <w:b/>
          <w:bCs/>
          <w:color w:val="000000"/>
          <w:sz w:val="26"/>
          <w:szCs w:val="26"/>
        </w:rPr>
        <w:t>Alternate Flows</w:t>
      </w:r>
      <w:r w:rsidRPr="00843762">
        <w:rPr>
          <w:rFonts w:ascii="Arial" w:eastAsia="Times New Roman" w:hAnsi="Arial" w:cs="Arial"/>
          <w:color w:val="000000"/>
          <w:sz w:val="26"/>
          <w:szCs w:val="26"/>
        </w:rPr>
        <w:t> – Capture the less common user/system interactions, such as being on a new computer and answering a security question.</w:t>
      </w:r>
    </w:p>
    <w:p w:rsidR="00843762" w:rsidRPr="00843762" w:rsidRDefault="00843762" w:rsidP="00BB17B3">
      <w:pPr>
        <w:numPr>
          <w:ilvl w:val="0"/>
          <w:numId w:val="1"/>
        </w:num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  <w:between w:val="single" w:sz="12" w:space="1" w:color="4472C4" w:themeColor="accent5"/>
          <w:bar w:val="single" w:sz="12" w:color="4472C4" w:themeColor="accent5"/>
        </w:pBdr>
        <w:shd w:val="clear" w:color="auto" w:fill="FFC000"/>
        <w:spacing w:after="0" w:line="48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843762">
        <w:rPr>
          <w:rFonts w:ascii="Arial" w:eastAsia="Times New Roman" w:hAnsi="Arial" w:cs="Arial"/>
          <w:b/>
          <w:bCs/>
          <w:color w:val="000000"/>
          <w:sz w:val="26"/>
          <w:szCs w:val="26"/>
        </w:rPr>
        <w:t>Exception Flows</w:t>
      </w:r>
      <w:r w:rsidRPr="00843762">
        <w:rPr>
          <w:rFonts w:ascii="Arial" w:eastAsia="Times New Roman" w:hAnsi="Arial" w:cs="Arial"/>
          <w:color w:val="000000"/>
          <w:sz w:val="26"/>
          <w:szCs w:val="26"/>
        </w:rPr>
        <w:t> – The things that can happen that prevent the user from achieving their goal, such as providing an incorrect username and password.</w:t>
      </w:r>
    </w:p>
    <w:p w:rsidR="00CC5617" w:rsidRPr="00AE0CBD" w:rsidRDefault="00843762" w:rsidP="00BB17B3">
      <w:pPr>
        <w:numPr>
          <w:ilvl w:val="0"/>
          <w:numId w:val="1"/>
        </w:numPr>
        <w:pBdr>
          <w:top w:val="single" w:sz="12" w:space="1" w:color="4472C4" w:themeColor="accent5"/>
          <w:left w:val="single" w:sz="12" w:space="4" w:color="4472C4" w:themeColor="accent5"/>
          <w:bottom w:val="single" w:sz="12" w:space="1" w:color="4472C4" w:themeColor="accent5"/>
          <w:right w:val="single" w:sz="12" w:space="4" w:color="4472C4" w:themeColor="accent5"/>
          <w:between w:val="single" w:sz="12" w:space="1" w:color="4472C4" w:themeColor="accent5"/>
          <w:bar w:val="single" w:sz="12" w:color="4472C4" w:themeColor="accent5"/>
        </w:pBdr>
        <w:shd w:val="clear" w:color="auto" w:fill="FFC000"/>
        <w:spacing w:after="0" w:line="480" w:lineRule="auto"/>
        <w:ind w:left="0"/>
        <w:rPr>
          <w:rFonts w:ascii="Arial" w:eastAsia="Times New Roman" w:hAnsi="Arial" w:cs="Arial"/>
          <w:color w:val="000000"/>
          <w:sz w:val="26"/>
          <w:szCs w:val="26"/>
        </w:rPr>
      </w:pPr>
      <w:r w:rsidRPr="00843762">
        <w:rPr>
          <w:rFonts w:ascii="Arial" w:eastAsia="Times New Roman" w:hAnsi="Arial" w:cs="Arial"/>
          <w:b/>
          <w:bCs/>
          <w:color w:val="000000"/>
          <w:sz w:val="26"/>
          <w:szCs w:val="26"/>
        </w:rPr>
        <w:t>Post Conditions</w:t>
      </w:r>
      <w:r w:rsidRPr="00843762">
        <w:rPr>
          <w:rFonts w:ascii="Arial" w:eastAsia="Times New Roman" w:hAnsi="Arial" w:cs="Arial"/>
          <w:color w:val="000000"/>
          <w:sz w:val="26"/>
          <w:szCs w:val="26"/>
        </w:rPr>
        <w:t> – Anything that must be true when the use cas</w:t>
      </w:r>
      <w:bookmarkStart w:id="0" w:name="_GoBack"/>
      <w:bookmarkEnd w:id="0"/>
      <w:r w:rsidRPr="00843762">
        <w:rPr>
          <w:rFonts w:ascii="Arial" w:eastAsia="Times New Roman" w:hAnsi="Arial" w:cs="Arial"/>
          <w:color w:val="000000"/>
          <w:sz w:val="26"/>
          <w:szCs w:val="26"/>
        </w:rPr>
        <w:t>e is complete.</w:t>
      </w:r>
    </w:p>
    <w:sectPr w:rsidR="00CC5617" w:rsidRPr="00AE0C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C2DCF"/>
    <w:multiLevelType w:val="multilevel"/>
    <w:tmpl w:val="2318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62"/>
    <w:rsid w:val="00721EC9"/>
    <w:rsid w:val="00843762"/>
    <w:rsid w:val="00AA2027"/>
    <w:rsid w:val="00AE0CBD"/>
    <w:rsid w:val="00BB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7BD095-95C7-4ABC-8A4F-126CAED59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1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142</Words>
  <Characters>816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957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