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right="860"/>
        <w:jc w:val="right"/>
      </w:pPr>
      <w:r>
        <w:rPr/>
        <w:t>Attachment 7</w:t>
      </w:r>
    </w:p>
    <w:p>
      <w:pPr>
        <w:pStyle w:val="BodyText"/>
        <w:rPr>
          <w:sz w:val="20"/>
        </w:rPr>
      </w:pPr>
    </w:p>
    <w:p>
      <w:pPr>
        <w:pStyle w:val="BodyText"/>
        <w:rPr>
          <w:sz w:val="20"/>
        </w:rPr>
      </w:pPr>
    </w:p>
    <w:p>
      <w:pPr>
        <w:pStyle w:val="BodyText"/>
        <w:spacing w:before="3"/>
      </w:pPr>
    </w:p>
    <w:p>
      <w:pPr>
        <w:pStyle w:val="BodyText"/>
        <w:spacing w:before="90"/>
        <w:ind w:left="4041" w:right="4059"/>
        <w:jc w:val="center"/>
      </w:pPr>
      <w:r>
        <w:rPr/>
        <w:t>Sample</w:t>
      </w:r>
    </w:p>
    <w:p>
      <w:pPr>
        <w:pStyle w:val="BodyText"/>
        <w:ind w:left="2610"/>
      </w:pPr>
      <w:r>
        <w:rPr/>
        <w:t>Amendment to Construction Contract</w:t>
      </w:r>
    </w:p>
    <w:p>
      <w:pPr>
        <w:pStyle w:val="BodyText"/>
        <w:rPr>
          <w:sz w:val="26"/>
        </w:rPr>
      </w:pPr>
    </w:p>
    <w:p>
      <w:pPr>
        <w:pStyle w:val="BodyText"/>
        <w:spacing w:before="11"/>
        <w:rPr>
          <w:sz w:val="21"/>
        </w:rPr>
      </w:pPr>
    </w:p>
    <w:p>
      <w:pPr>
        <w:pStyle w:val="BodyText"/>
        <w:tabs>
          <w:tab w:pos="5272" w:val="left" w:leader="none"/>
        </w:tabs>
        <w:ind w:left="339"/>
      </w:pPr>
      <w:r>
        <w:rPr/>
        <w:t>In reference</w:t>
      </w:r>
      <w:r>
        <w:rPr>
          <w:spacing w:val="-2"/>
        </w:rPr>
        <w:t> </w:t>
      </w:r>
      <w:r>
        <w:rPr/>
        <w:t>to</w:t>
      </w:r>
      <w:r>
        <w:rPr>
          <w:spacing w:val="-1"/>
        </w:rPr>
        <w:t> </w:t>
      </w:r>
      <w:r>
        <w:rPr/>
        <w:t>the</w:t>
      </w:r>
      <w:r>
        <w:rPr>
          <w:u w:val="single"/>
        </w:rPr>
        <w:t> </w:t>
        <w:tab/>
      </w:r>
      <w:r>
        <w:rPr/>
        <w:t>(agreement) made by and</w:t>
      </w:r>
      <w:r>
        <w:rPr>
          <w:spacing w:val="-2"/>
        </w:rPr>
        <w:t> </w:t>
      </w:r>
      <w:r>
        <w:rPr/>
        <w:t>between</w:t>
      </w:r>
    </w:p>
    <w:p>
      <w:pPr>
        <w:pStyle w:val="BodyText"/>
        <w:tabs>
          <w:tab w:pos="3339" w:val="left" w:leader="none"/>
          <w:tab w:pos="4706" w:val="left" w:leader="none"/>
          <w:tab w:pos="8612" w:val="left" w:leader="none"/>
        </w:tabs>
        <w:ind w:left="100" w:right="245"/>
      </w:pPr>
      <w:r>
        <w:rPr>
          <w:u w:val="single"/>
        </w:rPr>
        <w:t> </w:t>
        <w:tab/>
      </w:r>
      <w:r>
        <w:rPr/>
        <w:t> (“Owner”) and </w:t>
      </w:r>
      <w:r>
        <w:rPr>
          <w:u w:val="single"/>
        </w:rPr>
        <w:t> </w:t>
        <w:tab/>
      </w:r>
      <w:r>
        <w:rPr/>
        <w:t> (“Contractor”) and dated</w:t>
      </w:r>
      <w:r>
        <w:rPr>
          <w:u w:val="single"/>
        </w:rPr>
        <w:t> </w:t>
        <w:tab/>
        <w:tab/>
      </w:r>
      <w:r>
        <w:rPr/>
        <w:t>, such agreement is hereby amended to include the following</w:t>
      </w:r>
      <w:r>
        <w:rPr>
          <w:spacing w:val="-3"/>
        </w:rPr>
        <w:t> </w:t>
      </w:r>
      <w:r>
        <w:rPr/>
        <w:t>conditions.</w:t>
      </w:r>
    </w:p>
    <w:p>
      <w:pPr>
        <w:pStyle w:val="BodyText"/>
        <w:rPr>
          <w:sz w:val="26"/>
        </w:rPr>
      </w:pPr>
    </w:p>
    <w:p>
      <w:pPr>
        <w:pStyle w:val="BodyText"/>
        <w:rPr>
          <w:sz w:val="22"/>
        </w:rPr>
      </w:pPr>
    </w:p>
    <w:p>
      <w:pPr>
        <w:pStyle w:val="ListParagraph"/>
        <w:numPr>
          <w:ilvl w:val="0"/>
          <w:numId w:val="1"/>
        </w:numPr>
        <w:tabs>
          <w:tab w:pos="460" w:val="left" w:leader="none"/>
        </w:tabs>
        <w:spacing w:line="240" w:lineRule="auto" w:before="0" w:after="0"/>
        <w:ind w:left="460" w:right="280" w:hanging="360"/>
        <w:jc w:val="left"/>
        <w:rPr>
          <w:sz w:val="24"/>
        </w:rPr>
      </w:pPr>
      <w:r>
        <w:rPr>
          <w:sz w:val="24"/>
        </w:rPr>
        <w:t>The Contractor agrees to hold harmless, and in any contract with any subcontractor agrees to provide that the subcontractor will also hold harmless, The Regents of the University of California, the Cardiff Terrace Homeowner’s Association, and The Cardiff Terrace Architectural Review Board from any claim, cost, liability, or loss arising from personal injury, death, or property damage resulting from any willful or negligent act, error, or omission of the contractor or</w:t>
      </w:r>
      <w:r>
        <w:rPr>
          <w:spacing w:val="-4"/>
          <w:sz w:val="24"/>
        </w:rPr>
        <w:t> </w:t>
      </w:r>
      <w:r>
        <w:rPr>
          <w:sz w:val="24"/>
        </w:rPr>
        <w:t>subcontractor.</w:t>
      </w:r>
    </w:p>
    <w:p>
      <w:pPr>
        <w:pStyle w:val="BodyText"/>
      </w:pPr>
    </w:p>
    <w:p>
      <w:pPr>
        <w:pStyle w:val="ListParagraph"/>
        <w:numPr>
          <w:ilvl w:val="0"/>
          <w:numId w:val="1"/>
        </w:numPr>
        <w:tabs>
          <w:tab w:pos="460" w:val="left" w:leader="none"/>
        </w:tabs>
        <w:spacing w:line="240" w:lineRule="auto" w:before="0" w:after="0"/>
        <w:ind w:left="460" w:right="285" w:hanging="360"/>
        <w:jc w:val="left"/>
        <w:rPr>
          <w:sz w:val="24"/>
        </w:rPr>
      </w:pPr>
      <w:r>
        <w:rPr>
          <w:sz w:val="24"/>
        </w:rPr>
        <w:t>The Contractor agrees that in the event the owner fails to perform his or her contract with the Contractor, the Contractor will, upon the request of the Regents, recognize the Regents as Owner’s assignee under the same terms and conditions as in Owner’s contract with the</w:t>
      </w:r>
      <w:r>
        <w:rPr>
          <w:spacing w:val="-4"/>
          <w:sz w:val="24"/>
        </w:rPr>
        <w:t> </w:t>
      </w:r>
      <w:r>
        <w:rPr>
          <w:sz w:val="24"/>
        </w:rPr>
        <w:t>Contractor.</w:t>
      </w:r>
    </w:p>
    <w:p>
      <w:pPr>
        <w:pStyle w:val="BodyText"/>
        <w:spacing w:before="11"/>
        <w:rPr>
          <w:sz w:val="23"/>
        </w:rPr>
      </w:pPr>
    </w:p>
    <w:p>
      <w:pPr>
        <w:pStyle w:val="ListParagraph"/>
        <w:numPr>
          <w:ilvl w:val="0"/>
          <w:numId w:val="1"/>
        </w:numPr>
        <w:tabs>
          <w:tab w:pos="460" w:val="left" w:leader="none"/>
        </w:tabs>
        <w:spacing w:line="240" w:lineRule="auto" w:before="0" w:after="0"/>
        <w:ind w:left="460" w:right="252" w:hanging="360"/>
        <w:jc w:val="left"/>
        <w:rPr>
          <w:sz w:val="24"/>
        </w:rPr>
      </w:pPr>
      <w:r>
        <w:rPr>
          <w:sz w:val="24"/>
        </w:rPr>
        <w:t>The Owner and Contractor recognize The Regents as a third-party beneficiary to this contract, and The Regents are entitled to instigate or intervene in any action or proceeding to enforce its</w:t>
      </w:r>
      <w:r>
        <w:rPr>
          <w:spacing w:val="-1"/>
          <w:sz w:val="24"/>
        </w:rPr>
        <w:t> </w:t>
      </w:r>
      <w:r>
        <w:rPr>
          <w:sz w:val="24"/>
        </w:rPr>
        <w:t>provisions.</w:t>
      </w:r>
    </w:p>
    <w:p>
      <w:pPr>
        <w:pStyle w:val="BodyText"/>
      </w:pPr>
    </w:p>
    <w:p>
      <w:pPr>
        <w:pStyle w:val="BodyText"/>
        <w:ind w:left="100"/>
      </w:pPr>
      <w:r>
        <w:rPr/>
        <w:t>The undersigned agree that the terms of this amendment are made effective as of</w:t>
      </w:r>
    </w:p>
    <w:p>
      <w:pPr>
        <w:pStyle w:val="BodyText"/>
        <w:tabs>
          <w:tab w:pos="2261" w:val="left" w:leader="none"/>
        </w:tabs>
        <w:ind w:left="100"/>
      </w:pPr>
      <w:r>
        <w:rPr>
          <w:u w:val="single"/>
        </w:rPr>
        <w:t> </w:t>
        <w:tab/>
      </w:r>
      <w:r>
        <w:rPr/>
        <w:t> (date of contract).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w:pict>
          <v:line style="position:absolute;mso-position-horizontal-relative:page;mso-position-vertical-relative:paragraph;z-index:-1024;mso-wrap-distance-left:0;mso-wrap-distance-right:0" from="90pt,8.972822pt" to="246.0pt,8.972822pt" stroked="true" strokeweight=".48pt" strokecolor="#000000">
            <v:stroke dashstyle="solid"/>
            <w10:wrap type="topAndBottom"/>
          </v:line>
        </w:pict>
      </w:r>
      <w:r>
        <w:rPr/>
        <w:pict>
          <v:line style="position:absolute;mso-position-horizontal-relative:page;mso-position-vertical-relative:paragraph;z-index:-1000;mso-wrap-distance-left:0;mso-wrap-distance-right:0" from="342pt,8.972822pt" to="522.000009pt,8.972822pt" stroked="true" strokeweight=".48pt" strokecolor="#000000">
            <v:stroke dashstyle="solid"/>
            <w10:wrap type="topAndBottom"/>
          </v:line>
        </w:pict>
      </w:r>
    </w:p>
    <w:p>
      <w:pPr>
        <w:pStyle w:val="BodyText"/>
        <w:tabs>
          <w:tab w:pos="5172" w:val="left" w:leader="none"/>
        </w:tabs>
        <w:spacing w:line="247" w:lineRule="exact"/>
        <w:ind w:left="100"/>
      </w:pPr>
      <w:r>
        <w:rPr/>
        <w:t>Date</w:t>
        <w:tab/>
        <w:t>Owner</w:t>
      </w:r>
    </w:p>
    <w:p>
      <w:pPr>
        <w:pStyle w:val="BodyText"/>
        <w:rPr>
          <w:sz w:val="20"/>
        </w:rPr>
      </w:pPr>
    </w:p>
    <w:p>
      <w:pPr>
        <w:pStyle w:val="BodyText"/>
        <w:spacing w:before="8"/>
        <w:rPr>
          <w:sz w:val="23"/>
        </w:rPr>
      </w:pPr>
      <w:r>
        <w:rPr/>
        <w:pict>
          <v:line style="position:absolute;mso-position-horizontal-relative:page;mso-position-vertical-relative:paragraph;z-index:-976;mso-wrap-distance-left:0;mso-wrap-distance-right:0" from="342pt,15.857173pt" to="522.000009pt,15.857173pt" stroked="true" strokeweight=".48pt" strokecolor="#000000">
            <v:stroke dashstyle="solid"/>
            <w10:wrap type="topAndBottom"/>
          </v:line>
        </w:pict>
      </w:r>
    </w:p>
    <w:p>
      <w:pPr>
        <w:pStyle w:val="BodyText"/>
        <w:spacing w:line="247" w:lineRule="exact"/>
        <w:ind w:left="5200"/>
      </w:pPr>
      <w:r>
        <w:rPr/>
        <w:t>Contractor</w:t>
      </w:r>
    </w:p>
    <w:sectPr>
      <w:type w:val="continuous"/>
      <w:pgSz w:w="12240" w:h="15840"/>
      <w:pgMar w:top="136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1300" w:hanging="360"/>
      </w:pPr>
      <w:rPr>
        <w:rFonts w:hint="default"/>
      </w:rPr>
    </w:lvl>
    <w:lvl w:ilvl="2">
      <w:start w:val="0"/>
      <w:numFmt w:val="bullet"/>
      <w:lvlText w:val="•"/>
      <w:lvlJc w:val="left"/>
      <w:pPr>
        <w:ind w:left="2140" w:hanging="360"/>
      </w:pPr>
      <w:rPr>
        <w:rFonts w:hint="default"/>
      </w:rPr>
    </w:lvl>
    <w:lvl w:ilvl="3">
      <w:start w:val="0"/>
      <w:numFmt w:val="bullet"/>
      <w:lvlText w:val="•"/>
      <w:lvlJc w:val="left"/>
      <w:pPr>
        <w:ind w:left="2980"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660" w:hanging="360"/>
      </w:pPr>
      <w:rPr>
        <w:rFonts w:hint="default"/>
      </w:rPr>
    </w:lvl>
    <w:lvl w:ilvl="6">
      <w:start w:val="0"/>
      <w:numFmt w:val="bullet"/>
      <w:lvlText w:val="•"/>
      <w:lvlJc w:val="left"/>
      <w:pPr>
        <w:ind w:left="5500" w:hanging="360"/>
      </w:pPr>
      <w:rPr>
        <w:rFonts w:hint="default"/>
      </w:rPr>
    </w:lvl>
    <w:lvl w:ilvl="7">
      <w:start w:val="0"/>
      <w:numFmt w:val="bullet"/>
      <w:lvlText w:val="•"/>
      <w:lvlJc w:val="left"/>
      <w:pPr>
        <w:ind w:left="6340" w:hanging="360"/>
      </w:pPr>
      <w:rPr>
        <w:rFonts w:hint="default"/>
      </w:rPr>
    </w:lvl>
    <w:lvl w:ilvl="8">
      <w:start w:val="0"/>
      <w:numFmt w:val="bullet"/>
      <w:lvlText w:val="•"/>
      <w:lvlJc w:val="left"/>
      <w:pPr>
        <w:ind w:left="71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460" w:right="252"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