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0"/>
        <w:gridCol w:w="4326"/>
        <w:gridCol w:w="1498"/>
        <w:gridCol w:w="1694"/>
      </w:tblGrid>
      <w:tr>
        <w:trPr>
          <w:trHeight w:val="421" w:hRule="atLeast"/>
        </w:trPr>
        <w:tc>
          <w:tcPr>
            <w:tcW w:w="3200" w:type="dxa"/>
            <w:vMerge w:val="restart"/>
          </w:tcPr>
          <w:p>
            <w:pPr>
              <w:pStyle w:val="TableParagraph"/>
              <w:spacing w:before="5"/>
              <w:ind w:left="0"/>
              <w:rPr>
                <w:sz w:val="7"/>
              </w:rPr>
            </w:pPr>
          </w:p>
          <w:p>
            <w:pPr>
              <w:pStyle w:val="TableParagraph"/>
              <w:ind w:left="849"/>
              <w:rPr>
                <w:sz w:val="20"/>
              </w:rPr>
            </w:pPr>
            <w:r>
              <w:rPr>
                <w:sz w:val="20"/>
              </w:rPr>
              <w:drawing>
                <wp:inline distT="0" distB="0" distL="0" distR="0">
                  <wp:extent cx="950636" cy="323850"/>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50636" cy="323850"/>
                          </a:xfrm>
                          <a:prstGeom prst="rect">
                            <a:avLst/>
                          </a:prstGeom>
                        </pic:spPr>
                      </pic:pic>
                    </a:graphicData>
                  </a:graphic>
                </wp:inline>
              </w:drawing>
            </w:r>
            <w:r>
              <w:rPr>
                <w:sz w:val="20"/>
              </w:rPr>
            </w:r>
          </w:p>
        </w:tc>
        <w:tc>
          <w:tcPr>
            <w:tcW w:w="4326" w:type="dxa"/>
            <w:vMerge w:val="restart"/>
          </w:tcPr>
          <w:p>
            <w:pPr>
              <w:pStyle w:val="TableParagraph"/>
              <w:spacing w:before="4"/>
              <w:ind w:left="0"/>
              <w:rPr>
                <w:sz w:val="26"/>
              </w:rPr>
            </w:pPr>
          </w:p>
          <w:p>
            <w:pPr>
              <w:pStyle w:val="TableParagraph"/>
              <w:ind w:left="1005"/>
              <w:rPr>
                <w:rFonts w:ascii="Calibri"/>
                <w:b/>
                <w:sz w:val="22"/>
              </w:rPr>
            </w:pPr>
            <w:r>
              <w:rPr>
                <w:rFonts w:ascii="Calibri"/>
                <w:b/>
                <w:sz w:val="22"/>
              </w:rPr>
              <w:t>Contract Amendment Form</w:t>
            </w:r>
          </w:p>
        </w:tc>
        <w:tc>
          <w:tcPr>
            <w:tcW w:w="1498" w:type="dxa"/>
          </w:tcPr>
          <w:p>
            <w:pPr>
              <w:pStyle w:val="TableParagraph"/>
              <w:spacing w:before="65"/>
              <w:ind w:left="107"/>
              <w:rPr>
                <w:rFonts w:ascii="Calibri"/>
                <w:sz w:val="22"/>
              </w:rPr>
            </w:pPr>
            <w:r>
              <w:rPr>
                <w:rFonts w:ascii="Calibri"/>
                <w:sz w:val="22"/>
              </w:rPr>
              <w:t>SOP 104c</w:t>
            </w:r>
          </w:p>
        </w:tc>
        <w:tc>
          <w:tcPr>
            <w:tcW w:w="1694" w:type="dxa"/>
          </w:tcPr>
          <w:p>
            <w:pPr>
              <w:pStyle w:val="TableParagraph"/>
              <w:spacing w:before="65"/>
              <w:ind w:left="104"/>
              <w:rPr>
                <w:rFonts w:ascii="Calibri"/>
                <w:sz w:val="22"/>
              </w:rPr>
            </w:pPr>
            <w:r>
              <w:rPr>
                <w:rFonts w:ascii="Calibri"/>
                <w:sz w:val="22"/>
              </w:rPr>
              <w:t>Revision 01</w:t>
            </w:r>
          </w:p>
        </w:tc>
      </w:tr>
      <w:tr>
        <w:trPr>
          <w:trHeight w:val="537" w:hRule="atLeast"/>
        </w:trPr>
        <w:tc>
          <w:tcPr>
            <w:tcW w:w="3200" w:type="dxa"/>
            <w:vMerge/>
            <w:tcBorders>
              <w:top w:val="nil"/>
            </w:tcBorders>
          </w:tcPr>
          <w:p>
            <w:pPr>
              <w:rPr>
                <w:sz w:val="2"/>
                <w:szCs w:val="2"/>
              </w:rPr>
            </w:pPr>
          </w:p>
        </w:tc>
        <w:tc>
          <w:tcPr>
            <w:tcW w:w="4326" w:type="dxa"/>
            <w:vMerge/>
            <w:tcBorders>
              <w:top w:val="nil"/>
            </w:tcBorders>
          </w:tcPr>
          <w:p>
            <w:pPr>
              <w:rPr>
                <w:sz w:val="2"/>
                <w:szCs w:val="2"/>
              </w:rPr>
            </w:pPr>
          </w:p>
        </w:tc>
        <w:tc>
          <w:tcPr>
            <w:tcW w:w="1498" w:type="dxa"/>
          </w:tcPr>
          <w:p>
            <w:pPr>
              <w:pStyle w:val="TableParagraph"/>
              <w:spacing w:line="257" w:lineRule="exact"/>
              <w:ind w:left="107"/>
              <w:rPr>
                <w:rFonts w:ascii="Calibri"/>
                <w:sz w:val="22"/>
              </w:rPr>
            </w:pPr>
            <w:r>
              <w:rPr>
                <w:rFonts w:ascii="Calibri"/>
                <w:sz w:val="22"/>
              </w:rPr>
              <w:t>Issue date:</w:t>
            </w:r>
          </w:p>
          <w:p>
            <w:pPr>
              <w:pStyle w:val="TableParagraph"/>
              <w:spacing w:line="260" w:lineRule="exact"/>
              <w:ind w:left="107"/>
              <w:rPr>
                <w:rFonts w:ascii="Calibri"/>
                <w:sz w:val="22"/>
              </w:rPr>
            </w:pPr>
            <w:r>
              <w:rPr>
                <w:rFonts w:ascii="Calibri"/>
                <w:sz w:val="22"/>
              </w:rPr>
              <w:t>25/02/2014</w:t>
            </w:r>
          </w:p>
        </w:tc>
        <w:tc>
          <w:tcPr>
            <w:tcW w:w="1694" w:type="dxa"/>
          </w:tcPr>
          <w:p>
            <w:pPr>
              <w:pStyle w:val="TableParagraph"/>
              <w:spacing w:before="123"/>
              <w:ind w:left="104"/>
              <w:rPr>
                <w:rFonts w:ascii="Calibri"/>
                <w:sz w:val="22"/>
              </w:rPr>
            </w:pPr>
            <w:r>
              <w:rPr>
                <w:rFonts w:ascii="Calibri"/>
                <w:sz w:val="22"/>
              </w:rPr>
              <w:t>Page </w:t>
            </w:r>
            <w:r>
              <w:rPr>
                <w:rFonts w:ascii="Calibri"/>
                <w:b/>
                <w:sz w:val="22"/>
              </w:rPr>
              <w:t>1 </w:t>
            </w:r>
            <w:r>
              <w:rPr>
                <w:rFonts w:ascii="Calibri"/>
                <w:sz w:val="22"/>
              </w:rPr>
              <w:t>of 1</w:t>
            </w:r>
          </w:p>
        </w:tc>
      </w:tr>
    </w:tbl>
    <w:p>
      <w:pPr>
        <w:pStyle w:val="BodyText"/>
      </w:pPr>
    </w:p>
    <w:p>
      <w:pPr>
        <w:spacing w:before="220"/>
        <w:ind w:left="3814" w:right="1749" w:hanging="2293"/>
        <w:jc w:val="left"/>
        <w:rPr>
          <w:b/>
          <w:sz w:val="28"/>
        </w:rPr>
      </w:pPr>
      <w:r>
        <w:rPr/>
        <w:pict>
          <v:line style="position:absolute;mso-position-horizontal-relative:page;mso-position-vertical-relative:paragraph;z-index:-1024;mso-wrap-distance-left:0;mso-wrap-distance-right:0" from="88.584pt,45.070316pt" to="506.854pt,45.070316pt" stroked="true" strokeweight="1.44pt" strokecolor="#000000">
            <v:stroke dashstyle="solid"/>
            <w10:wrap type="topAndBottom"/>
          </v:line>
        </w:pict>
      </w:r>
      <w:r>
        <w:rPr>
          <w:b/>
          <w:sz w:val="28"/>
        </w:rPr>
        <w:t>Amendment to Ordnance Survey Ireland – Contract Agreement </w:t>
      </w:r>
      <w:r>
        <w:rPr>
          <w:b/>
          <w:color w:val="0000FF"/>
          <w:sz w:val="28"/>
        </w:rPr>
        <w:t>[insert reference number]</w:t>
      </w:r>
    </w:p>
    <w:p>
      <w:pPr>
        <w:pStyle w:val="BodyText"/>
        <w:rPr>
          <w:b/>
        </w:rPr>
      </w:pPr>
    </w:p>
    <w:p>
      <w:pPr>
        <w:pStyle w:val="BodyText"/>
        <w:spacing w:before="10"/>
        <w:rPr>
          <w:b/>
          <w:sz w:val="16"/>
        </w:rPr>
      </w:pPr>
    </w:p>
    <w:p>
      <w:pPr>
        <w:pStyle w:val="BodyText"/>
        <w:spacing w:line="360" w:lineRule="auto" w:before="91"/>
        <w:ind w:left="1200" w:right="1616"/>
      </w:pPr>
      <w:r>
        <w:rPr/>
        <w:t>This amendment is made and entered into, effective as of </w:t>
      </w:r>
      <w:r>
        <w:rPr>
          <w:color w:val="0000FF"/>
        </w:rPr>
        <w:t>[insert date] </w:t>
      </w:r>
      <w:r>
        <w:rPr/>
        <w:t>by and between </w:t>
      </w:r>
      <w:r>
        <w:rPr>
          <w:color w:val="0000FF"/>
        </w:rPr>
        <w:t>[insert name] </w:t>
      </w:r>
      <w:r>
        <w:rPr/>
        <w:t>(“</w:t>
      </w:r>
      <w:r>
        <w:rPr>
          <w:i/>
        </w:rPr>
        <w:t>insert</w:t>
      </w:r>
      <w:r>
        <w:rPr/>
        <w:t>”), an </w:t>
      </w:r>
      <w:r>
        <w:rPr>
          <w:color w:val="0000FF"/>
        </w:rPr>
        <w:t>[insert description of company / organisation]</w:t>
      </w:r>
      <w:r>
        <w:rPr/>
        <w:t>, and Ordnance Survey Ireland (“OSI”) as an Amendment to the Contract Agreement entered into between the parties effective </w:t>
      </w:r>
      <w:r>
        <w:rPr>
          <w:color w:val="0000FF"/>
        </w:rPr>
        <w:t>[insert date of original contract] </w:t>
      </w:r>
      <w:r>
        <w:rPr/>
        <w:t>(the “Agreement”).</w:t>
      </w:r>
    </w:p>
    <w:p>
      <w:pPr>
        <w:pStyle w:val="BodyText"/>
        <w:spacing w:before="11"/>
        <w:rPr>
          <w:sz w:val="29"/>
        </w:rPr>
      </w:pPr>
    </w:p>
    <w:p>
      <w:pPr>
        <w:pStyle w:val="BodyText"/>
        <w:ind w:left="1200"/>
      </w:pPr>
      <w:r>
        <w:rPr>
          <w:b/>
        </w:rPr>
        <w:t>Whereas </w:t>
      </w:r>
      <w:r>
        <w:rPr/>
        <w:t>the parties entered into this Amendment to the existing Agreement dated as </w:t>
      </w:r>
      <w:r>
        <w:rPr>
          <w:color w:val="0000FF"/>
        </w:rPr>
        <w:t>[insert date] </w:t>
      </w:r>
      <w:r>
        <w:rPr/>
        <w:t>and</w:t>
      </w:r>
    </w:p>
    <w:p>
      <w:pPr>
        <w:pStyle w:val="BodyText"/>
        <w:spacing w:line="360" w:lineRule="auto" w:before="115"/>
        <w:ind w:left="1200" w:right="2116"/>
      </w:pPr>
      <w:r>
        <w:rPr>
          <w:b/>
        </w:rPr>
        <w:t>Whereas </w:t>
      </w:r>
      <w:r>
        <w:rPr/>
        <w:t>the parties desire to amend the existing Agreement on the terms set forth herein. Now, therefore, the parties, intending to be legally bound, hereby agree as follows:</w:t>
      </w:r>
    </w:p>
    <w:p>
      <w:pPr>
        <w:pStyle w:val="Heading1"/>
        <w:numPr>
          <w:ilvl w:val="0"/>
          <w:numId w:val="1"/>
        </w:numPr>
        <w:tabs>
          <w:tab w:pos="1920" w:val="left" w:leader="none"/>
          <w:tab w:pos="1921" w:val="left" w:leader="none"/>
        </w:tabs>
        <w:spacing w:line="240" w:lineRule="auto" w:before="120" w:after="0"/>
        <w:ind w:left="1920" w:right="0" w:hanging="720"/>
        <w:jc w:val="left"/>
        <w:rPr>
          <w:b w:val="0"/>
        </w:rPr>
      </w:pPr>
      <w:r>
        <w:rPr/>
        <w:t>Amendment</w:t>
      </w:r>
      <w:r>
        <w:rPr>
          <w:spacing w:val="-1"/>
        </w:rPr>
        <w:t> </w:t>
      </w:r>
      <w:r>
        <w:rPr/>
        <w:t>Effect</w:t>
      </w:r>
      <w:r>
        <w:rPr>
          <w:b w:val="0"/>
        </w:rPr>
        <w:t>.</w:t>
      </w:r>
    </w:p>
    <w:p>
      <w:pPr>
        <w:pStyle w:val="BodyText"/>
        <w:spacing w:line="360" w:lineRule="auto" w:before="122"/>
        <w:ind w:left="1200" w:right="1440"/>
        <w:jc w:val="both"/>
      </w:pPr>
      <w:r>
        <w:rPr/>
        <w:t>All references to the Agreement refer to the Agreement as amended by this Amendment. Except as amended herein, the Agreement, Amendment and all Orders issued thereunder remain in full force and effect. All terms that are not specifically defined in this Amendment shall have the meaning defined under the existing Agreement.</w:t>
      </w:r>
    </w:p>
    <w:p>
      <w:pPr>
        <w:pStyle w:val="Heading1"/>
        <w:numPr>
          <w:ilvl w:val="0"/>
          <w:numId w:val="1"/>
        </w:numPr>
        <w:tabs>
          <w:tab w:pos="1908" w:val="left" w:leader="none"/>
          <w:tab w:pos="1909" w:val="left" w:leader="none"/>
        </w:tabs>
        <w:spacing w:line="240" w:lineRule="auto" w:before="119" w:after="0"/>
        <w:ind w:left="1908" w:right="0" w:hanging="708"/>
        <w:jc w:val="left"/>
        <w:rPr>
          <w:b w:val="0"/>
        </w:rPr>
      </w:pPr>
      <w:r>
        <w:rPr/>
        <w:t>Details of Amendment</w:t>
      </w:r>
      <w:r>
        <w:rPr>
          <w:b w:val="0"/>
        </w:rPr>
        <w:t>.</w:t>
      </w:r>
    </w:p>
    <w:p>
      <w:pPr>
        <w:pStyle w:val="BodyText"/>
        <w:spacing w:before="121"/>
        <w:ind w:left="1200"/>
      </w:pPr>
      <w:r>
        <w:rPr/>
        <w:t>Amendment details are as follows,</w:t>
      </w:r>
    </w:p>
    <w:p>
      <w:pPr>
        <w:pStyle w:val="BodyText"/>
        <w:rPr>
          <w:sz w:val="22"/>
        </w:rPr>
      </w:pPr>
    </w:p>
    <w:p>
      <w:pPr>
        <w:pStyle w:val="BodyText"/>
        <w:spacing w:before="11"/>
        <w:rPr>
          <w:sz w:val="17"/>
        </w:rPr>
      </w:pPr>
    </w:p>
    <w:p>
      <w:pPr>
        <w:pStyle w:val="ListParagraph"/>
        <w:numPr>
          <w:ilvl w:val="0"/>
          <w:numId w:val="2"/>
        </w:numPr>
        <w:tabs>
          <w:tab w:pos="1560" w:val="left" w:leader="none"/>
          <w:tab w:pos="1561" w:val="left" w:leader="none"/>
        </w:tabs>
        <w:spacing w:line="240" w:lineRule="auto" w:before="0" w:after="0"/>
        <w:ind w:left="1560" w:right="0" w:hanging="360"/>
        <w:jc w:val="left"/>
        <w:rPr>
          <w:sz w:val="20"/>
        </w:rPr>
      </w:pPr>
      <w:r>
        <w:rPr>
          <w:color w:val="0000FF"/>
          <w:sz w:val="20"/>
        </w:rPr>
        <w:t>Insert details of</w:t>
      </w:r>
      <w:r>
        <w:rPr>
          <w:color w:val="0000FF"/>
          <w:spacing w:val="-5"/>
          <w:sz w:val="20"/>
        </w:rPr>
        <w:t> </w:t>
      </w:r>
      <w:r>
        <w:rPr>
          <w:color w:val="0000FF"/>
          <w:sz w:val="20"/>
        </w:rPr>
        <w:t>changes</w:t>
      </w:r>
    </w:p>
    <w:p>
      <w:pPr>
        <w:pStyle w:val="BodyText"/>
        <w:rPr>
          <w:sz w:val="30"/>
        </w:rPr>
      </w:pPr>
    </w:p>
    <w:p>
      <w:pPr>
        <w:pStyle w:val="BodyText"/>
        <w:spacing w:line="357" w:lineRule="auto"/>
        <w:ind w:left="1200" w:right="595"/>
      </w:pPr>
      <w:r>
        <w:rPr>
          <w:b/>
        </w:rPr>
        <w:t>In witness whereof, </w:t>
      </w:r>
      <w:r>
        <w:rPr/>
        <w:t>the parties hereto, each acting under due and proper authority, have executed this Amendment as of the date written above.</w:t>
      </w:r>
    </w:p>
    <w:p>
      <w:pPr>
        <w:pStyle w:val="BodyText"/>
        <w:spacing w:before="1" w:after="1"/>
        <w:rPr>
          <w:sz w:val="21"/>
        </w:rPr>
      </w:pPr>
    </w:p>
    <w:tbl>
      <w:tblPr>
        <w:tblW w:w="0" w:type="auto"/>
        <w:jc w:val="left"/>
        <w:tblInd w:w="1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98"/>
        <w:gridCol w:w="4931"/>
      </w:tblGrid>
      <w:tr>
        <w:trPr>
          <w:trHeight w:val="2498" w:hRule="atLeast"/>
        </w:trPr>
        <w:tc>
          <w:tcPr>
            <w:tcW w:w="3598" w:type="dxa"/>
          </w:tcPr>
          <w:p>
            <w:pPr>
              <w:pStyle w:val="TableParagraph"/>
              <w:ind w:left="200" w:right="1868"/>
              <w:rPr>
                <w:i/>
                <w:sz w:val="20"/>
              </w:rPr>
            </w:pPr>
            <w:r>
              <w:rPr>
                <w:sz w:val="20"/>
              </w:rPr>
              <w:t>Insert name (“</w:t>
            </w:r>
            <w:r>
              <w:rPr>
                <w:i/>
                <w:sz w:val="20"/>
              </w:rPr>
              <w:t>insert</w:t>
            </w:r>
          </w:p>
          <w:p>
            <w:pPr>
              <w:pStyle w:val="TableParagraph"/>
              <w:tabs>
                <w:tab w:pos="2326" w:val="left" w:leader="none"/>
                <w:tab w:pos="2813" w:val="left" w:leader="none"/>
              </w:tabs>
              <w:spacing w:line="460" w:lineRule="exact" w:before="39"/>
              <w:ind w:left="200" w:right="782"/>
              <w:rPr>
                <w:sz w:val="20"/>
              </w:rPr>
            </w:pPr>
            <w:r>
              <w:rPr>
                <w:sz w:val="20"/>
              </w:rPr>
              <w:t>Signature:</w:t>
            </w:r>
            <w:r>
              <w:rPr>
                <w:sz w:val="20"/>
                <w:u w:val="single"/>
              </w:rPr>
              <w:tab/>
              <w:tab/>
            </w:r>
            <w:r>
              <w:rPr>
                <w:sz w:val="20"/>
              </w:rPr>
              <w:t> Name: </w:t>
            </w:r>
            <w:r>
              <w:rPr>
                <w:w w:val="99"/>
                <w:sz w:val="20"/>
                <w:u w:val="single"/>
              </w:rPr>
              <w:t> </w:t>
            </w:r>
            <w:r>
              <w:rPr>
                <w:sz w:val="20"/>
                <w:u w:val="single"/>
              </w:rPr>
              <w:tab/>
            </w:r>
          </w:p>
          <w:p>
            <w:pPr>
              <w:pStyle w:val="TableParagraph"/>
              <w:spacing w:line="161" w:lineRule="exact"/>
              <w:ind w:left="200"/>
              <w:rPr>
                <w:sz w:val="18"/>
              </w:rPr>
            </w:pPr>
            <w:r>
              <w:rPr>
                <w:sz w:val="18"/>
              </w:rPr>
              <w:t>(Block Capitals)</w:t>
            </w:r>
          </w:p>
          <w:p>
            <w:pPr>
              <w:pStyle w:val="TableParagraph"/>
              <w:tabs>
                <w:tab w:pos="2326" w:val="left" w:leader="none"/>
                <w:tab w:pos="2377" w:val="left" w:leader="none"/>
              </w:tabs>
              <w:spacing w:line="460" w:lineRule="exact" w:before="46"/>
              <w:ind w:left="200" w:right="1218"/>
              <w:rPr>
                <w:sz w:val="20"/>
              </w:rPr>
            </w:pPr>
            <w:r>
              <w:rPr>
                <w:sz w:val="20"/>
              </w:rPr>
              <w:t>Title:</w:t>
            </w:r>
            <w:r>
              <w:rPr>
                <w:sz w:val="20"/>
                <w:u w:val="single"/>
              </w:rPr>
              <w:tab/>
              <w:tab/>
            </w:r>
            <w:r>
              <w:rPr>
                <w:sz w:val="20"/>
              </w:rPr>
              <w:t> Date:</w:t>
            </w:r>
            <w:r>
              <w:rPr>
                <w:spacing w:val="-1"/>
                <w:sz w:val="20"/>
              </w:rPr>
              <w:t> </w:t>
            </w:r>
            <w:r>
              <w:rPr>
                <w:w w:val="99"/>
                <w:sz w:val="20"/>
                <w:u w:val="single"/>
              </w:rPr>
              <w:t> </w:t>
            </w:r>
            <w:r>
              <w:rPr>
                <w:sz w:val="20"/>
                <w:u w:val="single"/>
              </w:rPr>
              <w:tab/>
            </w:r>
          </w:p>
        </w:tc>
        <w:tc>
          <w:tcPr>
            <w:tcW w:w="4931" w:type="dxa"/>
          </w:tcPr>
          <w:p>
            <w:pPr>
              <w:pStyle w:val="TableParagraph"/>
              <w:ind w:right="1429"/>
              <w:rPr>
                <w:sz w:val="20"/>
              </w:rPr>
            </w:pPr>
            <w:r>
              <w:rPr>
                <w:sz w:val="20"/>
              </w:rPr>
              <w:t>Ordnance Survey Ireland. (“OSI”)</w:t>
            </w:r>
          </w:p>
          <w:p>
            <w:pPr>
              <w:pStyle w:val="TableParagraph"/>
              <w:spacing w:before="1"/>
              <w:ind w:left="0"/>
              <w:rPr>
                <w:sz w:val="19"/>
              </w:rPr>
            </w:pPr>
          </w:p>
          <w:p>
            <w:pPr>
              <w:pStyle w:val="TableParagraph"/>
              <w:tabs>
                <w:tab w:pos="3442" w:val="left" w:leader="none"/>
              </w:tabs>
              <w:rPr>
                <w:sz w:val="20"/>
              </w:rPr>
            </w:pPr>
            <w:r>
              <w:rPr>
                <w:sz w:val="20"/>
              </w:rPr>
              <w:t>Signature: </w:t>
            </w:r>
            <w:r>
              <w:rPr>
                <w:w w:val="99"/>
                <w:sz w:val="20"/>
                <w:u w:val="single"/>
              </w:rPr>
              <w:t> </w:t>
            </w:r>
            <w:r>
              <w:rPr>
                <w:sz w:val="20"/>
                <w:u w:val="single"/>
              </w:rPr>
              <w:tab/>
            </w:r>
          </w:p>
          <w:p>
            <w:pPr>
              <w:pStyle w:val="TableParagraph"/>
              <w:spacing w:before="1"/>
              <w:ind w:left="0"/>
              <w:rPr>
                <w:sz w:val="20"/>
              </w:rPr>
            </w:pPr>
          </w:p>
          <w:p>
            <w:pPr>
              <w:pStyle w:val="TableParagraph"/>
              <w:tabs>
                <w:tab w:pos="2955" w:val="left" w:leader="none"/>
              </w:tabs>
              <w:rPr>
                <w:sz w:val="20"/>
              </w:rPr>
            </w:pPr>
            <w:r>
              <w:rPr>
                <w:sz w:val="20"/>
              </w:rPr>
              <w:t>Name:</w:t>
            </w:r>
            <w:r>
              <w:rPr>
                <w:sz w:val="20"/>
                <w:u w:val="single"/>
              </w:rPr>
              <w:t> </w:t>
              <w:tab/>
            </w:r>
            <w:r>
              <w:rPr>
                <w:sz w:val="20"/>
              </w:rPr>
              <w:t>Authorised</w:t>
            </w:r>
            <w:r>
              <w:rPr>
                <w:spacing w:val="-1"/>
                <w:sz w:val="20"/>
              </w:rPr>
              <w:t> </w:t>
            </w:r>
            <w:r>
              <w:rPr>
                <w:sz w:val="20"/>
              </w:rPr>
              <w:t>Signatory</w:t>
            </w:r>
          </w:p>
          <w:p>
            <w:pPr>
              <w:pStyle w:val="TableParagraph"/>
              <w:spacing w:before="3"/>
              <w:rPr>
                <w:sz w:val="18"/>
              </w:rPr>
            </w:pPr>
            <w:r>
              <w:rPr>
                <w:sz w:val="18"/>
              </w:rPr>
              <w:t>(Block Capitals)</w:t>
            </w:r>
          </w:p>
          <w:p>
            <w:pPr>
              <w:pStyle w:val="TableParagraph"/>
              <w:tabs>
                <w:tab w:pos="3007" w:val="left" w:leader="none"/>
                <w:tab w:pos="3106" w:val="left" w:leader="none"/>
              </w:tabs>
              <w:spacing w:line="460" w:lineRule="exact" w:before="46"/>
              <w:ind w:right="1420"/>
              <w:rPr>
                <w:sz w:val="20"/>
              </w:rPr>
            </w:pPr>
            <w:r>
              <w:rPr>
                <w:sz w:val="20"/>
              </w:rPr>
              <w:t>Title:</w:t>
            </w:r>
            <w:r>
              <w:rPr>
                <w:sz w:val="20"/>
                <w:u w:val="single"/>
              </w:rPr>
              <w:t> </w:t>
              <w:tab/>
              <w:tab/>
            </w:r>
            <w:r>
              <w:rPr>
                <w:spacing w:val="-7"/>
                <w:sz w:val="20"/>
              </w:rPr>
              <w:t>CEO </w:t>
            </w:r>
            <w:r>
              <w:rPr>
                <w:sz w:val="20"/>
              </w:rPr>
              <w:t>Date:</w:t>
            </w:r>
            <w:r>
              <w:rPr>
                <w:spacing w:val="-1"/>
                <w:sz w:val="20"/>
              </w:rPr>
              <w:t> </w:t>
            </w:r>
            <w:r>
              <w:rPr>
                <w:w w:val="99"/>
                <w:sz w:val="20"/>
                <w:u w:val="single"/>
              </w:rPr>
              <w:t> </w:t>
            </w:r>
            <w:r>
              <w:rPr>
                <w:sz w:val="20"/>
                <w:u w:val="single"/>
              </w:rPr>
              <w:tab/>
            </w:r>
          </w:p>
        </w:tc>
      </w:tr>
    </w:tbl>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spacing w:line="362" w:lineRule="auto" w:before="175"/>
        <w:ind w:left="1200" w:right="1440" w:firstLine="0"/>
        <w:jc w:val="both"/>
        <w:rPr>
          <w:rFonts w:ascii="Verdana"/>
          <w:b/>
          <w:i/>
          <w:sz w:val="12"/>
        </w:rPr>
      </w:pPr>
      <w:r>
        <w:rPr>
          <w:rFonts w:ascii="Verdana"/>
          <w:b/>
          <w:i/>
          <w:sz w:val="12"/>
        </w:rPr>
        <w:t>Documents are considered CONTROLLED in their electronic format or containing an original signature. Other printed </w:t>
      </w:r>
      <w:r>
        <w:rPr>
          <w:rFonts w:ascii="Verdana"/>
          <w:b/>
          <w:i/>
          <w:sz w:val="12"/>
        </w:rPr>
        <w:t>copies are considered UNCONTROLLED. Users must ensure that hard copies are the current version by comparing them to the version on the computer network at the time of</w:t>
      </w:r>
      <w:r>
        <w:rPr>
          <w:rFonts w:ascii="Verdana"/>
          <w:b/>
          <w:i/>
          <w:spacing w:val="-6"/>
          <w:sz w:val="12"/>
        </w:rPr>
        <w:t> </w:t>
      </w:r>
      <w:r>
        <w:rPr>
          <w:rFonts w:ascii="Verdana"/>
          <w:b/>
          <w:i/>
          <w:sz w:val="12"/>
        </w:rPr>
        <w:t>use.</w:t>
      </w:r>
    </w:p>
    <w:sectPr>
      <w:type w:val="continuous"/>
      <w:pgSz w:w="11910" w:h="16840"/>
      <w:pgMar w:top="940" w:bottom="280" w:left="60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Verdana">
    <w:altName w:val="Verdana"/>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560" w:hanging="360"/>
      </w:pPr>
      <w:rPr>
        <w:rFonts w:hint="default" w:ascii="Symbol" w:hAnsi="Symbol" w:eastAsia="Symbol" w:cs="Symbol"/>
        <w:color w:val="0000FF"/>
        <w:w w:val="99"/>
        <w:sz w:val="20"/>
        <w:szCs w:val="20"/>
        <w:lang w:val="en-ie" w:eastAsia="en-ie" w:bidi="en-ie"/>
      </w:rPr>
    </w:lvl>
    <w:lvl w:ilvl="1">
      <w:start w:val="0"/>
      <w:numFmt w:val="bullet"/>
      <w:lvlText w:val="•"/>
      <w:lvlJc w:val="left"/>
      <w:pPr>
        <w:ind w:left="2498" w:hanging="360"/>
      </w:pPr>
      <w:rPr>
        <w:rFonts w:hint="default"/>
        <w:lang w:val="en-ie" w:eastAsia="en-ie" w:bidi="en-ie"/>
      </w:rPr>
    </w:lvl>
    <w:lvl w:ilvl="2">
      <w:start w:val="0"/>
      <w:numFmt w:val="bullet"/>
      <w:lvlText w:val="•"/>
      <w:lvlJc w:val="left"/>
      <w:pPr>
        <w:ind w:left="3437" w:hanging="360"/>
      </w:pPr>
      <w:rPr>
        <w:rFonts w:hint="default"/>
        <w:lang w:val="en-ie" w:eastAsia="en-ie" w:bidi="en-ie"/>
      </w:rPr>
    </w:lvl>
    <w:lvl w:ilvl="3">
      <w:start w:val="0"/>
      <w:numFmt w:val="bullet"/>
      <w:lvlText w:val="•"/>
      <w:lvlJc w:val="left"/>
      <w:pPr>
        <w:ind w:left="4375" w:hanging="360"/>
      </w:pPr>
      <w:rPr>
        <w:rFonts w:hint="default"/>
        <w:lang w:val="en-ie" w:eastAsia="en-ie" w:bidi="en-ie"/>
      </w:rPr>
    </w:lvl>
    <w:lvl w:ilvl="4">
      <w:start w:val="0"/>
      <w:numFmt w:val="bullet"/>
      <w:lvlText w:val="•"/>
      <w:lvlJc w:val="left"/>
      <w:pPr>
        <w:ind w:left="5314" w:hanging="360"/>
      </w:pPr>
      <w:rPr>
        <w:rFonts w:hint="default"/>
        <w:lang w:val="en-ie" w:eastAsia="en-ie" w:bidi="en-ie"/>
      </w:rPr>
    </w:lvl>
    <w:lvl w:ilvl="5">
      <w:start w:val="0"/>
      <w:numFmt w:val="bullet"/>
      <w:lvlText w:val="•"/>
      <w:lvlJc w:val="left"/>
      <w:pPr>
        <w:ind w:left="6253" w:hanging="360"/>
      </w:pPr>
      <w:rPr>
        <w:rFonts w:hint="default"/>
        <w:lang w:val="en-ie" w:eastAsia="en-ie" w:bidi="en-ie"/>
      </w:rPr>
    </w:lvl>
    <w:lvl w:ilvl="6">
      <w:start w:val="0"/>
      <w:numFmt w:val="bullet"/>
      <w:lvlText w:val="•"/>
      <w:lvlJc w:val="left"/>
      <w:pPr>
        <w:ind w:left="7191" w:hanging="360"/>
      </w:pPr>
      <w:rPr>
        <w:rFonts w:hint="default"/>
        <w:lang w:val="en-ie" w:eastAsia="en-ie" w:bidi="en-ie"/>
      </w:rPr>
    </w:lvl>
    <w:lvl w:ilvl="7">
      <w:start w:val="0"/>
      <w:numFmt w:val="bullet"/>
      <w:lvlText w:val="•"/>
      <w:lvlJc w:val="left"/>
      <w:pPr>
        <w:ind w:left="8130" w:hanging="360"/>
      </w:pPr>
      <w:rPr>
        <w:rFonts w:hint="default"/>
        <w:lang w:val="en-ie" w:eastAsia="en-ie" w:bidi="en-ie"/>
      </w:rPr>
    </w:lvl>
    <w:lvl w:ilvl="8">
      <w:start w:val="0"/>
      <w:numFmt w:val="bullet"/>
      <w:lvlText w:val="•"/>
      <w:lvlJc w:val="left"/>
      <w:pPr>
        <w:ind w:left="9069" w:hanging="360"/>
      </w:pPr>
      <w:rPr>
        <w:rFonts w:hint="default"/>
        <w:lang w:val="en-ie" w:eastAsia="en-ie" w:bidi="en-ie"/>
      </w:rPr>
    </w:lvl>
  </w:abstractNum>
  <w:abstractNum w:abstractNumId="0">
    <w:multiLevelType w:val="hybridMultilevel"/>
    <w:lvl w:ilvl="0">
      <w:start w:val="1"/>
      <w:numFmt w:val="decimal"/>
      <w:lvlText w:val="%1."/>
      <w:lvlJc w:val="left"/>
      <w:pPr>
        <w:ind w:left="1920" w:hanging="720"/>
        <w:jc w:val="left"/>
      </w:pPr>
      <w:rPr>
        <w:rFonts w:hint="default" w:ascii="Times New Roman" w:hAnsi="Times New Roman" w:eastAsia="Times New Roman" w:cs="Times New Roman"/>
        <w:b/>
        <w:bCs/>
        <w:spacing w:val="-4"/>
        <w:w w:val="99"/>
        <w:sz w:val="24"/>
        <w:szCs w:val="24"/>
        <w:lang w:val="en-ie" w:eastAsia="en-ie" w:bidi="en-ie"/>
      </w:rPr>
    </w:lvl>
    <w:lvl w:ilvl="1">
      <w:start w:val="0"/>
      <w:numFmt w:val="bullet"/>
      <w:lvlText w:val="•"/>
      <w:lvlJc w:val="left"/>
      <w:pPr>
        <w:ind w:left="2822" w:hanging="720"/>
      </w:pPr>
      <w:rPr>
        <w:rFonts w:hint="default"/>
        <w:lang w:val="en-ie" w:eastAsia="en-ie" w:bidi="en-ie"/>
      </w:rPr>
    </w:lvl>
    <w:lvl w:ilvl="2">
      <w:start w:val="0"/>
      <w:numFmt w:val="bullet"/>
      <w:lvlText w:val="•"/>
      <w:lvlJc w:val="left"/>
      <w:pPr>
        <w:ind w:left="3725" w:hanging="720"/>
      </w:pPr>
      <w:rPr>
        <w:rFonts w:hint="default"/>
        <w:lang w:val="en-ie" w:eastAsia="en-ie" w:bidi="en-ie"/>
      </w:rPr>
    </w:lvl>
    <w:lvl w:ilvl="3">
      <w:start w:val="0"/>
      <w:numFmt w:val="bullet"/>
      <w:lvlText w:val="•"/>
      <w:lvlJc w:val="left"/>
      <w:pPr>
        <w:ind w:left="4627" w:hanging="720"/>
      </w:pPr>
      <w:rPr>
        <w:rFonts w:hint="default"/>
        <w:lang w:val="en-ie" w:eastAsia="en-ie" w:bidi="en-ie"/>
      </w:rPr>
    </w:lvl>
    <w:lvl w:ilvl="4">
      <w:start w:val="0"/>
      <w:numFmt w:val="bullet"/>
      <w:lvlText w:val="•"/>
      <w:lvlJc w:val="left"/>
      <w:pPr>
        <w:ind w:left="5530" w:hanging="720"/>
      </w:pPr>
      <w:rPr>
        <w:rFonts w:hint="default"/>
        <w:lang w:val="en-ie" w:eastAsia="en-ie" w:bidi="en-ie"/>
      </w:rPr>
    </w:lvl>
    <w:lvl w:ilvl="5">
      <w:start w:val="0"/>
      <w:numFmt w:val="bullet"/>
      <w:lvlText w:val="•"/>
      <w:lvlJc w:val="left"/>
      <w:pPr>
        <w:ind w:left="6433" w:hanging="720"/>
      </w:pPr>
      <w:rPr>
        <w:rFonts w:hint="default"/>
        <w:lang w:val="en-ie" w:eastAsia="en-ie" w:bidi="en-ie"/>
      </w:rPr>
    </w:lvl>
    <w:lvl w:ilvl="6">
      <w:start w:val="0"/>
      <w:numFmt w:val="bullet"/>
      <w:lvlText w:val="•"/>
      <w:lvlJc w:val="left"/>
      <w:pPr>
        <w:ind w:left="7335" w:hanging="720"/>
      </w:pPr>
      <w:rPr>
        <w:rFonts w:hint="default"/>
        <w:lang w:val="en-ie" w:eastAsia="en-ie" w:bidi="en-ie"/>
      </w:rPr>
    </w:lvl>
    <w:lvl w:ilvl="7">
      <w:start w:val="0"/>
      <w:numFmt w:val="bullet"/>
      <w:lvlText w:val="•"/>
      <w:lvlJc w:val="left"/>
      <w:pPr>
        <w:ind w:left="8238" w:hanging="720"/>
      </w:pPr>
      <w:rPr>
        <w:rFonts w:hint="default"/>
        <w:lang w:val="en-ie" w:eastAsia="en-ie" w:bidi="en-ie"/>
      </w:rPr>
    </w:lvl>
    <w:lvl w:ilvl="8">
      <w:start w:val="0"/>
      <w:numFmt w:val="bullet"/>
      <w:lvlText w:val="•"/>
      <w:lvlJc w:val="left"/>
      <w:pPr>
        <w:ind w:left="9141" w:hanging="720"/>
      </w:pPr>
      <w:rPr>
        <w:rFonts w:hint="default"/>
        <w:lang w:val="en-ie" w:eastAsia="en-ie" w:bidi="en-ie"/>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ie" w:eastAsia="en-ie" w:bidi="en-ie"/>
    </w:rPr>
  </w:style>
  <w:style w:styleId="BodyText" w:type="paragraph">
    <w:name w:val="Body Text"/>
    <w:basedOn w:val="Normal"/>
    <w:uiPriority w:val="1"/>
    <w:qFormat/>
    <w:pPr/>
    <w:rPr>
      <w:rFonts w:ascii="Times New Roman" w:hAnsi="Times New Roman" w:eastAsia="Times New Roman" w:cs="Times New Roman"/>
      <w:sz w:val="20"/>
      <w:szCs w:val="20"/>
      <w:lang w:val="en-ie" w:eastAsia="en-ie" w:bidi="en-ie"/>
    </w:rPr>
  </w:style>
  <w:style w:styleId="Heading1" w:type="paragraph">
    <w:name w:val="Heading 1"/>
    <w:basedOn w:val="Normal"/>
    <w:uiPriority w:val="1"/>
    <w:qFormat/>
    <w:pPr>
      <w:spacing w:before="119"/>
      <w:ind w:left="1908" w:hanging="720"/>
      <w:outlineLvl w:val="1"/>
    </w:pPr>
    <w:rPr>
      <w:rFonts w:ascii="Times New Roman" w:hAnsi="Times New Roman" w:eastAsia="Times New Roman" w:cs="Times New Roman"/>
      <w:b/>
      <w:bCs/>
      <w:sz w:val="24"/>
      <w:szCs w:val="24"/>
      <w:lang w:val="en-ie" w:eastAsia="en-ie" w:bidi="en-ie"/>
    </w:rPr>
  </w:style>
  <w:style w:styleId="ListParagraph" w:type="paragraph">
    <w:name w:val="List Paragraph"/>
    <w:basedOn w:val="Normal"/>
    <w:uiPriority w:val="1"/>
    <w:qFormat/>
    <w:pPr>
      <w:ind w:left="1560" w:hanging="720"/>
    </w:pPr>
    <w:rPr>
      <w:rFonts w:ascii="Times New Roman" w:hAnsi="Times New Roman" w:eastAsia="Times New Roman" w:cs="Times New Roman"/>
      <w:lang w:val="en-ie" w:eastAsia="en-ie" w:bidi="en-ie"/>
    </w:rPr>
  </w:style>
  <w:style w:styleId="TableParagraph" w:type="paragraph">
    <w:name w:val="Table Paragraph"/>
    <w:basedOn w:val="Normal"/>
    <w:uiPriority w:val="1"/>
    <w:qFormat/>
    <w:pPr>
      <w:ind w:left="828"/>
    </w:pPr>
    <w:rPr>
      <w:rFonts w:ascii="Times New Roman" w:hAnsi="Times New Roman" w:eastAsia="Times New Roman" w:cs="Times New Roman"/>
      <w:lang w:val="en-ie" w:eastAsia="en-ie" w:bidi="en-i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