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440" w:right="0" w:firstLine="0"/>
        <w:jc w:val="left"/>
        <w:rPr>
          <w:rFonts w:ascii="Times New Roman"/>
          <w:sz w:val="28"/>
        </w:rPr>
      </w:pPr>
      <w:r>
        <w:rPr>
          <w:rFonts w:ascii="Times New Roman"/>
          <w:sz w:val="28"/>
        </w:rPr>
        <w:t>TEXAS A&amp;M UNIVERSITY-KINGSVILLE</w:t>
      </w:r>
    </w:p>
    <w:p>
      <w:pPr>
        <w:spacing w:line="247" w:lineRule="auto" w:before="8"/>
        <w:ind w:left="440" w:right="5640" w:firstLine="0"/>
        <w:jc w:val="left"/>
        <w:rPr>
          <w:rFonts w:ascii="Times New Roman"/>
          <w:sz w:val="24"/>
        </w:rPr>
      </w:pPr>
      <w:r>
        <w:rPr>
          <w:rFonts w:ascii="Times New Roman"/>
          <w:sz w:val="24"/>
        </w:rPr>
        <w:t>Title: Contract </w:t>
      </w:r>
      <w:r>
        <w:rPr>
          <w:rFonts w:ascii="Times New Roman"/>
          <w:spacing w:val="-3"/>
          <w:sz w:val="24"/>
        </w:rPr>
        <w:t>Addendum </w:t>
      </w:r>
      <w:r>
        <w:rPr>
          <w:rFonts w:ascii="Times New Roman"/>
          <w:sz w:val="24"/>
        </w:rPr>
        <w:t>Procedure No.: PP-132 Date:</w:t>
      </w:r>
      <w:r>
        <w:rPr>
          <w:rFonts w:ascii="Times New Roman"/>
          <w:spacing w:val="59"/>
          <w:sz w:val="24"/>
        </w:rPr>
        <w:t> </w:t>
      </w:r>
      <w:r>
        <w:rPr>
          <w:rFonts w:ascii="Times New Roman"/>
          <w:sz w:val="24"/>
        </w:rPr>
        <w:t>4/29/05</w:t>
      </w:r>
    </w:p>
    <w:p>
      <w:pPr>
        <w:pStyle w:val="BodyText"/>
        <w:rPr>
          <w:rFonts w:ascii="Times New Roman"/>
          <w:sz w:val="26"/>
        </w:rPr>
      </w:pPr>
    </w:p>
    <w:p>
      <w:pPr>
        <w:pStyle w:val="ListParagraph"/>
        <w:numPr>
          <w:ilvl w:val="0"/>
          <w:numId w:val="1"/>
        </w:numPr>
        <w:tabs>
          <w:tab w:pos="650" w:val="left" w:leader="none"/>
        </w:tabs>
        <w:spacing w:line="240" w:lineRule="auto" w:before="168" w:after="0"/>
        <w:ind w:left="649" w:right="0" w:hanging="209"/>
        <w:jc w:val="left"/>
        <w:rPr>
          <w:rFonts w:ascii="Times New Roman"/>
          <w:sz w:val="20"/>
        </w:rPr>
      </w:pPr>
      <w:r>
        <w:rPr>
          <w:rFonts w:ascii="Times New Roman"/>
          <w:sz w:val="20"/>
          <w:u w:val="single"/>
        </w:rPr>
        <w:t>Purpose</w:t>
      </w:r>
    </w:p>
    <w:p>
      <w:pPr>
        <w:pStyle w:val="BodyText"/>
        <w:rPr>
          <w:rFonts w:ascii="Times New Roman"/>
          <w:sz w:val="13"/>
        </w:rPr>
      </w:pPr>
    </w:p>
    <w:p>
      <w:pPr>
        <w:pStyle w:val="BodyText"/>
        <w:spacing w:line="244" w:lineRule="auto" w:before="91"/>
        <w:ind w:left="440" w:right="748"/>
        <w:rPr>
          <w:rFonts w:ascii="Times New Roman"/>
        </w:rPr>
      </w:pPr>
      <w:r>
        <w:rPr>
          <w:rFonts w:ascii="Times New Roman"/>
        </w:rPr>
        <w:t>This procedure </w:t>
      </w:r>
      <w:r>
        <w:rPr>
          <w:rFonts w:ascii="Times New Roman"/>
          <w:spacing w:val="-3"/>
        </w:rPr>
        <w:t>provides </w:t>
      </w:r>
      <w:r>
        <w:rPr>
          <w:rFonts w:ascii="Times New Roman"/>
        </w:rPr>
        <w:t>a </w:t>
      </w:r>
      <w:r>
        <w:rPr>
          <w:rFonts w:ascii="Times New Roman"/>
          <w:spacing w:val="-3"/>
        </w:rPr>
        <w:t>sample </w:t>
      </w:r>
      <w:r>
        <w:rPr>
          <w:rFonts w:ascii="Times New Roman"/>
        </w:rPr>
        <w:t>of a </w:t>
      </w:r>
      <w:r>
        <w:rPr>
          <w:rFonts w:ascii="Times New Roman"/>
          <w:spacing w:val="-3"/>
        </w:rPr>
        <w:t>standard contract addendum that </w:t>
      </w:r>
      <w:r>
        <w:rPr>
          <w:rFonts w:ascii="Times New Roman"/>
        </w:rPr>
        <w:t>can be </w:t>
      </w:r>
      <w:r>
        <w:rPr>
          <w:rFonts w:ascii="Times New Roman"/>
          <w:spacing w:val="-3"/>
        </w:rPr>
        <w:t>attached </w:t>
      </w:r>
      <w:r>
        <w:rPr>
          <w:rFonts w:ascii="Times New Roman"/>
        </w:rPr>
        <w:t>to a </w:t>
      </w:r>
      <w:r>
        <w:rPr>
          <w:rFonts w:ascii="Times New Roman"/>
          <w:spacing w:val="-3"/>
        </w:rPr>
        <w:t>wide variety </w:t>
      </w:r>
      <w:r>
        <w:rPr>
          <w:rFonts w:ascii="Times New Roman"/>
        </w:rPr>
        <w:t>of </w:t>
      </w:r>
      <w:r>
        <w:rPr>
          <w:rFonts w:ascii="Times New Roman"/>
          <w:spacing w:val="-3"/>
        </w:rPr>
        <w:t>Vendor agreement forms.</w:t>
      </w:r>
    </w:p>
    <w:p>
      <w:pPr>
        <w:pStyle w:val="BodyText"/>
        <w:rPr>
          <w:rFonts w:ascii="Times New Roman"/>
          <w:sz w:val="22"/>
        </w:rPr>
      </w:pPr>
    </w:p>
    <w:p>
      <w:pPr>
        <w:pStyle w:val="BodyText"/>
        <w:rPr>
          <w:rFonts w:ascii="Times New Roman"/>
          <w:sz w:val="19"/>
        </w:rPr>
      </w:pPr>
    </w:p>
    <w:p>
      <w:pPr>
        <w:pStyle w:val="ListParagraph"/>
        <w:numPr>
          <w:ilvl w:val="0"/>
          <w:numId w:val="1"/>
        </w:numPr>
        <w:tabs>
          <w:tab w:pos="714" w:val="left" w:leader="none"/>
        </w:tabs>
        <w:spacing w:line="240" w:lineRule="auto" w:before="0" w:after="0"/>
        <w:ind w:left="714" w:right="0" w:hanging="274"/>
        <w:jc w:val="left"/>
        <w:rPr>
          <w:rFonts w:ascii="Times New Roman"/>
          <w:sz w:val="20"/>
        </w:rPr>
      </w:pPr>
      <w:r>
        <w:rPr>
          <w:rFonts w:ascii="Times New Roman"/>
          <w:sz w:val="20"/>
          <w:u w:val="single"/>
        </w:rPr>
        <w:t>Scope</w:t>
      </w:r>
    </w:p>
    <w:p>
      <w:pPr>
        <w:pStyle w:val="BodyText"/>
        <w:rPr>
          <w:rFonts w:ascii="Times New Roman"/>
          <w:sz w:val="13"/>
        </w:rPr>
      </w:pPr>
    </w:p>
    <w:p>
      <w:pPr>
        <w:pStyle w:val="BodyText"/>
        <w:spacing w:before="91"/>
        <w:ind w:left="440"/>
        <w:rPr>
          <w:rFonts w:ascii="Times New Roman"/>
        </w:rPr>
      </w:pPr>
      <w:r>
        <w:rPr>
          <w:rFonts w:ascii="Times New Roman"/>
        </w:rPr>
        <w:t>This procedure applies University wide.</w:t>
      </w:r>
    </w:p>
    <w:p>
      <w:pPr>
        <w:pStyle w:val="BodyText"/>
        <w:rPr>
          <w:rFonts w:ascii="Times New Roman"/>
          <w:sz w:val="22"/>
        </w:rPr>
      </w:pPr>
    </w:p>
    <w:p>
      <w:pPr>
        <w:pStyle w:val="BodyText"/>
        <w:spacing w:before="4"/>
        <w:rPr>
          <w:rFonts w:ascii="Times New Roman"/>
          <w:sz w:val="19"/>
        </w:rPr>
      </w:pPr>
    </w:p>
    <w:p>
      <w:pPr>
        <w:pStyle w:val="ListParagraph"/>
        <w:numPr>
          <w:ilvl w:val="0"/>
          <w:numId w:val="1"/>
        </w:numPr>
        <w:tabs>
          <w:tab w:pos="779" w:val="left" w:leader="none"/>
        </w:tabs>
        <w:spacing w:line="240" w:lineRule="auto" w:before="0" w:after="0"/>
        <w:ind w:left="778" w:right="0" w:hanging="338"/>
        <w:jc w:val="left"/>
        <w:rPr>
          <w:rFonts w:ascii="Times New Roman"/>
          <w:sz w:val="20"/>
        </w:rPr>
      </w:pPr>
      <w:r>
        <w:rPr>
          <w:rFonts w:ascii="Times New Roman"/>
          <w:spacing w:val="-3"/>
          <w:sz w:val="20"/>
          <w:u w:val="single"/>
        </w:rPr>
        <w:t>General</w:t>
      </w:r>
    </w:p>
    <w:p>
      <w:pPr>
        <w:pStyle w:val="BodyText"/>
        <w:rPr>
          <w:rFonts w:ascii="Times New Roman"/>
          <w:sz w:val="13"/>
        </w:rPr>
      </w:pPr>
    </w:p>
    <w:p>
      <w:pPr>
        <w:pStyle w:val="BodyText"/>
        <w:spacing w:line="244" w:lineRule="auto" w:before="91"/>
        <w:ind w:left="440" w:right="936"/>
        <w:rPr>
          <w:rFonts w:ascii="Times New Roman"/>
        </w:rPr>
      </w:pPr>
      <w:r>
        <w:rPr>
          <w:rFonts w:ascii="Times New Roman"/>
        </w:rPr>
        <w:t>The attached addendum has been reviewed by legal and can be used for many contracting applications. The formal documents may only be signed by those authorized in the Tables of Authorizations for Contracts.</w:t>
      </w:r>
    </w:p>
    <w:p>
      <w:pPr>
        <w:pStyle w:val="BodyText"/>
        <w:spacing w:before="7"/>
        <w:rPr>
          <w:rFonts w:ascii="Times New Roman"/>
        </w:rPr>
      </w:pPr>
    </w:p>
    <w:p>
      <w:pPr>
        <w:pStyle w:val="BodyText"/>
        <w:ind w:left="440"/>
        <w:rPr>
          <w:rFonts w:ascii="Times New Roman"/>
        </w:rPr>
      </w:pPr>
      <w:r>
        <w:rPr>
          <w:rFonts w:ascii="Times New Roman"/>
        </w:rPr>
        <w:t>To use this addendum, follow these steps.</w:t>
      </w:r>
    </w:p>
    <w:p>
      <w:pPr>
        <w:pStyle w:val="BodyText"/>
        <w:spacing w:before="11"/>
        <w:rPr>
          <w:rFonts w:ascii="Times New Roman"/>
        </w:rPr>
      </w:pPr>
    </w:p>
    <w:p>
      <w:pPr>
        <w:pStyle w:val="ListParagraph"/>
        <w:numPr>
          <w:ilvl w:val="0"/>
          <w:numId w:val="2"/>
        </w:numPr>
        <w:tabs>
          <w:tab w:pos="642" w:val="left" w:leader="none"/>
        </w:tabs>
        <w:spacing w:line="240" w:lineRule="auto" w:before="0" w:after="0"/>
        <w:ind w:left="641" w:right="0" w:hanging="201"/>
        <w:jc w:val="left"/>
        <w:rPr>
          <w:rFonts w:ascii="Times New Roman"/>
          <w:sz w:val="20"/>
        </w:rPr>
      </w:pPr>
      <w:r>
        <w:rPr>
          <w:rFonts w:ascii="Times New Roman"/>
          <w:sz w:val="20"/>
        </w:rPr>
        <w:t>Receive and review the vendor's contract</w:t>
      </w:r>
      <w:r>
        <w:rPr>
          <w:rFonts w:ascii="Times New Roman"/>
          <w:spacing w:val="-8"/>
          <w:sz w:val="20"/>
        </w:rPr>
        <w:t> </w:t>
      </w:r>
      <w:r>
        <w:rPr>
          <w:rFonts w:ascii="Times New Roman"/>
          <w:sz w:val="20"/>
        </w:rPr>
        <w:t>form</w:t>
      </w:r>
    </w:p>
    <w:p>
      <w:pPr>
        <w:pStyle w:val="ListParagraph"/>
        <w:numPr>
          <w:ilvl w:val="0"/>
          <w:numId w:val="2"/>
        </w:numPr>
        <w:tabs>
          <w:tab w:pos="642" w:val="left" w:leader="none"/>
        </w:tabs>
        <w:spacing w:line="240" w:lineRule="auto" w:before="5" w:after="0"/>
        <w:ind w:left="641" w:right="0" w:hanging="201"/>
        <w:jc w:val="left"/>
        <w:rPr>
          <w:rFonts w:ascii="Times New Roman"/>
          <w:sz w:val="20"/>
        </w:rPr>
      </w:pPr>
      <w:r>
        <w:rPr>
          <w:rFonts w:ascii="Times New Roman"/>
          <w:sz w:val="20"/>
        </w:rPr>
        <w:t>Create a P.O. to document the</w:t>
      </w:r>
      <w:r>
        <w:rPr>
          <w:rFonts w:ascii="Times New Roman"/>
          <w:spacing w:val="-2"/>
          <w:sz w:val="20"/>
        </w:rPr>
        <w:t> </w:t>
      </w:r>
      <w:r>
        <w:rPr>
          <w:rFonts w:ascii="Times New Roman"/>
          <w:sz w:val="20"/>
        </w:rPr>
        <w:t>agreement</w:t>
      </w:r>
    </w:p>
    <w:p>
      <w:pPr>
        <w:pStyle w:val="ListParagraph"/>
        <w:numPr>
          <w:ilvl w:val="0"/>
          <w:numId w:val="2"/>
        </w:numPr>
        <w:tabs>
          <w:tab w:pos="642" w:val="left" w:leader="none"/>
        </w:tabs>
        <w:spacing w:line="240" w:lineRule="auto" w:before="5" w:after="0"/>
        <w:ind w:left="641" w:right="0" w:hanging="201"/>
        <w:jc w:val="left"/>
        <w:rPr>
          <w:rFonts w:ascii="Times New Roman"/>
          <w:sz w:val="20"/>
        </w:rPr>
      </w:pPr>
      <w:r>
        <w:rPr>
          <w:rFonts w:ascii="Times New Roman"/>
          <w:sz w:val="20"/>
        </w:rPr>
        <w:t>Fill in the blanks on the</w:t>
      </w:r>
      <w:r>
        <w:rPr>
          <w:rFonts w:ascii="Times New Roman"/>
          <w:spacing w:val="-5"/>
          <w:sz w:val="20"/>
        </w:rPr>
        <w:t> </w:t>
      </w:r>
      <w:r>
        <w:rPr>
          <w:rFonts w:ascii="Times New Roman"/>
          <w:sz w:val="20"/>
        </w:rPr>
        <w:t>Addendum</w:t>
      </w:r>
    </w:p>
    <w:p>
      <w:pPr>
        <w:pStyle w:val="ListParagraph"/>
        <w:numPr>
          <w:ilvl w:val="0"/>
          <w:numId w:val="2"/>
        </w:numPr>
        <w:tabs>
          <w:tab w:pos="642" w:val="left" w:leader="none"/>
        </w:tabs>
        <w:spacing w:line="240" w:lineRule="auto" w:before="6" w:after="0"/>
        <w:ind w:left="641" w:right="0" w:hanging="201"/>
        <w:jc w:val="left"/>
        <w:rPr>
          <w:rFonts w:ascii="Times New Roman"/>
          <w:sz w:val="20"/>
        </w:rPr>
      </w:pPr>
      <w:r>
        <w:rPr>
          <w:rFonts w:ascii="Times New Roman"/>
          <w:sz w:val="20"/>
        </w:rPr>
        <w:t>Secure the Vendor's signature on the</w:t>
      </w:r>
      <w:r>
        <w:rPr>
          <w:rFonts w:ascii="Times New Roman"/>
          <w:spacing w:val="-4"/>
          <w:sz w:val="20"/>
        </w:rPr>
        <w:t> </w:t>
      </w:r>
      <w:r>
        <w:rPr>
          <w:rFonts w:ascii="Times New Roman"/>
          <w:sz w:val="20"/>
        </w:rPr>
        <w:t>Addendum</w:t>
      </w:r>
    </w:p>
    <w:p>
      <w:pPr>
        <w:pStyle w:val="ListParagraph"/>
        <w:numPr>
          <w:ilvl w:val="0"/>
          <w:numId w:val="2"/>
        </w:numPr>
        <w:tabs>
          <w:tab w:pos="642" w:val="left" w:leader="none"/>
        </w:tabs>
        <w:spacing w:line="240" w:lineRule="auto" w:before="5" w:after="0"/>
        <w:ind w:left="641" w:right="0" w:hanging="201"/>
        <w:jc w:val="left"/>
        <w:rPr>
          <w:rFonts w:ascii="Times New Roman"/>
          <w:sz w:val="20"/>
        </w:rPr>
      </w:pPr>
      <w:r>
        <w:rPr>
          <w:rFonts w:ascii="Times New Roman"/>
          <w:sz w:val="20"/>
        </w:rPr>
        <w:t>Sign the vendor's contract form </w:t>
      </w:r>
      <w:r>
        <w:rPr>
          <w:rFonts w:ascii="Times New Roman"/>
          <w:spacing w:val="-3"/>
          <w:sz w:val="20"/>
        </w:rPr>
        <w:t>w/ </w:t>
      </w:r>
      <w:r>
        <w:rPr>
          <w:rFonts w:ascii="Times New Roman"/>
          <w:sz w:val="20"/>
        </w:rPr>
        <w:t>the annotation, "as per</w:t>
      </w:r>
      <w:r>
        <w:rPr>
          <w:rFonts w:ascii="Times New Roman"/>
          <w:spacing w:val="-11"/>
          <w:sz w:val="20"/>
        </w:rPr>
        <w:t> </w:t>
      </w:r>
      <w:r>
        <w:rPr>
          <w:rFonts w:ascii="Times New Roman"/>
          <w:sz w:val="20"/>
        </w:rPr>
        <w:t>addendum"</w:t>
      </w:r>
    </w:p>
    <w:p>
      <w:pPr>
        <w:pStyle w:val="ListParagraph"/>
        <w:numPr>
          <w:ilvl w:val="0"/>
          <w:numId w:val="2"/>
        </w:numPr>
        <w:tabs>
          <w:tab w:pos="642" w:val="left" w:leader="none"/>
        </w:tabs>
        <w:spacing w:line="240" w:lineRule="auto" w:before="5" w:after="0"/>
        <w:ind w:left="641" w:right="0" w:hanging="201"/>
        <w:jc w:val="left"/>
        <w:rPr>
          <w:rFonts w:ascii="Times New Roman"/>
          <w:sz w:val="20"/>
        </w:rPr>
      </w:pPr>
      <w:r>
        <w:rPr>
          <w:rFonts w:ascii="Times New Roman"/>
          <w:sz w:val="20"/>
        </w:rPr>
        <w:t>Copy to vendor and file originals of both</w:t>
      </w:r>
      <w:r>
        <w:rPr>
          <w:rFonts w:ascii="Times New Roman"/>
          <w:spacing w:val="-10"/>
          <w:sz w:val="20"/>
        </w:rPr>
        <w:t> </w:t>
      </w:r>
      <w:r>
        <w:rPr>
          <w:rFonts w:ascii="Times New Roman"/>
          <w:sz w:val="20"/>
        </w:rPr>
        <w:t>documents.</w:t>
      </w:r>
    </w:p>
    <w:p>
      <w:pPr>
        <w:spacing w:after="0" w:line="240" w:lineRule="auto"/>
        <w:jc w:val="left"/>
        <w:rPr>
          <w:rFonts w:ascii="Times New Roman"/>
          <w:sz w:val="20"/>
        </w:rPr>
        <w:sectPr>
          <w:type w:val="continuous"/>
          <w:pgSz w:w="12240" w:h="15840"/>
          <w:pgMar w:top="1380" w:bottom="280" w:left="1720" w:right="1720"/>
        </w:sectPr>
      </w:pPr>
    </w:p>
    <w:p>
      <w:pPr>
        <w:pStyle w:val="BodyText"/>
        <w:spacing w:before="8"/>
        <w:rPr>
          <w:rFonts w:ascii="Times New Roman"/>
          <w:sz w:val="18"/>
        </w:rPr>
      </w:pPr>
    </w:p>
    <w:p>
      <w:pPr>
        <w:pStyle w:val="BodyText"/>
        <w:ind w:left="3365"/>
        <w:rPr>
          <w:rFonts w:ascii="Times New Roman"/>
        </w:rPr>
      </w:pPr>
      <w:r>
        <w:rPr>
          <w:rFonts w:ascii="Times New Roman"/>
        </w:rPr>
        <w:drawing>
          <wp:inline distT="0" distB="0" distL="0" distR="0">
            <wp:extent cx="1290172" cy="502348"/>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90172" cy="502348"/>
                    </a:xfrm>
                    <a:prstGeom prst="rect">
                      <a:avLst/>
                    </a:prstGeom>
                  </pic:spPr>
                </pic:pic>
              </a:graphicData>
            </a:graphic>
          </wp:inline>
        </w:drawing>
      </w:r>
      <w:r>
        <w:rPr>
          <w:rFonts w:ascii="Times New Roman"/>
        </w:rPr>
      </w:r>
    </w:p>
    <w:p>
      <w:pPr>
        <w:pStyle w:val="BodyText"/>
        <w:rPr>
          <w:rFonts w:ascii="Times New Roman"/>
        </w:rPr>
      </w:pPr>
    </w:p>
    <w:p>
      <w:pPr>
        <w:pStyle w:val="BodyText"/>
        <w:spacing w:before="11"/>
        <w:rPr>
          <w:rFonts w:ascii="Times New Roman"/>
          <w:sz w:val="19"/>
        </w:rPr>
      </w:pPr>
    </w:p>
    <w:p>
      <w:pPr>
        <w:pStyle w:val="Heading1"/>
        <w:ind w:left="2560"/>
      </w:pPr>
      <w:r>
        <w:rPr/>
        <w:t>TEXAS A&amp;M UNIVERSITY-KINGSVILLE</w:t>
      </w:r>
    </w:p>
    <w:p>
      <w:pPr>
        <w:spacing w:before="8"/>
        <w:ind w:left="1282" w:right="0" w:firstLine="0"/>
        <w:jc w:val="left"/>
        <w:rPr>
          <w:b/>
          <w:sz w:val="20"/>
        </w:rPr>
      </w:pPr>
      <w:r>
        <w:rPr>
          <w:b/>
          <w:sz w:val="20"/>
        </w:rPr>
        <w:t>CONTRACT ADDENDUM FORM TO VENDOR’S CONTRACT FORM</w:t>
      </w:r>
    </w:p>
    <w:p>
      <w:pPr>
        <w:pStyle w:val="BodyText"/>
        <w:rPr>
          <w:b/>
          <w:sz w:val="22"/>
        </w:rPr>
      </w:pPr>
    </w:p>
    <w:p>
      <w:pPr>
        <w:pStyle w:val="BodyText"/>
        <w:spacing w:before="7"/>
        <w:rPr>
          <w:b/>
          <w:sz w:val="17"/>
        </w:rPr>
      </w:pPr>
    </w:p>
    <w:p>
      <w:pPr>
        <w:pStyle w:val="BodyText"/>
        <w:tabs>
          <w:tab w:pos="7149" w:val="left" w:leader="none"/>
          <w:tab w:pos="7248" w:val="left" w:leader="none"/>
          <w:tab w:pos="7356" w:val="left" w:leader="none"/>
        </w:tabs>
        <w:ind w:left="728" w:right="1426"/>
      </w:pPr>
      <w:r>
        <w:rPr/>
        <w:t>Vendor</w:t>
      </w:r>
      <w:r>
        <w:rPr>
          <w:spacing w:val="-2"/>
        </w:rPr>
        <w:t> </w:t>
      </w:r>
      <w:r>
        <w:rPr/>
        <w:t>Name:</w:t>
      </w:r>
      <w:r>
        <w:rPr>
          <w:u w:val="single"/>
        </w:rPr>
        <w:t> </w:t>
        <w:tab/>
      </w:r>
      <w:r>
        <w:rPr/>
        <w:t>_ Address:</w:t>
      </w:r>
      <w:r>
        <w:rPr>
          <w:u w:val="single"/>
        </w:rPr>
        <w:tab/>
        <w:tab/>
      </w:r>
      <w:r>
        <w:rPr/>
        <w:t> Phone/Fax/Email:</w:t>
      </w:r>
      <w:r>
        <w:rPr>
          <w:u w:val="single"/>
        </w:rPr>
        <w:tab/>
        <w:tab/>
        <w:tab/>
      </w:r>
      <w:r>
        <w:rPr/>
        <w:t> Purchase</w:t>
      </w:r>
      <w:r>
        <w:rPr>
          <w:spacing w:val="-5"/>
        </w:rPr>
        <w:t> </w:t>
      </w:r>
      <w:r>
        <w:rPr/>
        <w:t>Order</w:t>
      </w:r>
      <w:r>
        <w:rPr>
          <w:spacing w:val="-3"/>
        </w:rPr>
        <w:t> </w:t>
      </w:r>
      <w:r>
        <w:rPr/>
        <w:t>Number:</w:t>
      </w:r>
      <w:r>
        <w:rPr>
          <w:spacing w:val="-1"/>
        </w:rPr>
        <w:t> </w:t>
      </w:r>
      <w:r>
        <w:rPr>
          <w:w w:val="99"/>
          <w:u w:val="single"/>
        </w:rPr>
        <w:t> </w:t>
      </w:r>
      <w:r>
        <w:rPr>
          <w:u w:val="single"/>
        </w:rPr>
        <w:tab/>
        <w:tab/>
        <w:tab/>
      </w:r>
      <w:r>
        <w:rPr>
          <w:w w:val="21"/>
          <w:u w:val="single"/>
        </w:rPr>
        <w:t> </w:t>
      </w:r>
      <w:r>
        <w:rPr/>
        <w:t> Vendor Reference</w:t>
      </w:r>
      <w:r>
        <w:rPr>
          <w:spacing w:val="-11"/>
        </w:rPr>
        <w:t> </w:t>
      </w:r>
      <w:r>
        <w:rPr/>
        <w:t>Number:</w:t>
      </w:r>
      <w:r>
        <w:rPr>
          <w:spacing w:val="-1"/>
        </w:rPr>
        <w:t> </w:t>
      </w:r>
      <w:r>
        <w:rPr>
          <w:w w:val="99"/>
          <w:u w:val="single"/>
        </w:rPr>
        <w:t> </w:t>
      </w:r>
      <w:r>
        <w:rPr>
          <w:u w:val="single"/>
        </w:rPr>
        <w:tab/>
        <w:tab/>
        <w:tab/>
      </w:r>
    </w:p>
    <w:p>
      <w:pPr>
        <w:pStyle w:val="BodyText"/>
        <w:spacing w:before="7"/>
        <w:rPr>
          <w:sz w:val="11"/>
        </w:rPr>
      </w:pPr>
    </w:p>
    <w:p>
      <w:pPr>
        <w:pStyle w:val="BodyText"/>
        <w:spacing w:before="93"/>
        <w:ind w:left="728" w:right="1397" w:firstLine="276"/>
        <w:jc w:val="both"/>
      </w:pPr>
      <w:r>
        <w:rPr/>
        <w:t>Texas A&amp;M University-Kingsville </w:t>
      </w:r>
      <w:r>
        <w:rPr>
          <w:b/>
        </w:rPr>
        <w:t>[TAMUK]</w:t>
      </w:r>
      <w:r>
        <w:rPr/>
        <w:t>, a component of Texas A&amp;M University</w:t>
      </w:r>
      <w:r>
        <w:rPr>
          <w:spacing w:val="-10"/>
        </w:rPr>
        <w:t> </w:t>
      </w:r>
      <w:r>
        <w:rPr/>
        <w:t>System,</w:t>
      </w:r>
      <w:r>
        <w:rPr>
          <w:spacing w:val="-5"/>
        </w:rPr>
        <w:t> </w:t>
      </w:r>
      <w:r>
        <w:rPr/>
        <w:t>an</w:t>
      </w:r>
      <w:r>
        <w:rPr>
          <w:spacing w:val="-4"/>
        </w:rPr>
        <w:t> </w:t>
      </w:r>
      <w:r>
        <w:rPr/>
        <w:t>agency</w:t>
      </w:r>
      <w:r>
        <w:rPr>
          <w:spacing w:val="-10"/>
        </w:rPr>
        <w:t> </w:t>
      </w:r>
      <w:r>
        <w:rPr/>
        <w:t>of</w:t>
      </w:r>
      <w:r>
        <w:rPr>
          <w:spacing w:val="-3"/>
        </w:rPr>
        <w:t> </w:t>
      </w:r>
      <w:r>
        <w:rPr/>
        <w:t>the</w:t>
      </w:r>
      <w:r>
        <w:rPr>
          <w:spacing w:val="-4"/>
        </w:rPr>
        <w:t> </w:t>
      </w:r>
      <w:r>
        <w:rPr/>
        <w:t>State</w:t>
      </w:r>
      <w:r>
        <w:rPr>
          <w:spacing w:val="-4"/>
        </w:rPr>
        <w:t> </w:t>
      </w:r>
      <w:r>
        <w:rPr/>
        <w:t>of</w:t>
      </w:r>
      <w:r>
        <w:rPr>
          <w:spacing w:val="-3"/>
        </w:rPr>
        <w:t> </w:t>
      </w:r>
      <w:r>
        <w:rPr/>
        <w:t>Texas,</w:t>
      </w:r>
      <w:r>
        <w:rPr>
          <w:spacing w:val="-4"/>
        </w:rPr>
        <w:t> </w:t>
      </w:r>
      <w:r>
        <w:rPr/>
        <w:t>with</w:t>
      </w:r>
      <w:r>
        <w:rPr>
          <w:spacing w:val="-5"/>
        </w:rPr>
        <w:t> </w:t>
      </w:r>
      <w:r>
        <w:rPr/>
        <w:t>its</w:t>
      </w:r>
      <w:r>
        <w:rPr>
          <w:spacing w:val="-3"/>
        </w:rPr>
        <w:t> </w:t>
      </w:r>
      <w:r>
        <w:rPr/>
        <w:t>principal</w:t>
      </w:r>
      <w:r>
        <w:rPr>
          <w:spacing w:val="-5"/>
        </w:rPr>
        <w:t> </w:t>
      </w:r>
      <w:r>
        <w:rPr/>
        <w:t>offices located</w:t>
      </w:r>
      <w:r>
        <w:rPr>
          <w:spacing w:val="-5"/>
        </w:rPr>
        <w:t> </w:t>
      </w:r>
      <w:r>
        <w:rPr/>
        <w:t>at</w:t>
      </w:r>
      <w:r>
        <w:rPr>
          <w:spacing w:val="-5"/>
        </w:rPr>
        <w:t> </w:t>
      </w:r>
      <w:r>
        <w:rPr/>
        <w:t>955</w:t>
      </w:r>
      <w:r>
        <w:rPr>
          <w:spacing w:val="-4"/>
        </w:rPr>
        <w:t> </w:t>
      </w:r>
      <w:r>
        <w:rPr/>
        <w:t>University</w:t>
      </w:r>
      <w:r>
        <w:rPr>
          <w:spacing w:val="-10"/>
        </w:rPr>
        <w:t> </w:t>
      </w:r>
      <w:r>
        <w:rPr/>
        <w:t>Blvd,</w:t>
      </w:r>
      <w:r>
        <w:rPr>
          <w:spacing w:val="-5"/>
        </w:rPr>
        <w:t> </w:t>
      </w:r>
      <w:r>
        <w:rPr/>
        <w:t>Kingsville,</w:t>
      </w:r>
      <w:r>
        <w:rPr>
          <w:spacing w:val="-5"/>
        </w:rPr>
        <w:t> </w:t>
      </w:r>
      <w:r>
        <w:rPr/>
        <w:t>TX</w:t>
      </w:r>
      <w:r>
        <w:rPr>
          <w:spacing w:val="-2"/>
        </w:rPr>
        <w:t> </w:t>
      </w:r>
      <w:r>
        <w:rPr/>
        <w:t>and</w:t>
      </w:r>
      <w:r>
        <w:rPr>
          <w:spacing w:val="-5"/>
        </w:rPr>
        <w:t> </w:t>
      </w:r>
      <w:r>
        <w:rPr/>
        <w:t>the</w:t>
      </w:r>
      <w:r>
        <w:rPr>
          <w:spacing w:val="-5"/>
        </w:rPr>
        <w:t> </w:t>
      </w:r>
      <w:r>
        <w:rPr/>
        <w:t>Vendor</w:t>
      </w:r>
      <w:r>
        <w:rPr>
          <w:spacing w:val="-3"/>
        </w:rPr>
        <w:t> </w:t>
      </w:r>
      <w:r>
        <w:rPr/>
        <w:t>are</w:t>
      </w:r>
      <w:r>
        <w:rPr>
          <w:spacing w:val="-5"/>
        </w:rPr>
        <w:t> </w:t>
      </w:r>
      <w:r>
        <w:rPr/>
        <w:t>this</w:t>
      </w:r>
      <w:r>
        <w:rPr>
          <w:spacing w:val="-4"/>
        </w:rPr>
        <w:t> </w:t>
      </w:r>
      <w:r>
        <w:rPr/>
        <w:t>day</w:t>
      </w:r>
      <w:r>
        <w:rPr>
          <w:spacing w:val="-10"/>
        </w:rPr>
        <w:t> </w:t>
      </w:r>
      <w:r>
        <w:rPr/>
        <w:t>of</w:t>
      </w:r>
    </w:p>
    <w:p>
      <w:pPr>
        <w:pStyle w:val="BodyText"/>
        <w:tabs>
          <w:tab w:pos="2494" w:val="left" w:leader="none"/>
        </w:tabs>
        <w:spacing w:line="237" w:lineRule="auto"/>
        <w:ind w:left="728" w:right="1249"/>
      </w:pPr>
      <w:r>
        <w:rPr>
          <w:w w:val="99"/>
          <w:u w:val="single"/>
        </w:rPr>
        <w:t> </w:t>
      </w:r>
      <w:r>
        <w:rPr>
          <w:u w:val="single"/>
        </w:rPr>
        <w:tab/>
      </w:r>
      <w:r>
        <w:rPr/>
        <w:t>entering into a contract/agreement and, for their mutual convenience,</w:t>
      </w:r>
      <w:r>
        <w:rPr>
          <w:spacing w:val="-5"/>
        </w:rPr>
        <w:t> </w:t>
      </w:r>
      <w:r>
        <w:rPr/>
        <w:t>the</w:t>
      </w:r>
      <w:r>
        <w:rPr>
          <w:spacing w:val="-5"/>
        </w:rPr>
        <w:t> </w:t>
      </w:r>
      <w:r>
        <w:rPr/>
        <w:t>parties</w:t>
      </w:r>
      <w:r>
        <w:rPr>
          <w:spacing w:val="-4"/>
        </w:rPr>
        <w:t> </w:t>
      </w:r>
      <w:r>
        <w:rPr/>
        <w:t>are</w:t>
      </w:r>
      <w:r>
        <w:rPr>
          <w:spacing w:val="-5"/>
        </w:rPr>
        <w:t> </w:t>
      </w:r>
      <w:r>
        <w:rPr/>
        <w:t>using</w:t>
      </w:r>
      <w:r>
        <w:rPr>
          <w:spacing w:val="-5"/>
        </w:rPr>
        <w:t> </w:t>
      </w:r>
      <w:r>
        <w:rPr/>
        <w:t>the</w:t>
      </w:r>
      <w:r>
        <w:rPr>
          <w:spacing w:val="-4"/>
        </w:rPr>
        <w:t> </w:t>
      </w:r>
      <w:r>
        <w:rPr/>
        <w:t>standard</w:t>
      </w:r>
      <w:r>
        <w:rPr>
          <w:spacing w:val="-5"/>
        </w:rPr>
        <w:t> </w:t>
      </w:r>
      <w:r>
        <w:rPr/>
        <w:t>contract</w:t>
      </w:r>
      <w:r>
        <w:rPr>
          <w:spacing w:val="-5"/>
        </w:rPr>
        <w:t> </w:t>
      </w:r>
      <w:r>
        <w:rPr/>
        <w:t>form provided</w:t>
      </w:r>
      <w:r>
        <w:rPr>
          <w:spacing w:val="-5"/>
        </w:rPr>
        <w:t> </w:t>
      </w:r>
      <w:r>
        <w:rPr/>
        <w:t>by</w:t>
      </w:r>
      <w:r>
        <w:rPr>
          <w:spacing w:val="-10"/>
        </w:rPr>
        <w:t> </w:t>
      </w:r>
      <w:r>
        <w:rPr/>
        <w:t>the vendor (reference to hereafter ad the “Vendor’s Contract</w:t>
      </w:r>
      <w:r>
        <w:rPr>
          <w:spacing w:val="-19"/>
        </w:rPr>
        <w:t> </w:t>
      </w:r>
      <w:r>
        <w:rPr/>
        <w:t>Form”).</w:t>
      </w:r>
    </w:p>
    <w:p>
      <w:pPr>
        <w:pStyle w:val="BodyText"/>
        <w:spacing w:before="7"/>
        <w:rPr>
          <w:sz w:val="19"/>
        </w:rPr>
      </w:pPr>
    </w:p>
    <w:p>
      <w:pPr>
        <w:pStyle w:val="BodyText"/>
        <w:ind w:left="728" w:right="816" w:firstLine="276"/>
      </w:pPr>
      <w:r>
        <w:rPr/>
        <w:t>This addendum, duly executed by the parties, is incorporated into the Vendor’s Contract Form and made an integral part thereof.</w:t>
      </w:r>
    </w:p>
    <w:p>
      <w:pPr>
        <w:pStyle w:val="BodyText"/>
        <w:spacing w:before="5"/>
        <w:rPr>
          <w:sz w:val="19"/>
        </w:rPr>
      </w:pPr>
    </w:p>
    <w:p>
      <w:pPr>
        <w:tabs>
          <w:tab w:pos="5830" w:val="left" w:leader="none"/>
        </w:tabs>
        <w:spacing w:line="242" w:lineRule="auto" w:before="0"/>
        <w:ind w:left="728" w:right="851" w:firstLine="276"/>
        <w:jc w:val="left"/>
        <w:rPr>
          <w:b/>
          <w:sz w:val="20"/>
        </w:rPr>
      </w:pPr>
      <w:r>
        <w:rPr>
          <w:sz w:val="20"/>
        </w:rPr>
        <w:t>The Vendor’s Contract</w:t>
      </w:r>
      <w:r>
        <w:rPr>
          <w:spacing w:val="-14"/>
          <w:sz w:val="20"/>
        </w:rPr>
        <w:t> </w:t>
      </w:r>
      <w:r>
        <w:rPr>
          <w:sz w:val="20"/>
        </w:rPr>
        <w:t>Form dated</w:t>
      </w:r>
      <w:r>
        <w:rPr>
          <w:sz w:val="20"/>
          <w:u w:val="single"/>
        </w:rPr>
        <w:t> </w:t>
        <w:tab/>
      </w:r>
      <w:r>
        <w:rPr>
          <w:sz w:val="20"/>
        </w:rPr>
        <w:t>is, with the exceptions noted herein, acceptable to TAMUK. Nonetheless, some types of clauses are not allowable for TAMUK components because of the constitutional restrictions. They should be deleted or amended to comply. The following must be inserted before the wording: </w:t>
      </w:r>
      <w:r>
        <w:rPr>
          <w:b/>
          <w:sz w:val="20"/>
        </w:rPr>
        <w:t>“To the extent permitted by the laws and constitution of the State of</w:t>
      </w:r>
      <w:r>
        <w:rPr>
          <w:b/>
          <w:spacing w:val="-2"/>
          <w:sz w:val="20"/>
        </w:rPr>
        <w:t> </w:t>
      </w:r>
      <w:r>
        <w:rPr>
          <w:b/>
          <w:sz w:val="20"/>
        </w:rPr>
        <w:t>Texas”.</w:t>
      </w:r>
    </w:p>
    <w:p>
      <w:pPr>
        <w:pStyle w:val="BodyText"/>
        <w:spacing w:line="237" w:lineRule="auto"/>
        <w:ind w:left="728" w:right="709"/>
      </w:pPr>
      <w:r>
        <w:rPr/>
        <w:t>This is done in consideration for the convenience of using provisions in the Vendor’s Contract Form instead of negotiating a separate contract document, the parties</w:t>
      </w:r>
      <w:r>
        <w:rPr>
          <w:spacing w:val="-4"/>
        </w:rPr>
        <w:t> </w:t>
      </w:r>
      <w:r>
        <w:rPr/>
        <w:t>agree,</w:t>
      </w:r>
      <w:r>
        <w:rPr>
          <w:spacing w:val="-5"/>
        </w:rPr>
        <w:t> </w:t>
      </w:r>
      <w:r>
        <w:rPr/>
        <w:t>notwithstanding</w:t>
      </w:r>
      <w:r>
        <w:rPr>
          <w:spacing w:val="-5"/>
        </w:rPr>
        <w:t> </w:t>
      </w:r>
      <w:r>
        <w:rPr/>
        <w:t>any</w:t>
      </w:r>
      <w:r>
        <w:rPr>
          <w:spacing w:val="-11"/>
        </w:rPr>
        <w:t> </w:t>
      </w:r>
      <w:r>
        <w:rPr/>
        <w:t>provisions</w:t>
      </w:r>
      <w:r>
        <w:rPr>
          <w:spacing w:val="-4"/>
        </w:rPr>
        <w:t> </w:t>
      </w:r>
      <w:r>
        <w:rPr/>
        <w:t>in</w:t>
      </w:r>
      <w:r>
        <w:rPr>
          <w:spacing w:val="-4"/>
        </w:rPr>
        <w:t> </w:t>
      </w:r>
      <w:r>
        <w:rPr/>
        <w:t>the</w:t>
      </w:r>
      <w:r>
        <w:rPr>
          <w:spacing w:val="-5"/>
        </w:rPr>
        <w:t> </w:t>
      </w:r>
      <w:r>
        <w:rPr/>
        <w:t>form shall</w:t>
      </w:r>
      <w:r>
        <w:rPr>
          <w:spacing w:val="-6"/>
        </w:rPr>
        <w:t> </w:t>
      </w:r>
      <w:r>
        <w:rPr/>
        <w:t>have</w:t>
      </w:r>
      <w:r>
        <w:rPr>
          <w:spacing w:val="-5"/>
        </w:rPr>
        <w:t> </w:t>
      </w:r>
      <w:r>
        <w:rPr/>
        <w:t>any</w:t>
      </w:r>
      <w:r>
        <w:rPr>
          <w:spacing w:val="-11"/>
        </w:rPr>
        <w:t> </w:t>
      </w:r>
      <w:r>
        <w:rPr/>
        <w:t>effect</w:t>
      </w:r>
      <w:r>
        <w:rPr>
          <w:spacing w:val="-4"/>
        </w:rPr>
        <w:t> </w:t>
      </w:r>
      <w:r>
        <w:rPr/>
        <w:t>or</w:t>
      </w:r>
      <w:r>
        <w:rPr>
          <w:spacing w:val="-4"/>
        </w:rPr>
        <w:t> </w:t>
      </w:r>
      <w:r>
        <w:rPr/>
        <w:t>be enforceable against TAMUK. (As used herein, the term “Agreement” means the Vendor’s</w:t>
      </w:r>
      <w:r>
        <w:rPr>
          <w:spacing w:val="-6"/>
        </w:rPr>
        <w:t> </w:t>
      </w:r>
      <w:r>
        <w:rPr/>
        <w:t>Contract</w:t>
      </w:r>
      <w:r>
        <w:rPr>
          <w:spacing w:val="-6"/>
        </w:rPr>
        <w:t> </w:t>
      </w:r>
      <w:r>
        <w:rPr/>
        <w:t>Form,</w:t>
      </w:r>
      <w:r>
        <w:rPr>
          <w:spacing w:val="-6"/>
        </w:rPr>
        <w:t> </w:t>
      </w:r>
      <w:r>
        <w:rPr/>
        <w:t>this</w:t>
      </w:r>
      <w:r>
        <w:rPr>
          <w:spacing w:val="-5"/>
        </w:rPr>
        <w:t> </w:t>
      </w:r>
      <w:r>
        <w:rPr/>
        <w:t>Addendum,</w:t>
      </w:r>
      <w:r>
        <w:rPr>
          <w:spacing w:val="-6"/>
        </w:rPr>
        <w:t> </w:t>
      </w:r>
      <w:r>
        <w:rPr/>
        <w:t>and</w:t>
      </w:r>
      <w:r>
        <w:rPr>
          <w:spacing w:val="-7"/>
        </w:rPr>
        <w:t> </w:t>
      </w:r>
      <w:r>
        <w:rPr/>
        <w:t>the</w:t>
      </w:r>
      <w:r>
        <w:rPr>
          <w:spacing w:val="-6"/>
        </w:rPr>
        <w:t> </w:t>
      </w:r>
      <w:r>
        <w:rPr/>
        <w:t>purchase</w:t>
      </w:r>
      <w:r>
        <w:rPr>
          <w:spacing w:val="-7"/>
        </w:rPr>
        <w:t> </w:t>
      </w:r>
      <w:r>
        <w:rPr/>
        <w:t>order,</w:t>
      </w:r>
      <w:r>
        <w:rPr>
          <w:spacing w:val="-6"/>
        </w:rPr>
        <w:t> </w:t>
      </w:r>
      <w:r>
        <w:rPr/>
        <w:t>together</w:t>
      </w:r>
      <w:r>
        <w:rPr>
          <w:spacing w:val="-5"/>
        </w:rPr>
        <w:t> </w:t>
      </w:r>
      <w:r>
        <w:rPr/>
        <w:t>with</w:t>
      </w:r>
      <w:r>
        <w:rPr>
          <w:spacing w:val="-6"/>
        </w:rPr>
        <w:t> </w:t>
      </w:r>
      <w:r>
        <w:rPr/>
        <w:t>any other addenda or exhibits constituting part of the written contract between the parties).</w:t>
      </w:r>
    </w:p>
    <w:p>
      <w:pPr>
        <w:spacing w:after="0" w:line="237" w:lineRule="auto"/>
        <w:sectPr>
          <w:pgSz w:w="12240" w:h="15840"/>
          <w:pgMar w:top="1500" w:bottom="280" w:left="1720" w:right="1720"/>
        </w:sectPr>
      </w:pPr>
    </w:p>
    <w:p>
      <w:pPr>
        <w:pStyle w:val="BodyText"/>
        <w:spacing w:before="77"/>
        <w:ind w:left="440" w:right="1102"/>
      </w:pPr>
      <w:r>
        <w:rPr/>
        <w:t>Parties agree that any provisions in the agreement that relating to the items below shall be null and void.</w:t>
      </w:r>
    </w:p>
    <w:p>
      <w:pPr>
        <w:pStyle w:val="BodyText"/>
        <w:spacing w:before="6"/>
        <w:rPr>
          <w:sz w:val="19"/>
        </w:rPr>
      </w:pPr>
    </w:p>
    <w:p>
      <w:pPr>
        <w:pStyle w:val="ListParagraph"/>
        <w:numPr>
          <w:ilvl w:val="1"/>
          <w:numId w:val="2"/>
        </w:numPr>
        <w:tabs>
          <w:tab w:pos="2169" w:val="left" w:leader="none"/>
        </w:tabs>
        <w:spacing w:line="240" w:lineRule="auto" w:before="0" w:after="0"/>
        <w:ind w:left="2169" w:right="1218" w:hanging="361"/>
        <w:jc w:val="left"/>
        <w:rPr>
          <w:sz w:val="20"/>
        </w:rPr>
      </w:pPr>
      <w:r>
        <w:rPr>
          <w:sz w:val="20"/>
        </w:rPr>
        <w:t>Requiring</w:t>
      </w:r>
      <w:r>
        <w:rPr>
          <w:spacing w:val="-5"/>
          <w:sz w:val="20"/>
        </w:rPr>
        <w:t> </w:t>
      </w:r>
      <w:r>
        <w:rPr>
          <w:sz w:val="20"/>
        </w:rPr>
        <w:t>TAMUK</w:t>
      </w:r>
      <w:r>
        <w:rPr>
          <w:spacing w:val="-6"/>
          <w:sz w:val="20"/>
        </w:rPr>
        <w:t> </w:t>
      </w:r>
      <w:r>
        <w:rPr>
          <w:sz w:val="20"/>
        </w:rPr>
        <w:t>to</w:t>
      </w:r>
      <w:r>
        <w:rPr>
          <w:spacing w:val="-5"/>
          <w:sz w:val="20"/>
        </w:rPr>
        <w:t> </w:t>
      </w:r>
      <w:r>
        <w:rPr>
          <w:sz w:val="20"/>
        </w:rPr>
        <w:t>maintain</w:t>
      </w:r>
      <w:r>
        <w:rPr>
          <w:spacing w:val="-4"/>
          <w:sz w:val="20"/>
        </w:rPr>
        <w:t> </w:t>
      </w:r>
      <w:r>
        <w:rPr>
          <w:sz w:val="20"/>
        </w:rPr>
        <w:t>any</w:t>
      </w:r>
      <w:r>
        <w:rPr>
          <w:spacing w:val="-11"/>
          <w:sz w:val="20"/>
        </w:rPr>
        <w:t> </w:t>
      </w:r>
      <w:r>
        <w:rPr>
          <w:sz w:val="20"/>
        </w:rPr>
        <w:t>type</w:t>
      </w:r>
      <w:r>
        <w:rPr>
          <w:spacing w:val="-5"/>
          <w:sz w:val="20"/>
        </w:rPr>
        <w:t> </w:t>
      </w:r>
      <w:r>
        <w:rPr>
          <w:sz w:val="20"/>
        </w:rPr>
        <w:t>of</w:t>
      </w:r>
      <w:r>
        <w:rPr>
          <w:spacing w:val="-2"/>
          <w:sz w:val="20"/>
        </w:rPr>
        <w:t> </w:t>
      </w:r>
      <w:r>
        <w:rPr>
          <w:sz w:val="20"/>
        </w:rPr>
        <w:t>insurance</w:t>
      </w:r>
      <w:r>
        <w:rPr>
          <w:spacing w:val="-5"/>
          <w:sz w:val="20"/>
        </w:rPr>
        <w:t> </w:t>
      </w:r>
      <w:r>
        <w:rPr>
          <w:sz w:val="20"/>
        </w:rPr>
        <w:t>either</w:t>
      </w:r>
      <w:r>
        <w:rPr>
          <w:spacing w:val="-4"/>
          <w:sz w:val="20"/>
        </w:rPr>
        <w:t> </w:t>
      </w:r>
      <w:r>
        <w:rPr>
          <w:sz w:val="20"/>
        </w:rPr>
        <w:t>for TAMUK’s benefit or for the Vendor’s</w:t>
      </w:r>
      <w:r>
        <w:rPr>
          <w:spacing w:val="-9"/>
          <w:sz w:val="20"/>
        </w:rPr>
        <w:t> </w:t>
      </w:r>
      <w:r>
        <w:rPr>
          <w:sz w:val="20"/>
        </w:rPr>
        <w:t>benefit.</w:t>
      </w:r>
    </w:p>
    <w:p>
      <w:pPr>
        <w:pStyle w:val="BodyText"/>
        <w:spacing w:before="5"/>
        <w:rPr>
          <w:sz w:val="19"/>
        </w:rPr>
      </w:pPr>
    </w:p>
    <w:p>
      <w:pPr>
        <w:pStyle w:val="ListParagraph"/>
        <w:numPr>
          <w:ilvl w:val="1"/>
          <w:numId w:val="2"/>
        </w:numPr>
        <w:tabs>
          <w:tab w:pos="2169" w:val="left" w:leader="none"/>
        </w:tabs>
        <w:spacing w:line="240" w:lineRule="auto" w:before="0" w:after="0"/>
        <w:ind w:left="2169" w:right="825" w:hanging="361"/>
        <w:jc w:val="left"/>
        <w:rPr>
          <w:sz w:val="20"/>
        </w:rPr>
      </w:pPr>
      <w:r>
        <w:rPr>
          <w:sz w:val="20"/>
        </w:rPr>
        <w:t>Requiring</w:t>
      </w:r>
      <w:r>
        <w:rPr>
          <w:spacing w:val="-7"/>
          <w:sz w:val="20"/>
        </w:rPr>
        <w:t> </w:t>
      </w:r>
      <w:r>
        <w:rPr>
          <w:sz w:val="20"/>
        </w:rPr>
        <w:t>or</w:t>
      </w:r>
      <w:r>
        <w:rPr>
          <w:spacing w:val="-6"/>
          <w:sz w:val="20"/>
        </w:rPr>
        <w:t> </w:t>
      </w:r>
      <w:r>
        <w:rPr>
          <w:sz w:val="20"/>
        </w:rPr>
        <w:t>stating</w:t>
      </w:r>
      <w:r>
        <w:rPr>
          <w:spacing w:val="-7"/>
          <w:sz w:val="20"/>
        </w:rPr>
        <w:t> </w:t>
      </w:r>
      <w:r>
        <w:rPr>
          <w:sz w:val="20"/>
        </w:rPr>
        <w:t>the</w:t>
      </w:r>
      <w:r>
        <w:rPr>
          <w:spacing w:val="-6"/>
          <w:sz w:val="20"/>
        </w:rPr>
        <w:t> </w:t>
      </w:r>
      <w:r>
        <w:rPr>
          <w:sz w:val="20"/>
        </w:rPr>
        <w:t>terms</w:t>
      </w:r>
      <w:r>
        <w:rPr>
          <w:spacing w:val="-5"/>
          <w:sz w:val="20"/>
        </w:rPr>
        <w:t> </w:t>
      </w:r>
      <w:r>
        <w:rPr>
          <w:sz w:val="20"/>
        </w:rPr>
        <w:t>of</w:t>
      </w:r>
      <w:r>
        <w:rPr>
          <w:spacing w:val="-4"/>
          <w:sz w:val="20"/>
        </w:rPr>
        <w:t> </w:t>
      </w:r>
      <w:r>
        <w:rPr>
          <w:sz w:val="20"/>
        </w:rPr>
        <w:t>the</w:t>
      </w:r>
      <w:r>
        <w:rPr>
          <w:spacing w:val="-5"/>
          <w:sz w:val="20"/>
        </w:rPr>
        <w:t> </w:t>
      </w:r>
      <w:r>
        <w:rPr>
          <w:sz w:val="20"/>
        </w:rPr>
        <w:t>Vendor’s</w:t>
      </w:r>
      <w:r>
        <w:rPr>
          <w:spacing w:val="-5"/>
          <w:sz w:val="20"/>
        </w:rPr>
        <w:t> </w:t>
      </w:r>
      <w:r>
        <w:rPr>
          <w:sz w:val="20"/>
        </w:rPr>
        <w:t>Contract</w:t>
      </w:r>
      <w:r>
        <w:rPr>
          <w:spacing w:val="-6"/>
          <w:sz w:val="20"/>
        </w:rPr>
        <w:t> </w:t>
      </w:r>
      <w:r>
        <w:rPr>
          <w:sz w:val="20"/>
        </w:rPr>
        <w:t>Form</w:t>
      </w:r>
      <w:r>
        <w:rPr>
          <w:spacing w:val="-1"/>
          <w:sz w:val="20"/>
        </w:rPr>
        <w:t> </w:t>
      </w:r>
      <w:r>
        <w:rPr>
          <w:sz w:val="20"/>
        </w:rPr>
        <w:t>shall prevail over the terms of the purchase order or this Addendum in the event of conflict. Venue shall be in Kleberg County,</w:t>
      </w:r>
      <w:r>
        <w:rPr>
          <w:spacing w:val="-35"/>
          <w:sz w:val="20"/>
        </w:rPr>
        <w:t> </w:t>
      </w:r>
      <w:r>
        <w:rPr>
          <w:sz w:val="20"/>
        </w:rPr>
        <w:t>Texas.</w:t>
      </w:r>
    </w:p>
    <w:p>
      <w:pPr>
        <w:pStyle w:val="BodyText"/>
        <w:spacing w:before="4"/>
        <w:rPr>
          <w:sz w:val="19"/>
        </w:rPr>
      </w:pPr>
    </w:p>
    <w:p>
      <w:pPr>
        <w:pStyle w:val="ListParagraph"/>
        <w:numPr>
          <w:ilvl w:val="1"/>
          <w:numId w:val="2"/>
        </w:numPr>
        <w:tabs>
          <w:tab w:pos="2169" w:val="left" w:leader="none"/>
        </w:tabs>
        <w:spacing w:line="240" w:lineRule="auto" w:before="0" w:after="0"/>
        <w:ind w:left="2169" w:right="1053" w:hanging="361"/>
        <w:jc w:val="left"/>
        <w:rPr>
          <w:sz w:val="20"/>
        </w:rPr>
      </w:pPr>
      <w:r>
        <w:rPr>
          <w:sz w:val="20"/>
        </w:rPr>
        <w:t>Requiring TAMUK to indemnify</w:t>
      </w:r>
      <w:r>
        <w:rPr>
          <w:spacing w:val="-41"/>
          <w:sz w:val="20"/>
        </w:rPr>
        <w:t> </w:t>
      </w:r>
      <w:r>
        <w:rPr>
          <w:sz w:val="20"/>
        </w:rPr>
        <w:t>or hold harmless the Vendor for any act or</w:t>
      </w:r>
      <w:r>
        <w:rPr>
          <w:spacing w:val="-9"/>
          <w:sz w:val="20"/>
        </w:rPr>
        <w:t> </w:t>
      </w:r>
      <w:r>
        <w:rPr>
          <w:sz w:val="20"/>
        </w:rPr>
        <w:t>omission.</w:t>
      </w:r>
    </w:p>
    <w:p>
      <w:pPr>
        <w:pStyle w:val="BodyText"/>
        <w:spacing w:before="5"/>
        <w:rPr>
          <w:sz w:val="19"/>
        </w:rPr>
      </w:pPr>
    </w:p>
    <w:p>
      <w:pPr>
        <w:pStyle w:val="ListParagraph"/>
        <w:numPr>
          <w:ilvl w:val="1"/>
          <w:numId w:val="2"/>
        </w:numPr>
        <w:tabs>
          <w:tab w:pos="2169" w:val="left" w:leader="none"/>
        </w:tabs>
        <w:spacing w:line="240" w:lineRule="auto" w:before="1" w:after="0"/>
        <w:ind w:left="2169" w:right="819" w:hanging="361"/>
        <w:jc w:val="left"/>
        <w:rPr>
          <w:sz w:val="20"/>
        </w:rPr>
      </w:pPr>
      <w:r>
        <w:rPr>
          <w:sz w:val="20"/>
        </w:rPr>
        <w:t>Imposing interest charges beyond the maximum amount</w:t>
      </w:r>
      <w:r>
        <w:rPr>
          <w:spacing w:val="-25"/>
          <w:sz w:val="20"/>
        </w:rPr>
        <w:t> </w:t>
      </w:r>
      <w:r>
        <w:rPr>
          <w:sz w:val="20"/>
        </w:rPr>
        <w:t>specified by</w:t>
      </w:r>
      <w:r>
        <w:rPr>
          <w:spacing w:val="-8"/>
          <w:sz w:val="20"/>
        </w:rPr>
        <w:t> </w:t>
      </w:r>
      <w:r>
        <w:rPr>
          <w:sz w:val="20"/>
        </w:rPr>
        <w:t>law.</w:t>
      </w:r>
    </w:p>
    <w:p>
      <w:pPr>
        <w:pStyle w:val="BodyText"/>
        <w:spacing w:before="6"/>
        <w:rPr>
          <w:sz w:val="19"/>
        </w:rPr>
      </w:pPr>
    </w:p>
    <w:p>
      <w:pPr>
        <w:pStyle w:val="ListParagraph"/>
        <w:numPr>
          <w:ilvl w:val="1"/>
          <w:numId w:val="2"/>
        </w:numPr>
        <w:tabs>
          <w:tab w:pos="2169" w:val="left" w:leader="none"/>
        </w:tabs>
        <w:spacing w:line="240" w:lineRule="auto" w:before="0" w:after="0"/>
        <w:ind w:left="2169" w:right="761" w:hanging="361"/>
        <w:jc w:val="left"/>
        <w:rPr>
          <w:sz w:val="20"/>
        </w:rPr>
      </w:pPr>
      <w:r>
        <w:rPr>
          <w:sz w:val="20"/>
        </w:rPr>
        <w:t>Requiring the application of the law of any state other than Texas in interpreting or enforcing the Agreement or requiring that any dispute</w:t>
      </w:r>
      <w:r>
        <w:rPr>
          <w:spacing w:val="-5"/>
          <w:sz w:val="20"/>
        </w:rPr>
        <w:t> </w:t>
      </w:r>
      <w:r>
        <w:rPr>
          <w:sz w:val="20"/>
        </w:rPr>
        <w:t>under</w:t>
      </w:r>
      <w:r>
        <w:rPr>
          <w:spacing w:val="-3"/>
          <w:sz w:val="20"/>
        </w:rPr>
        <w:t> </w:t>
      </w:r>
      <w:r>
        <w:rPr>
          <w:sz w:val="20"/>
        </w:rPr>
        <w:t>the</w:t>
      </w:r>
      <w:r>
        <w:rPr>
          <w:spacing w:val="-4"/>
          <w:sz w:val="20"/>
        </w:rPr>
        <w:t> </w:t>
      </w:r>
      <w:r>
        <w:rPr>
          <w:sz w:val="20"/>
        </w:rPr>
        <w:t>Agreement</w:t>
      </w:r>
      <w:r>
        <w:rPr>
          <w:spacing w:val="-5"/>
          <w:sz w:val="20"/>
        </w:rPr>
        <w:t> </w:t>
      </w:r>
      <w:r>
        <w:rPr>
          <w:sz w:val="20"/>
        </w:rPr>
        <w:t>be</w:t>
      </w:r>
      <w:r>
        <w:rPr>
          <w:spacing w:val="-4"/>
          <w:sz w:val="20"/>
        </w:rPr>
        <w:t> </w:t>
      </w:r>
      <w:r>
        <w:rPr>
          <w:sz w:val="20"/>
        </w:rPr>
        <w:t>resolved</w:t>
      </w:r>
      <w:r>
        <w:rPr>
          <w:spacing w:val="-4"/>
          <w:sz w:val="20"/>
        </w:rPr>
        <w:t> </w:t>
      </w:r>
      <w:r>
        <w:rPr>
          <w:sz w:val="20"/>
        </w:rPr>
        <w:t>in</w:t>
      </w:r>
      <w:r>
        <w:rPr>
          <w:spacing w:val="-5"/>
          <w:sz w:val="20"/>
        </w:rPr>
        <w:t> </w:t>
      </w:r>
      <w:r>
        <w:rPr>
          <w:sz w:val="20"/>
        </w:rPr>
        <w:t>the</w:t>
      </w:r>
      <w:r>
        <w:rPr>
          <w:spacing w:val="-4"/>
          <w:sz w:val="20"/>
        </w:rPr>
        <w:t> </w:t>
      </w:r>
      <w:r>
        <w:rPr>
          <w:sz w:val="20"/>
        </w:rPr>
        <w:t>courts</w:t>
      </w:r>
      <w:r>
        <w:rPr>
          <w:spacing w:val="-3"/>
          <w:sz w:val="20"/>
        </w:rPr>
        <w:t> </w:t>
      </w:r>
      <w:r>
        <w:rPr>
          <w:sz w:val="20"/>
        </w:rPr>
        <w:t>of</w:t>
      </w:r>
      <w:r>
        <w:rPr>
          <w:spacing w:val="-3"/>
          <w:sz w:val="20"/>
        </w:rPr>
        <w:t> </w:t>
      </w:r>
      <w:r>
        <w:rPr>
          <w:sz w:val="20"/>
        </w:rPr>
        <w:t>any</w:t>
      </w:r>
      <w:r>
        <w:rPr>
          <w:spacing w:val="-9"/>
          <w:sz w:val="20"/>
        </w:rPr>
        <w:t> </w:t>
      </w:r>
      <w:r>
        <w:rPr>
          <w:sz w:val="20"/>
        </w:rPr>
        <w:t>state other than Texas. This Agreement shall be construed and enforced in accordance with the laws of the State of</w:t>
      </w:r>
      <w:r>
        <w:rPr>
          <w:spacing w:val="-20"/>
          <w:sz w:val="20"/>
        </w:rPr>
        <w:t> </w:t>
      </w:r>
      <w:r>
        <w:rPr>
          <w:sz w:val="20"/>
        </w:rPr>
        <w:t>Texas.</w:t>
      </w:r>
    </w:p>
    <w:p>
      <w:pPr>
        <w:pStyle w:val="BodyText"/>
        <w:spacing w:before="11"/>
        <w:rPr>
          <w:sz w:val="18"/>
        </w:rPr>
      </w:pPr>
    </w:p>
    <w:p>
      <w:pPr>
        <w:pStyle w:val="ListParagraph"/>
        <w:numPr>
          <w:ilvl w:val="1"/>
          <w:numId w:val="2"/>
        </w:numPr>
        <w:tabs>
          <w:tab w:pos="2169" w:val="left" w:leader="none"/>
        </w:tabs>
        <w:spacing w:line="240" w:lineRule="auto" w:before="0" w:after="0"/>
        <w:ind w:left="2169" w:right="999" w:hanging="361"/>
        <w:jc w:val="left"/>
        <w:rPr>
          <w:sz w:val="20"/>
        </w:rPr>
      </w:pPr>
      <w:r>
        <w:rPr>
          <w:sz w:val="20"/>
        </w:rPr>
        <w:t>Releasing</w:t>
      </w:r>
      <w:r>
        <w:rPr>
          <w:spacing w:val="-5"/>
          <w:sz w:val="20"/>
        </w:rPr>
        <w:t> </w:t>
      </w:r>
      <w:r>
        <w:rPr>
          <w:sz w:val="20"/>
        </w:rPr>
        <w:t>the</w:t>
      </w:r>
      <w:r>
        <w:rPr>
          <w:spacing w:val="-4"/>
          <w:sz w:val="20"/>
        </w:rPr>
        <w:t> </w:t>
      </w:r>
      <w:r>
        <w:rPr>
          <w:sz w:val="20"/>
        </w:rPr>
        <w:t>Vendor</w:t>
      </w:r>
      <w:r>
        <w:rPr>
          <w:spacing w:val="-3"/>
          <w:sz w:val="20"/>
        </w:rPr>
        <w:t> </w:t>
      </w:r>
      <w:r>
        <w:rPr>
          <w:sz w:val="20"/>
        </w:rPr>
        <w:t>or</w:t>
      </w:r>
      <w:r>
        <w:rPr>
          <w:spacing w:val="-5"/>
          <w:sz w:val="20"/>
        </w:rPr>
        <w:t> </w:t>
      </w:r>
      <w:r>
        <w:rPr>
          <w:sz w:val="20"/>
        </w:rPr>
        <w:t>any</w:t>
      </w:r>
      <w:r>
        <w:rPr>
          <w:spacing w:val="-10"/>
          <w:sz w:val="20"/>
        </w:rPr>
        <w:t> </w:t>
      </w:r>
      <w:r>
        <w:rPr>
          <w:sz w:val="20"/>
        </w:rPr>
        <w:t>other</w:t>
      </w:r>
      <w:r>
        <w:rPr>
          <w:spacing w:val="-3"/>
          <w:sz w:val="20"/>
        </w:rPr>
        <w:t> </w:t>
      </w:r>
      <w:r>
        <w:rPr>
          <w:sz w:val="20"/>
        </w:rPr>
        <w:t>entity</w:t>
      </w:r>
      <w:r>
        <w:rPr>
          <w:spacing w:val="-10"/>
          <w:sz w:val="20"/>
        </w:rPr>
        <w:t> </w:t>
      </w:r>
      <w:r>
        <w:rPr>
          <w:sz w:val="20"/>
        </w:rPr>
        <w:t>or</w:t>
      </w:r>
      <w:r>
        <w:rPr>
          <w:spacing w:val="-4"/>
          <w:sz w:val="20"/>
        </w:rPr>
        <w:t> </w:t>
      </w:r>
      <w:r>
        <w:rPr>
          <w:sz w:val="20"/>
        </w:rPr>
        <w:t>person</w:t>
      </w:r>
      <w:r>
        <w:rPr>
          <w:spacing w:val="-5"/>
          <w:sz w:val="20"/>
        </w:rPr>
        <w:t> </w:t>
      </w:r>
      <w:r>
        <w:rPr>
          <w:sz w:val="20"/>
        </w:rPr>
        <w:t>from its</w:t>
      </w:r>
      <w:r>
        <w:rPr>
          <w:spacing w:val="-4"/>
          <w:sz w:val="20"/>
        </w:rPr>
        <w:t> </w:t>
      </w:r>
      <w:r>
        <w:rPr>
          <w:sz w:val="20"/>
        </w:rPr>
        <w:t>legal liability, or limiting liability, or unlawful or negligent conduct or failure to comply with any duty recognized or imposed by applicable</w:t>
      </w:r>
      <w:r>
        <w:rPr>
          <w:spacing w:val="-2"/>
          <w:sz w:val="20"/>
        </w:rPr>
        <w:t> </w:t>
      </w:r>
      <w:r>
        <w:rPr>
          <w:sz w:val="20"/>
        </w:rPr>
        <w:t>law.</w:t>
      </w:r>
    </w:p>
    <w:p>
      <w:pPr>
        <w:pStyle w:val="BodyText"/>
        <w:spacing w:before="1"/>
        <w:rPr>
          <w:sz w:val="19"/>
        </w:rPr>
      </w:pPr>
    </w:p>
    <w:p>
      <w:pPr>
        <w:pStyle w:val="ListParagraph"/>
        <w:numPr>
          <w:ilvl w:val="1"/>
          <w:numId w:val="2"/>
        </w:numPr>
        <w:tabs>
          <w:tab w:pos="2169" w:val="left" w:leader="none"/>
        </w:tabs>
        <w:spacing w:line="240" w:lineRule="auto" w:before="0" w:after="0"/>
        <w:ind w:left="2169" w:right="1151" w:hanging="361"/>
        <w:jc w:val="left"/>
        <w:rPr>
          <w:sz w:val="20"/>
        </w:rPr>
      </w:pPr>
      <w:r>
        <w:rPr>
          <w:sz w:val="20"/>
        </w:rPr>
        <w:t>Requiring</w:t>
      </w:r>
      <w:r>
        <w:rPr>
          <w:spacing w:val="-5"/>
          <w:sz w:val="20"/>
        </w:rPr>
        <w:t> </w:t>
      </w:r>
      <w:r>
        <w:rPr>
          <w:sz w:val="20"/>
        </w:rPr>
        <w:t>any</w:t>
      </w:r>
      <w:r>
        <w:rPr>
          <w:spacing w:val="-10"/>
          <w:sz w:val="20"/>
        </w:rPr>
        <w:t> </w:t>
      </w:r>
      <w:r>
        <w:rPr>
          <w:sz w:val="20"/>
        </w:rPr>
        <w:t>total</w:t>
      </w:r>
      <w:r>
        <w:rPr>
          <w:spacing w:val="-5"/>
          <w:sz w:val="20"/>
        </w:rPr>
        <w:t> </w:t>
      </w:r>
      <w:r>
        <w:rPr>
          <w:sz w:val="20"/>
        </w:rPr>
        <w:t>or</w:t>
      </w:r>
      <w:r>
        <w:rPr>
          <w:spacing w:val="-5"/>
          <w:sz w:val="20"/>
        </w:rPr>
        <w:t> </w:t>
      </w:r>
      <w:r>
        <w:rPr>
          <w:sz w:val="20"/>
        </w:rPr>
        <w:t>partial</w:t>
      </w:r>
      <w:r>
        <w:rPr>
          <w:spacing w:val="-5"/>
          <w:sz w:val="20"/>
        </w:rPr>
        <w:t> </w:t>
      </w:r>
      <w:r>
        <w:rPr>
          <w:sz w:val="20"/>
        </w:rPr>
        <w:t>compensation</w:t>
      </w:r>
      <w:r>
        <w:rPr>
          <w:spacing w:val="-4"/>
          <w:sz w:val="20"/>
        </w:rPr>
        <w:t> </w:t>
      </w:r>
      <w:r>
        <w:rPr>
          <w:sz w:val="20"/>
        </w:rPr>
        <w:t>or</w:t>
      </w:r>
      <w:r>
        <w:rPr>
          <w:spacing w:val="-5"/>
          <w:sz w:val="20"/>
        </w:rPr>
        <w:t> </w:t>
      </w:r>
      <w:r>
        <w:rPr>
          <w:sz w:val="20"/>
        </w:rPr>
        <w:t>payment</w:t>
      </w:r>
      <w:r>
        <w:rPr>
          <w:spacing w:val="-4"/>
          <w:sz w:val="20"/>
        </w:rPr>
        <w:t> </w:t>
      </w:r>
      <w:r>
        <w:rPr>
          <w:sz w:val="20"/>
        </w:rPr>
        <w:t>for</w:t>
      </w:r>
      <w:r>
        <w:rPr>
          <w:spacing w:val="-5"/>
          <w:sz w:val="20"/>
        </w:rPr>
        <w:t> </w:t>
      </w:r>
      <w:r>
        <w:rPr>
          <w:sz w:val="20"/>
        </w:rPr>
        <w:t>lost profit or liquidated damages by TAMUK if the Agreement is terminated before the end of the contract</w:t>
      </w:r>
      <w:r>
        <w:rPr>
          <w:spacing w:val="-9"/>
          <w:sz w:val="20"/>
        </w:rPr>
        <w:t> </w:t>
      </w:r>
      <w:r>
        <w:rPr>
          <w:sz w:val="20"/>
        </w:rPr>
        <w:t>term.</w:t>
      </w:r>
    </w:p>
    <w:p>
      <w:pPr>
        <w:pStyle w:val="BodyText"/>
        <w:spacing w:before="4"/>
        <w:rPr>
          <w:sz w:val="19"/>
        </w:rPr>
      </w:pPr>
    </w:p>
    <w:p>
      <w:pPr>
        <w:pStyle w:val="ListParagraph"/>
        <w:numPr>
          <w:ilvl w:val="1"/>
          <w:numId w:val="2"/>
        </w:numPr>
        <w:tabs>
          <w:tab w:pos="2169" w:val="left" w:leader="none"/>
        </w:tabs>
        <w:spacing w:line="240" w:lineRule="auto" w:before="0" w:after="0"/>
        <w:ind w:left="2169" w:right="872" w:hanging="361"/>
        <w:jc w:val="left"/>
        <w:rPr>
          <w:sz w:val="20"/>
        </w:rPr>
      </w:pPr>
      <w:r>
        <w:rPr>
          <w:sz w:val="20"/>
        </w:rPr>
        <w:t>Requiring that the Agreement be “accepted” or endorsed by the home</w:t>
      </w:r>
      <w:r>
        <w:rPr>
          <w:spacing w:val="-3"/>
          <w:sz w:val="20"/>
        </w:rPr>
        <w:t> </w:t>
      </w:r>
      <w:r>
        <w:rPr>
          <w:sz w:val="20"/>
        </w:rPr>
        <w:t>office</w:t>
      </w:r>
      <w:r>
        <w:rPr>
          <w:spacing w:val="-2"/>
          <w:sz w:val="20"/>
        </w:rPr>
        <w:t> </w:t>
      </w:r>
      <w:r>
        <w:rPr>
          <w:sz w:val="20"/>
        </w:rPr>
        <w:t>or</w:t>
      </w:r>
      <w:r>
        <w:rPr>
          <w:spacing w:val="-3"/>
          <w:sz w:val="20"/>
        </w:rPr>
        <w:t> </w:t>
      </w:r>
      <w:r>
        <w:rPr>
          <w:sz w:val="20"/>
        </w:rPr>
        <w:t>by</w:t>
      </w:r>
      <w:r>
        <w:rPr>
          <w:spacing w:val="-8"/>
          <w:sz w:val="20"/>
        </w:rPr>
        <w:t> </w:t>
      </w:r>
      <w:r>
        <w:rPr>
          <w:sz w:val="20"/>
        </w:rPr>
        <w:t>any</w:t>
      </w:r>
      <w:r>
        <w:rPr>
          <w:spacing w:val="-9"/>
          <w:sz w:val="20"/>
        </w:rPr>
        <w:t> </w:t>
      </w:r>
      <w:r>
        <w:rPr>
          <w:sz w:val="20"/>
        </w:rPr>
        <w:t>other</w:t>
      </w:r>
      <w:r>
        <w:rPr>
          <w:spacing w:val="-1"/>
          <w:sz w:val="20"/>
        </w:rPr>
        <w:t> </w:t>
      </w:r>
      <w:r>
        <w:rPr>
          <w:sz w:val="20"/>
        </w:rPr>
        <w:t>officer</w:t>
      </w:r>
      <w:r>
        <w:rPr>
          <w:spacing w:val="-3"/>
          <w:sz w:val="20"/>
        </w:rPr>
        <w:t> </w:t>
      </w:r>
      <w:r>
        <w:rPr>
          <w:sz w:val="20"/>
        </w:rPr>
        <w:t>subsequent</w:t>
      </w:r>
      <w:r>
        <w:rPr>
          <w:spacing w:val="-3"/>
          <w:sz w:val="20"/>
        </w:rPr>
        <w:t> </w:t>
      </w:r>
      <w:r>
        <w:rPr>
          <w:sz w:val="20"/>
        </w:rPr>
        <w:t>to</w:t>
      </w:r>
      <w:r>
        <w:rPr>
          <w:spacing w:val="-2"/>
          <w:sz w:val="20"/>
        </w:rPr>
        <w:t> </w:t>
      </w:r>
      <w:r>
        <w:rPr>
          <w:sz w:val="20"/>
        </w:rPr>
        <w:t>execution</w:t>
      </w:r>
      <w:r>
        <w:rPr>
          <w:spacing w:val="-3"/>
          <w:sz w:val="20"/>
        </w:rPr>
        <w:t> </w:t>
      </w:r>
      <w:r>
        <w:rPr>
          <w:sz w:val="20"/>
        </w:rPr>
        <w:t>by</w:t>
      </w:r>
      <w:r>
        <w:rPr>
          <w:spacing w:val="-9"/>
          <w:sz w:val="20"/>
        </w:rPr>
        <w:t> </w:t>
      </w:r>
      <w:r>
        <w:rPr>
          <w:sz w:val="20"/>
        </w:rPr>
        <w:t>an official of TAMUK before the Agreement is considered in</w:t>
      </w:r>
      <w:r>
        <w:rPr>
          <w:spacing w:val="-23"/>
          <w:sz w:val="20"/>
        </w:rPr>
        <w:t> </w:t>
      </w:r>
      <w:r>
        <w:rPr>
          <w:sz w:val="20"/>
        </w:rPr>
        <w:t>effect.</w:t>
      </w:r>
    </w:p>
    <w:p>
      <w:pPr>
        <w:pStyle w:val="BodyText"/>
        <w:spacing w:before="4"/>
        <w:rPr>
          <w:sz w:val="19"/>
        </w:rPr>
      </w:pPr>
    </w:p>
    <w:p>
      <w:pPr>
        <w:pStyle w:val="ListParagraph"/>
        <w:numPr>
          <w:ilvl w:val="1"/>
          <w:numId w:val="2"/>
        </w:numPr>
        <w:tabs>
          <w:tab w:pos="2169" w:val="left" w:leader="none"/>
        </w:tabs>
        <w:spacing w:line="240" w:lineRule="auto" w:before="0" w:after="0"/>
        <w:ind w:left="2169" w:right="1110" w:hanging="361"/>
        <w:jc w:val="left"/>
        <w:rPr>
          <w:sz w:val="20"/>
        </w:rPr>
      </w:pPr>
      <w:r>
        <w:rPr>
          <w:sz w:val="20"/>
        </w:rPr>
        <w:t>Delaying</w:t>
      </w:r>
      <w:r>
        <w:rPr>
          <w:spacing w:val="-6"/>
          <w:sz w:val="20"/>
        </w:rPr>
        <w:t> </w:t>
      </w:r>
      <w:r>
        <w:rPr>
          <w:sz w:val="20"/>
        </w:rPr>
        <w:t>the</w:t>
      </w:r>
      <w:r>
        <w:rPr>
          <w:spacing w:val="-5"/>
          <w:sz w:val="20"/>
        </w:rPr>
        <w:t> </w:t>
      </w:r>
      <w:r>
        <w:rPr>
          <w:sz w:val="20"/>
        </w:rPr>
        <w:t>acceptance</w:t>
      </w:r>
      <w:r>
        <w:rPr>
          <w:spacing w:val="-5"/>
          <w:sz w:val="20"/>
        </w:rPr>
        <w:t> </w:t>
      </w:r>
      <w:r>
        <w:rPr>
          <w:sz w:val="20"/>
        </w:rPr>
        <w:t>of</w:t>
      </w:r>
      <w:r>
        <w:rPr>
          <w:spacing w:val="-3"/>
          <w:sz w:val="20"/>
        </w:rPr>
        <w:t> </w:t>
      </w:r>
      <w:r>
        <w:rPr>
          <w:sz w:val="20"/>
        </w:rPr>
        <w:t>this</w:t>
      </w:r>
      <w:r>
        <w:rPr>
          <w:spacing w:val="-4"/>
          <w:sz w:val="20"/>
        </w:rPr>
        <w:t> </w:t>
      </w:r>
      <w:r>
        <w:rPr>
          <w:sz w:val="20"/>
        </w:rPr>
        <w:t>Agreement</w:t>
      </w:r>
      <w:r>
        <w:rPr>
          <w:spacing w:val="-6"/>
          <w:sz w:val="20"/>
        </w:rPr>
        <w:t> </w:t>
      </w:r>
      <w:r>
        <w:rPr>
          <w:sz w:val="20"/>
        </w:rPr>
        <w:t>or</w:t>
      </w:r>
      <w:r>
        <w:rPr>
          <w:spacing w:val="-4"/>
          <w:sz w:val="20"/>
        </w:rPr>
        <w:t> </w:t>
      </w:r>
      <w:r>
        <w:rPr>
          <w:sz w:val="20"/>
        </w:rPr>
        <w:t>its</w:t>
      </w:r>
      <w:r>
        <w:rPr>
          <w:spacing w:val="-4"/>
          <w:sz w:val="20"/>
        </w:rPr>
        <w:t> </w:t>
      </w:r>
      <w:r>
        <w:rPr>
          <w:sz w:val="20"/>
        </w:rPr>
        <w:t>effective</w:t>
      </w:r>
      <w:r>
        <w:rPr>
          <w:spacing w:val="-5"/>
          <w:sz w:val="20"/>
        </w:rPr>
        <w:t> </w:t>
      </w:r>
      <w:r>
        <w:rPr>
          <w:sz w:val="20"/>
        </w:rPr>
        <w:t>date beyond the date of execution by</w:t>
      </w:r>
      <w:r>
        <w:rPr>
          <w:spacing w:val="-14"/>
          <w:sz w:val="20"/>
        </w:rPr>
        <w:t> </w:t>
      </w:r>
      <w:r>
        <w:rPr>
          <w:sz w:val="20"/>
        </w:rPr>
        <w:t>TAMUK.</w:t>
      </w:r>
    </w:p>
    <w:p>
      <w:pPr>
        <w:pStyle w:val="BodyText"/>
        <w:spacing w:before="5"/>
        <w:rPr>
          <w:sz w:val="19"/>
        </w:rPr>
      </w:pPr>
    </w:p>
    <w:p>
      <w:pPr>
        <w:pStyle w:val="ListParagraph"/>
        <w:numPr>
          <w:ilvl w:val="1"/>
          <w:numId w:val="2"/>
        </w:numPr>
        <w:tabs>
          <w:tab w:pos="2169" w:val="left" w:leader="none"/>
        </w:tabs>
        <w:spacing w:line="240" w:lineRule="auto" w:before="1" w:after="0"/>
        <w:ind w:left="2169" w:right="1221" w:hanging="361"/>
        <w:jc w:val="left"/>
        <w:rPr>
          <w:sz w:val="20"/>
        </w:rPr>
      </w:pPr>
      <w:r>
        <w:rPr>
          <w:sz w:val="20"/>
        </w:rPr>
        <w:t>Changing the time period within which claims can be made</w:t>
      </w:r>
      <w:r>
        <w:rPr>
          <w:spacing w:val="-39"/>
          <w:sz w:val="20"/>
        </w:rPr>
        <w:t> </w:t>
      </w:r>
      <w:r>
        <w:rPr>
          <w:sz w:val="20"/>
        </w:rPr>
        <w:t>or actions can be brought under the laws of the State of</w:t>
      </w:r>
      <w:r>
        <w:rPr>
          <w:spacing w:val="-34"/>
          <w:sz w:val="20"/>
        </w:rPr>
        <w:t> </w:t>
      </w:r>
      <w:r>
        <w:rPr>
          <w:sz w:val="20"/>
        </w:rPr>
        <w:t>Texas.</w:t>
      </w:r>
    </w:p>
    <w:p>
      <w:pPr>
        <w:pStyle w:val="BodyText"/>
        <w:spacing w:before="5"/>
        <w:rPr>
          <w:sz w:val="19"/>
        </w:rPr>
      </w:pPr>
    </w:p>
    <w:p>
      <w:pPr>
        <w:pStyle w:val="ListParagraph"/>
        <w:numPr>
          <w:ilvl w:val="1"/>
          <w:numId w:val="2"/>
        </w:numPr>
        <w:tabs>
          <w:tab w:pos="2169" w:val="left" w:leader="none"/>
        </w:tabs>
        <w:spacing w:line="240" w:lineRule="auto" w:before="0" w:after="0"/>
        <w:ind w:left="2169" w:right="762" w:hanging="361"/>
        <w:jc w:val="left"/>
        <w:rPr>
          <w:sz w:val="20"/>
        </w:rPr>
      </w:pPr>
      <w:r>
        <w:rPr>
          <w:sz w:val="20"/>
        </w:rPr>
        <w:t>Prohibiting TAMUK from recovering its lawful damages incurred</w:t>
      </w:r>
      <w:r>
        <w:rPr>
          <w:spacing w:val="-38"/>
          <w:sz w:val="20"/>
        </w:rPr>
        <w:t> </w:t>
      </w:r>
      <w:r>
        <w:rPr>
          <w:sz w:val="20"/>
        </w:rPr>
        <w:t>as a result of a breach of this</w:t>
      </w:r>
      <w:r>
        <w:rPr>
          <w:spacing w:val="-5"/>
          <w:sz w:val="20"/>
        </w:rPr>
        <w:t> </w:t>
      </w:r>
      <w:r>
        <w:rPr>
          <w:sz w:val="20"/>
        </w:rPr>
        <w:t>Agreement.</w:t>
      </w:r>
    </w:p>
    <w:p>
      <w:pPr>
        <w:pStyle w:val="BodyText"/>
        <w:spacing w:before="5"/>
        <w:rPr>
          <w:sz w:val="19"/>
        </w:rPr>
      </w:pPr>
    </w:p>
    <w:p>
      <w:pPr>
        <w:pStyle w:val="ListParagraph"/>
        <w:numPr>
          <w:ilvl w:val="1"/>
          <w:numId w:val="2"/>
        </w:numPr>
        <w:tabs>
          <w:tab w:pos="2169" w:val="left" w:leader="none"/>
        </w:tabs>
        <w:spacing w:line="240" w:lineRule="auto" w:before="1" w:after="0"/>
        <w:ind w:left="2169" w:right="1149" w:hanging="361"/>
        <w:jc w:val="left"/>
        <w:rPr>
          <w:sz w:val="20"/>
        </w:rPr>
      </w:pPr>
      <w:r>
        <w:rPr>
          <w:sz w:val="20"/>
        </w:rPr>
        <w:t>Limiting</w:t>
      </w:r>
      <w:r>
        <w:rPr>
          <w:spacing w:val="-5"/>
          <w:sz w:val="20"/>
        </w:rPr>
        <w:t> </w:t>
      </w:r>
      <w:r>
        <w:rPr>
          <w:sz w:val="20"/>
        </w:rPr>
        <w:t>the</w:t>
      </w:r>
      <w:r>
        <w:rPr>
          <w:spacing w:val="-4"/>
          <w:sz w:val="20"/>
        </w:rPr>
        <w:t> </w:t>
      </w:r>
      <w:r>
        <w:rPr>
          <w:sz w:val="20"/>
        </w:rPr>
        <w:t>liability</w:t>
      </w:r>
      <w:r>
        <w:rPr>
          <w:spacing w:val="-10"/>
          <w:sz w:val="20"/>
        </w:rPr>
        <w:t> </w:t>
      </w:r>
      <w:r>
        <w:rPr>
          <w:sz w:val="20"/>
        </w:rPr>
        <w:t>of</w:t>
      </w:r>
      <w:r>
        <w:rPr>
          <w:spacing w:val="-2"/>
          <w:sz w:val="20"/>
        </w:rPr>
        <w:t> </w:t>
      </w:r>
      <w:r>
        <w:rPr>
          <w:sz w:val="20"/>
        </w:rPr>
        <w:t>Vendor</w:t>
      </w:r>
      <w:r>
        <w:rPr>
          <w:spacing w:val="-4"/>
          <w:sz w:val="20"/>
        </w:rPr>
        <w:t> </w:t>
      </w:r>
      <w:r>
        <w:rPr>
          <w:sz w:val="20"/>
        </w:rPr>
        <w:t>for</w:t>
      </w:r>
      <w:r>
        <w:rPr>
          <w:spacing w:val="-4"/>
          <w:sz w:val="20"/>
        </w:rPr>
        <w:t> </w:t>
      </w:r>
      <w:r>
        <w:rPr>
          <w:sz w:val="20"/>
        </w:rPr>
        <w:t>property</w:t>
      </w:r>
      <w:r>
        <w:rPr>
          <w:spacing w:val="-9"/>
          <w:sz w:val="20"/>
        </w:rPr>
        <w:t> </w:t>
      </w:r>
      <w:r>
        <w:rPr>
          <w:sz w:val="20"/>
        </w:rPr>
        <w:t>damage</w:t>
      </w:r>
      <w:r>
        <w:rPr>
          <w:spacing w:val="-4"/>
          <w:sz w:val="20"/>
        </w:rPr>
        <w:t> </w:t>
      </w:r>
      <w:r>
        <w:rPr>
          <w:sz w:val="20"/>
        </w:rPr>
        <w:t>or</w:t>
      </w:r>
      <w:r>
        <w:rPr>
          <w:spacing w:val="-4"/>
          <w:sz w:val="20"/>
        </w:rPr>
        <w:t> </w:t>
      </w:r>
      <w:r>
        <w:rPr>
          <w:sz w:val="20"/>
        </w:rPr>
        <w:t>personal injury.</w:t>
      </w:r>
    </w:p>
    <w:p>
      <w:pPr>
        <w:pStyle w:val="BodyText"/>
        <w:spacing w:before="6"/>
        <w:rPr>
          <w:sz w:val="19"/>
        </w:rPr>
      </w:pPr>
    </w:p>
    <w:p>
      <w:pPr>
        <w:pStyle w:val="ListParagraph"/>
        <w:numPr>
          <w:ilvl w:val="1"/>
          <w:numId w:val="2"/>
        </w:numPr>
        <w:tabs>
          <w:tab w:pos="2169" w:val="left" w:leader="none"/>
        </w:tabs>
        <w:spacing w:line="240" w:lineRule="auto" w:before="0" w:after="0"/>
        <w:ind w:left="2169" w:right="1442" w:hanging="361"/>
        <w:jc w:val="left"/>
        <w:rPr>
          <w:sz w:val="20"/>
        </w:rPr>
      </w:pPr>
      <w:r>
        <w:rPr>
          <w:sz w:val="20"/>
        </w:rPr>
        <w:t>Permitting unilateral modifications of this Agreement by</w:t>
      </w:r>
      <w:r>
        <w:rPr>
          <w:spacing w:val="-36"/>
          <w:sz w:val="20"/>
        </w:rPr>
        <w:t> </w:t>
      </w:r>
      <w:r>
        <w:rPr>
          <w:sz w:val="20"/>
        </w:rPr>
        <w:t>the Vendor.</w:t>
      </w:r>
    </w:p>
    <w:p>
      <w:pPr>
        <w:pStyle w:val="BodyText"/>
        <w:spacing w:before="5"/>
        <w:rPr>
          <w:sz w:val="19"/>
        </w:rPr>
      </w:pPr>
    </w:p>
    <w:p>
      <w:pPr>
        <w:pStyle w:val="ListParagraph"/>
        <w:numPr>
          <w:ilvl w:val="1"/>
          <w:numId w:val="2"/>
        </w:numPr>
        <w:tabs>
          <w:tab w:pos="2169" w:val="left" w:leader="none"/>
        </w:tabs>
        <w:spacing w:line="240" w:lineRule="auto" w:before="0" w:after="0"/>
        <w:ind w:left="2169" w:right="1519" w:hanging="361"/>
        <w:jc w:val="left"/>
        <w:rPr>
          <w:sz w:val="20"/>
        </w:rPr>
      </w:pPr>
      <w:r>
        <w:rPr>
          <w:sz w:val="20"/>
        </w:rPr>
        <w:t>Binding</w:t>
      </w:r>
      <w:r>
        <w:rPr>
          <w:spacing w:val="-4"/>
          <w:sz w:val="20"/>
        </w:rPr>
        <w:t> </w:t>
      </w:r>
      <w:r>
        <w:rPr>
          <w:sz w:val="20"/>
        </w:rPr>
        <w:t>TAMUK</w:t>
      </w:r>
      <w:r>
        <w:rPr>
          <w:spacing w:val="-5"/>
          <w:sz w:val="20"/>
        </w:rPr>
        <w:t> </w:t>
      </w:r>
      <w:r>
        <w:rPr>
          <w:sz w:val="20"/>
        </w:rPr>
        <w:t>to</w:t>
      </w:r>
      <w:r>
        <w:rPr>
          <w:spacing w:val="-4"/>
          <w:sz w:val="20"/>
        </w:rPr>
        <w:t> </w:t>
      </w:r>
      <w:r>
        <w:rPr>
          <w:sz w:val="20"/>
        </w:rPr>
        <w:t>any</w:t>
      </w:r>
      <w:r>
        <w:rPr>
          <w:spacing w:val="-10"/>
          <w:sz w:val="20"/>
        </w:rPr>
        <w:t> </w:t>
      </w:r>
      <w:r>
        <w:rPr>
          <w:sz w:val="20"/>
        </w:rPr>
        <w:t>arbitration</w:t>
      </w:r>
      <w:r>
        <w:rPr>
          <w:spacing w:val="-4"/>
          <w:sz w:val="20"/>
        </w:rPr>
        <w:t> </w:t>
      </w:r>
      <w:r>
        <w:rPr>
          <w:sz w:val="20"/>
        </w:rPr>
        <w:t>or</w:t>
      </w:r>
      <w:r>
        <w:rPr>
          <w:spacing w:val="-3"/>
          <w:sz w:val="20"/>
        </w:rPr>
        <w:t> </w:t>
      </w:r>
      <w:r>
        <w:rPr>
          <w:sz w:val="20"/>
        </w:rPr>
        <w:t>to</w:t>
      </w:r>
      <w:r>
        <w:rPr>
          <w:spacing w:val="-4"/>
          <w:sz w:val="20"/>
        </w:rPr>
        <w:t> </w:t>
      </w:r>
      <w:r>
        <w:rPr>
          <w:sz w:val="20"/>
        </w:rPr>
        <w:t>the</w:t>
      </w:r>
      <w:r>
        <w:rPr>
          <w:spacing w:val="-4"/>
          <w:sz w:val="20"/>
        </w:rPr>
        <w:t> </w:t>
      </w:r>
      <w:r>
        <w:rPr>
          <w:sz w:val="20"/>
        </w:rPr>
        <w:t>decision</w:t>
      </w:r>
      <w:r>
        <w:rPr>
          <w:spacing w:val="-4"/>
          <w:sz w:val="20"/>
        </w:rPr>
        <w:t> </w:t>
      </w:r>
      <w:r>
        <w:rPr>
          <w:sz w:val="20"/>
        </w:rPr>
        <w:t>of</w:t>
      </w:r>
      <w:r>
        <w:rPr>
          <w:spacing w:val="-2"/>
          <w:sz w:val="20"/>
        </w:rPr>
        <w:t> </w:t>
      </w:r>
      <w:r>
        <w:rPr>
          <w:sz w:val="20"/>
        </w:rPr>
        <w:t>any arbitration board, commission, panel or other</w:t>
      </w:r>
      <w:r>
        <w:rPr>
          <w:spacing w:val="-17"/>
          <w:sz w:val="20"/>
        </w:rPr>
        <w:t> </w:t>
      </w:r>
      <w:r>
        <w:rPr>
          <w:sz w:val="20"/>
        </w:rPr>
        <w:t>entity.</w:t>
      </w:r>
    </w:p>
    <w:p>
      <w:pPr>
        <w:pStyle w:val="BodyText"/>
        <w:spacing w:before="6"/>
        <w:rPr>
          <w:sz w:val="19"/>
        </w:rPr>
      </w:pPr>
    </w:p>
    <w:p>
      <w:pPr>
        <w:pStyle w:val="ListParagraph"/>
        <w:numPr>
          <w:ilvl w:val="1"/>
          <w:numId w:val="2"/>
        </w:numPr>
        <w:tabs>
          <w:tab w:pos="2169" w:val="left" w:leader="none"/>
        </w:tabs>
        <w:spacing w:line="240" w:lineRule="auto" w:before="0" w:after="0"/>
        <w:ind w:left="2169" w:right="0" w:hanging="361"/>
        <w:jc w:val="left"/>
        <w:rPr>
          <w:sz w:val="20"/>
        </w:rPr>
      </w:pPr>
      <w:r>
        <w:rPr>
          <w:sz w:val="20"/>
        </w:rPr>
        <w:t>Obligating TAMUK to pay costs of collection or attorney’s</w:t>
      </w:r>
      <w:r>
        <w:rPr>
          <w:spacing w:val="-27"/>
          <w:sz w:val="20"/>
        </w:rPr>
        <w:t> </w:t>
      </w:r>
      <w:r>
        <w:rPr>
          <w:sz w:val="20"/>
        </w:rPr>
        <w:t>fees.</w:t>
      </w:r>
    </w:p>
    <w:p>
      <w:pPr>
        <w:pStyle w:val="BodyText"/>
        <w:spacing w:before="7"/>
        <w:rPr>
          <w:sz w:val="19"/>
        </w:rPr>
      </w:pPr>
    </w:p>
    <w:p>
      <w:pPr>
        <w:pStyle w:val="ListParagraph"/>
        <w:numPr>
          <w:ilvl w:val="1"/>
          <w:numId w:val="2"/>
        </w:numPr>
        <w:tabs>
          <w:tab w:pos="2169" w:val="left" w:leader="none"/>
        </w:tabs>
        <w:spacing w:line="240" w:lineRule="auto" w:before="0" w:after="0"/>
        <w:ind w:left="2169" w:right="0" w:hanging="361"/>
        <w:jc w:val="left"/>
        <w:rPr>
          <w:sz w:val="20"/>
        </w:rPr>
      </w:pPr>
      <w:r>
        <w:rPr>
          <w:sz w:val="20"/>
        </w:rPr>
        <w:t>Granting the Vendor a security of interest in property of</w:t>
      </w:r>
      <w:r>
        <w:rPr>
          <w:spacing w:val="-29"/>
          <w:sz w:val="20"/>
        </w:rPr>
        <w:t> </w:t>
      </w:r>
      <w:r>
        <w:rPr>
          <w:sz w:val="20"/>
        </w:rPr>
        <w:t>TAMUK.</w:t>
      </w:r>
    </w:p>
    <w:p>
      <w:pPr>
        <w:spacing w:after="0" w:line="240" w:lineRule="auto"/>
        <w:jc w:val="left"/>
        <w:rPr>
          <w:sz w:val="20"/>
        </w:rPr>
        <w:sectPr>
          <w:pgSz w:w="12240" w:h="15840"/>
          <w:pgMar w:top="1360" w:bottom="280" w:left="1720" w:right="1720"/>
        </w:sectPr>
      </w:pPr>
    </w:p>
    <w:p>
      <w:pPr>
        <w:pStyle w:val="ListParagraph"/>
        <w:numPr>
          <w:ilvl w:val="1"/>
          <w:numId w:val="2"/>
        </w:numPr>
        <w:tabs>
          <w:tab w:pos="2169" w:val="left" w:leader="none"/>
        </w:tabs>
        <w:spacing w:line="240" w:lineRule="auto" w:before="165" w:after="0"/>
        <w:ind w:left="2169" w:right="841" w:hanging="361"/>
        <w:jc w:val="left"/>
        <w:rPr>
          <w:sz w:val="20"/>
        </w:rPr>
      </w:pPr>
      <w:r>
        <w:rPr>
          <w:sz w:val="20"/>
        </w:rPr>
        <w:t>Obligating TAMUK to pay taxes. (Our state tax exempt number is 37327327320) Tax Vendor ID no.</w:t>
      </w:r>
      <w:r>
        <w:rPr>
          <w:spacing w:val="-12"/>
          <w:sz w:val="20"/>
        </w:rPr>
        <w:t> </w:t>
      </w:r>
      <w:r>
        <w:rPr>
          <w:sz w:val="20"/>
        </w:rPr>
        <w:t>74-6001-530.</w:t>
      </w:r>
    </w:p>
    <w:p>
      <w:pPr>
        <w:pStyle w:val="BodyText"/>
        <w:spacing w:before="6"/>
        <w:rPr>
          <w:sz w:val="19"/>
        </w:rPr>
      </w:pPr>
    </w:p>
    <w:p>
      <w:pPr>
        <w:pStyle w:val="ListParagraph"/>
        <w:numPr>
          <w:ilvl w:val="1"/>
          <w:numId w:val="2"/>
        </w:numPr>
        <w:tabs>
          <w:tab w:pos="2169" w:val="left" w:leader="none"/>
        </w:tabs>
        <w:spacing w:line="240" w:lineRule="auto" w:before="0" w:after="0"/>
        <w:ind w:left="2169" w:right="1010" w:hanging="361"/>
        <w:jc w:val="left"/>
        <w:rPr>
          <w:sz w:val="20"/>
        </w:rPr>
      </w:pPr>
      <w:r>
        <w:rPr>
          <w:sz w:val="20"/>
        </w:rPr>
        <w:t>Requiring payment terms other than Net 30 days from receipt</w:t>
      </w:r>
      <w:r>
        <w:rPr>
          <w:spacing w:val="-39"/>
          <w:sz w:val="20"/>
        </w:rPr>
        <w:t> </w:t>
      </w:r>
      <w:r>
        <w:rPr>
          <w:sz w:val="20"/>
        </w:rPr>
        <w:t>of correct</w:t>
      </w:r>
      <w:r>
        <w:rPr>
          <w:spacing w:val="-2"/>
          <w:sz w:val="20"/>
        </w:rPr>
        <w:t> </w:t>
      </w:r>
      <w:r>
        <w:rPr>
          <w:sz w:val="20"/>
        </w:rPr>
        <w:t>invoice.</w:t>
      </w:r>
    </w:p>
    <w:p>
      <w:pPr>
        <w:pStyle w:val="BodyText"/>
        <w:spacing w:before="5"/>
        <w:rPr>
          <w:sz w:val="19"/>
        </w:rPr>
      </w:pPr>
    </w:p>
    <w:p>
      <w:pPr>
        <w:pStyle w:val="ListParagraph"/>
        <w:numPr>
          <w:ilvl w:val="1"/>
          <w:numId w:val="2"/>
        </w:numPr>
        <w:tabs>
          <w:tab w:pos="2169" w:val="left" w:leader="none"/>
        </w:tabs>
        <w:spacing w:line="240" w:lineRule="auto" w:before="0" w:after="0"/>
        <w:ind w:left="2169" w:right="861" w:hanging="361"/>
        <w:jc w:val="left"/>
        <w:rPr>
          <w:sz w:val="20"/>
        </w:rPr>
      </w:pPr>
      <w:r>
        <w:rPr>
          <w:sz w:val="20"/>
        </w:rPr>
        <w:t>Waiving the Sovereignty of Texas or increasing TAMUK’s liability beyond that found in the Texas Tort Claims Act.</w:t>
      </w:r>
      <w:r>
        <w:rPr>
          <w:spacing w:val="-36"/>
          <w:sz w:val="20"/>
        </w:rPr>
        <w:t> </w:t>
      </w:r>
      <w:r>
        <w:rPr>
          <w:sz w:val="20"/>
        </w:rPr>
        <w:t>(TEX.CIV.PRAC. &amp; REM. CODE Chapter</w:t>
      </w:r>
      <w:r>
        <w:rPr>
          <w:spacing w:val="-4"/>
          <w:sz w:val="20"/>
        </w:rPr>
        <w:t> </w:t>
      </w:r>
      <w:r>
        <w:rPr>
          <w:sz w:val="20"/>
        </w:rPr>
        <w:t>101).</w:t>
      </w:r>
    </w:p>
    <w:p>
      <w:pPr>
        <w:pStyle w:val="BodyText"/>
        <w:spacing w:before="4"/>
        <w:rPr>
          <w:sz w:val="19"/>
        </w:rPr>
      </w:pPr>
    </w:p>
    <w:p>
      <w:pPr>
        <w:pStyle w:val="BodyText"/>
        <w:ind w:left="440"/>
      </w:pPr>
      <w:r>
        <w:rPr/>
        <w:t>In addition, the parties agree to the following additional contract provisions:</w:t>
      </w:r>
    </w:p>
    <w:p>
      <w:pPr>
        <w:pStyle w:val="BodyText"/>
        <w:spacing w:before="7"/>
        <w:rPr>
          <w:sz w:val="11"/>
        </w:rPr>
      </w:pPr>
    </w:p>
    <w:p>
      <w:pPr>
        <w:pStyle w:val="BodyText"/>
        <w:spacing w:before="93"/>
        <w:ind w:left="1160" w:right="728" w:hanging="361"/>
      </w:pPr>
      <w:r>
        <w:rPr/>
        <w:drawing>
          <wp:inline distT="0" distB="0" distL="0" distR="0">
            <wp:extent cx="102235" cy="102234"/>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02235" cy="102234"/>
                    </a:xfrm>
                    <a:prstGeom prst="rect">
                      <a:avLst/>
                    </a:prstGeom>
                  </pic:spPr>
                </pic:pic>
              </a:graphicData>
            </a:graphic>
          </wp:inline>
        </w:drawing>
      </w:r>
      <w:r>
        <w:rPr/>
      </w:r>
      <w:r>
        <w:rPr>
          <w:rFonts w:ascii="Times New Roman"/>
        </w:rPr>
        <w:t>   </w:t>
      </w:r>
      <w:r>
        <w:rPr>
          <w:rFonts w:ascii="Times New Roman"/>
          <w:spacing w:val="-1"/>
        </w:rPr>
        <w:t> </w:t>
      </w:r>
      <w:r>
        <w:rPr/>
        <w:t>The Vendor warrants it may lawfully transact business in Texas and if this Agreement has a value of more than $10,000, Vendor does not discriminate on the basis of race, age, sex or any other basis contrary to federal or state law,</w:t>
      </w:r>
      <w:r>
        <w:rPr>
          <w:spacing w:val="-5"/>
        </w:rPr>
        <w:t> </w:t>
      </w:r>
      <w:r>
        <w:rPr/>
        <w:t>and</w:t>
      </w:r>
      <w:r>
        <w:rPr>
          <w:spacing w:val="-4"/>
        </w:rPr>
        <w:t> </w:t>
      </w:r>
      <w:r>
        <w:rPr/>
        <w:t>that</w:t>
      </w:r>
      <w:r>
        <w:rPr>
          <w:spacing w:val="-5"/>
        </w:rPr>
        <w:t> </w:t>
      </w:r>
      <w:r>
        <w:rPr/>
        <w:t>it</w:t>
      </w:r>
      <w:r>
        <w:rPr>
          <w:spacing w:val="-4"/>
        </w:rPr>
        <w:t> </w:t>
      </w:r>
      <w:r>
        <w:rPr/>
        <w:t>will</w:t>
      </w:r>
      <w:r>
        <w:rPr>
          <w:spacing w:val="-6"/>
        </w:rPr>
        <w:t> </w:t>
      </w:r>
      <w:r>
        <w:rPr/>
        <w:t>obtain</w:t>
      </w:r>
      <w:r>
        <w:rPr>
          <w:spacing w:val="-4"/>
        </w:rPr>
        <w:t> </w:t>
      </w:r>
      <w:r>
        <w:rPr/>
        <w:t>all</w:t>
      </w:r>
      <w:r>
        <w:rPr>
          <w:spacing w:val="-5"/>
        </w:rPr>
        <w:t> </w:t>
      </w:r>
      <w:r>
        <w:rPr/>
        <w:t>necessary</w:t>
      </w:r>
      <w:r>
        <w:rPr>
          <w:spacing w:val="-10"/>
        </w:rPr>
        <w:t> </w:t>
      </w:r>
      <w:r>
        <w:rPr/>
        <w:t>approvals/permits</w:t>
      </w:r>
      <w:r>
        <w:rPr>
          <w:spacing w:val="-4"/>
        </w:rPr>
        <w:t> </w:t>
      </w:r>
      <w:r>
        <w:rPr/>
        <w:t>for</w:t>
      </w:r>
      <w:r>
        <w:rPr>
          <w:spacing w:val="-4"/>
        </w:rPr>
        <w:t> </w:t>
      </w:r>
      <w:r>
        <w:rPr/>
        <w:t>performing</w:t>
      </w:r>
      <w:r>
        <w:rPr>
          <w:spacing w:val="-5"/>
        </w:rPr>
        <w:t> </w:t>
      </w:r>
      <w:r>
        <w:rPr/>
        <w:t>under this</w:t>
      </w:r>
      <w:r>
        <w:rPr>
          <w:spacing w:val="-1"/>
        </w:rPr>
        <w:t> </w:t>
      </w:r>
      <w:r>
        <w:rPr/>
        <w:t>Agreement.</w:t>
      </w:r>
    </w:p>
    <w:p>
      <w:pPr>
        <w:pStyle w:val="BodyText"/>
        <w:spacing w:before="10"/>
        <w:rPr>
          <w:sz w:val="10"/>
        </w:rPr>
      </w:pPr>
    </w:p>
    <w:p>
      <w:pPr>
        <w:pStyle w:val="BodyText"/>
        <w:spacing w:before="93"/>
        <w:ind w:left="1160" w:right="709" w:hanging="361"/>
      </w:pPr>
      <w:r>
        <w:rPr/>
        <w:drawing>
          <wp:inline distT="0" distB="0" distL="0" distR="0">
            <wp:extent cx="102235" cy="102235"/>
            <wp:effectExtent l="0" t="0" r="0" b="0"/>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02235" cy="102235"/>
                    </a:xfrm>
                    <a:prstGeom prst="rect">
                      <a:avLst/>
                    </a:prstGeom>
                  </pic:spPr>
                </pic:pic>
              </a:graphicData>
            </a:graphic>
          </wp:inline>
        </w:drawing>
      </w:r>
      <w:r>
        <w:rPr/>
      </w:r>
      <w:r>
        <w:rPr>
          <w:rFonts w:ascii="Times New Roman" w:hAnsi="Times New Roman"/>
        </w:rPr>
        <w:t>   </w:t>
      </w:r>
      <w:r>
        <w:rPr>
          <w:rFonts w:ascii="Times New Roman" w:hAnsi="Times New Roman"/>
          <w:spacing w:val="-1"/>
        </w:rPr>
        <w:t> </w:t>
      </w:r>
      <w:r>
        <w:rPr/>
        <w:t>To</w:t>
      </w:r>
      <w:r>
        <w:rPr>
          <w:spacing w:val="-5"/>
        </w:rPr>
        <w:t> </w:t>
      </w:r>
      <w:r>
        <w:rPr/>
        <w:t>the</w:t>
      </w:r>
      <w:r>
        <w:rPr>
          <w:spacing w:val="-5"/>
        </w:rPr>
        <w:t> </w:t>
      </w:r>
      <w:r>
        <w:rPr/>
        <w:t>extent</w:t>
      </w:r>
      <w:r>
        <w:rPr>
          <w:spacing w:val="-5"/>
        </w:rPr>
        <w:t> </w:t>
      </w:r>
      <w:r>
        <w:rPr/>
        <w:t>the</w:t>
      </w:r>
      <w:r>
        <w:rPr>
          <w:spacing w:val="-5"/>
        </w:rPr>
        <w:t> </w:t>
      </w:r>
      <w:r>
        <w:rPr/>
        <w:t>language</w:t>
      </w:r>
      <w:r>
        <w:rPr>
          <w:spacing w:val="-5"/>
        </w:rPr>
        <w:t> </w:t>
      </w:r>
      <w:r>
        <w:rPr/>
        <w:t>in</w:t>
      </w:r>
      <w:r>
        <w:rPr>
          <w:spacing w:val="-5"/>
        </w:rPr>
        <w:t> </w:t>
      </w:r>
      <w:r>
        <w:rPr/>
        <w:t>this</w:t>
      </w:r>
      <w:r>
        <w:rPr>
          <w:spacing w:val="-4"/>
        </w:rPr>
        <w:t> </w:t>
      </w:r>
      <w:r>
        <w:rPr/>
        <w:t>Addendum is</w:t>
      </w:r>
      <w:r>
        <w:rPr>
          <w:spacing w:val="-4"/>
        </w:rPr>
        <w:t> </w:t>
      </w:r>
      <w:r>
        <w:rPr/>
        <w:t>in</w:t>
      </w:r>
      <w:r>
        <w:rPr>
          <w:spacing w:val="-5"/>
        </w:rPr>
        <w:t> </w:t>
      </w:r>
      <w:r>
        <w:rPr/>
        <w:t>conflict</w:t>
      </w:r>
      <w:r>
        <w:rPr>
          <w:spacing w:val="-5"/>
        </w:rPr>
        <w:t> </w:t>
      </w:r>
      <w:r>
        <w:rPr/>
        <w:t>with</w:t>
      </w:r>
      <w:r>
        <w:rPr>
          <w:spacing w:val="-5"/>
        </w:rPr>
        <w:t> </w:t>
      </w:r>
      <w:r>
        <w:rPr/>
        <w:t>any</w:t>
      </w:r>
      <w:r>
        <w:rPr>
          <w:spacing w:val="-11"/>
        </w:rPr>
        <w:t> </w:t>
      </w:r>
      <w:r>
        <w:rPr/>
        <w:t>language</w:t>
      </w:r>
      <w:r>
        <w:rPr>
          <w:spacing w:val="-5"/>
        </w:rPr>
        <w:t> </w:t>
      </w:r>
      <w:r>
        <w:rPr/>
        <w:t>in the Vendor’s Contract Form, the language in this Addendum will</w:t>
      </w:r>
      <w:r>
        <w:rPr>
          <w:spacing w:val="-35"/>
        </w:rPr>
        <w:t> </w:t>
      </w:r>
      <w:r>
        <w:rPr/>
        <w:t>control.</w:t>
      </w:r>
    </w:p>
    <w:p>
      <w:pPr>
        <w:pStyle w:val="BodyText"/>
        <w:spacing w:before="5"/>
        <w:rPr>
          <w:sz w:val="11"/>
        </w:rPr>
      </w:pPr>
    </w:p>
    <w:p>
      <w:pPr>
        <w:pStyle w:val="BodyText"/>
        <w:spacing w:before="93"/>
        <w:ind w:left="1160" w:right="936" w:hanging="361"/>
      </w:pPr>
      <w:r>
        <w:rPr/>
        <w:drawing>
          <wp:inline distT="0" distB="0" distL="0" distR="0">
            <wp:extent cx="102235" cy="102235"/>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102235" cy="102235"/>
                    </a:xfrm>
                    <a:prstGeom prst="rect">
                      <a:avLst/>
                    </a:prstGeom>
                  </pic:spPr>
                </pic:pic>
              </a:graphicData>
            </a:graphic>
          </wp:inline>
        </w:drawing>
      </w:r>
      <w:r>
        <w:rPr/>
      </w:r>
      <w:r>
        <w:rPr>
          <w:rFonts w:ascii="Times New Roman" w:hAnsi="Times New Roman"/>
        </w:rPr>
        <w:t>   </w:t>
      </w:r>
      <w:r>
        <w:rPr>
          <w:rFonts w:ascii="Times New Roman" w:hAnsi="Times New Roman"/>
          <w:spacing w:val="-1"/>
        </w:rPr>
        <w:t> </w:t>
      </w:r>
      <w:r>
        <w:rPr/>
        <w:t>In</w:t>
      </w:r>
      <w:r>
        <w:rPr>
          <w:spacing w:val="-6"/>
        </w:rPr>
        <w:t> </w:t>
      </w:r>
      <w:r>
        <w:rPr/>
        <w:t>Vendor’s</w:t>
      </w:r>
      <w:r>
        <w:rPr>
          <w:spacing w:val="-4"/>
        </w:rPr>
        <w:t> </w:t>
      </w:r>
      <w:r>
        <w:rPr/>
        <w:t>performance</w:t>
      </w:r>
      <w:r>
        <w:rPr>
          <w:spacing w:val="-5"/>
        </w:rPr>
        <w:t> </w:t>
      </w:r>
      <w:r>
        <w:rPr/>
        <w:t>under</w:t>
      </w:r>
      <w:r>
        <w:rPr>
          <w:spacing w:val="-6"/>
        </w:rPr>
        <w:t> </w:t>
      </w:r>
      <w:r>
        <w:rPr/>
        <w:t>this</w:t>
      </w:r>
      <w:r>
        <w:rPr>
          <w:spacing w:val="-4"/>
        </w:rPr>
        <w:t> </w:t>
      </w:r>
      <w:r>
        <w:rPr/>
        <w:t>Agreement,</w:t>
      </w:r>
      <w:r>
        <w:rPr>
          <w:spacing w:val="-2"/>
        </w:rPr>
        <w:t> </w:t>
      </w:r>
      <w:r>
        <w:rPr/>
        <w:t>the</w:t>
      </w:r>
      <w:r>
        <w:rPr>
          <w:spacing w:val="-6"/>
        </w:rPr>
        <w:t> </w:t>
      </w:r>
      <w:r>
        <w:rPr/>
        <w:t>Vendor</w:t>
      </w:r>
      <w:r>
        <w:rPr>
          <w:spacing w:val="-4"/>
        </w:rPr>
        <w:t> </w:t>
      </w:r>
      <w:r>
        <w:rPr/>
        <w:t>acts</w:t>
      </w:r>
      <w:r>
        <w:rPr>
          <w:spacing w:val="-4"/>
        </w:rPr>
        <w:t> </w:t>
      </w:r>
      <w:r>
        <w:rPr/>
        <w:t>and</w:t>
      </w:r>
      <w:r>
        <w:rPr>
          <w:spacing w:val="-6"/>
        </w:rPr>
        <w:t> </w:t>
      </w:r>
      <w:r>
        <w:rPr/>
        <w:t>will</w:t>
      </w:r>
      <w:r>
        <w:rPr>
          <w:spacing w:val="-6"/>
        </w:rPr>
        <w:t> </w:t>
      </w:r>
      <w:r>
        <w:rPr/>
        <w:t>act as</w:t>
      </w:r>
      <w:r>
        <w:rPr>
          <w:spacing w:val="-3"/>
        </w:rPr>
        <w:t> </w:t>
      </w:r>
      <w:r>
        <w:rPr/>
        <w:t>an</w:t>
      </w:r>
      <w:r>
        <w:rPr>
          <w:spacing w:val="-4"/>
        </w:rPr>
        <w:t> </w:t>
      </w:r>
      <w:r>
        <w:rPr/>
        <w:t>independent</w:t>
      </w:r>
      <w:r>
        <w:rPr>
          <w:spacing w:val="-4"/>
        </w:rPr>
        <w:t> </w:t>
      </w:r>
      <w:r>
        <w:rPr/>
        <w:t>contractor</w:t>
      </w:r>
      <w:r>
        <w:rPr>
          <w:spacing w:val="-4"/>
        </w:rPr>
        <w:t> </w:t>
      </w:r>
      <w:r>
        <w:rPr/>
        <w:t>and</w:t>
      </w:r>
      <w:r>
        <w:rPr>
          <w:spacing w:val="-5"/>
        </w:rPr>
        <w:t> </w:t>
      </w:r>
      <w:r>
        <w:rPr/>
        <w:t>not</w:t>
      </w:r>
      <w:r>
        <w:rPr>
          <w:spacing w:val="-4"/>
        </w:rPr>
        <w:t> </w:t>
      </w:r>
      <w:r>
        <w:rPr/>
        <w:t>as</w:t>
      </w:r>
      <w:r>
        <w:rPr>
          <w:spacing w:val="-3"/>
        </w:rPr>
        <w:t> </w:t>
      </w:r>
      <w:r>
        <w:rPr/>
        <w:t>an</w:t>
      </w:r>
      <w:r>
        <w:rPr>
          <w:spacing w:val="-3"/>
        </w:rPr>
        <w:t> </w:t>
      </w:r>
      <w:r>
        <w:rPr/>
        <w:t>agent</w:t>
      </w:r>
      <w:r>
        <w:rPr>
          <w:spacing w:val="-4"/>
        </w:rPr>
        <w:t> </w:t>
      </w:r>
      <w:r>
        <w:rPr/>
        <w:t>or</w:t>
      </w:r>
      <w:r>
        <w:rPr>
          <w:spacing w:val="-3"/>
        </w:rPr>
        <w:t> </w:t>
      </w:r>
      <w:r>
        <w:rPr/>
        <w:t>employee</w:t>
      </w:r>
      <w:r>
        <w:rPr>
          <w:spacing w:val="-4"/>
        </w:rPr>
        <w:t> </w:t>
      </w:r>
      <w:r>
        <w:rPr/>
        <w:t>of</w:t>
      </w:r>
      <w:r>
        <w:rPr>
          <w:spacing w:val="-2"/>
        </w:rPr>
        <w:t> </w:t>
      </w:r>
      <w:r>
        <w:rPr/>
        <w:t>TAMUK.</w:t>
      </w:r>
    </w:p>
    <w:p>
      <w:pPr>
        <w:pStyle w:val="BodyText"/>
        <w:spacing w:before="4"/>
        <w:rPr>
          <w:sz w:val="11"/>
        </w:rPr>
      </w:pPr>
    </w:p>
    <w:p>
      <w:pPr>
        <w:pStyle w:val="BodyText"/>
        <w:spacing w:before="93"/>
        <w:ind w:left="1160" w:right="757" w:hanging="361"/>
      </w:pPr>
      <w:r>
        <w:rPr/>
        <w:drawing>
          <wp:inline distT="0" distB="0" distL="0" distR="0">
            <wp:extent cx="102235" cy="102235"/>
            <wp:effectExtent l="0" t="0" r="0" b="0"/>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102235" cy="102235"/>
                    </a:xfrm>
                    <a:prstGeom prst="rect">
                      <a:avLst/>
                    </a:prstGeom>
                  </pic:spPr>
                </pic:pic>
              </a:graphicData>
            </a:graphic>
          </wp:inline>
        </w:drawing>
      </w:r>
      <w:r>
        <w:rPr/>
      </w:r>
      <w:r>
        <w:rPr>
          <w:rFonts w:ascii="Times New Roman" w:hAnsi="Times New Roman"/>
        </w:rPr>
        <w:t>   </w:t>
      </w:r>
      <w:r>
        <w:rPr>
          <w:rFonts w:ascii="Times New Roman" w:hAnsi="Times New Roman"/>
          <w:spacing w:val="-1"/>
        </w:rPr>
        <w:t> </w:t>
      </w:r>
      <w:r>
        <w:rPr/>
        <w:t>This Addendum, the purchase order and the Vendor’s Contract Form constitute</w:t>
      </w:r>
      <w:r>
        <w:rPr>
          <w:spacing w:val="-5"/>
        </w:rPr>
        <w:t> </w:t>
      </w:r>
      <w:r>
        <w:rPr/>
        <w:t>the</w:t>
      </w:r>
      <w:r>
        <w:rPr>
          <w:spacing w:val="-5"/>
        </w:rPr>
        <w:t> </w:t>
      </w:r>
      <w:r>
        <w:rPr/>
        <w:t>entire</w:t>
      </w:r>
      <w:r>
        <w:rPr>
          <w:spacing w:val="-5"/>
        </w:rPr>
        <w:t> </w:t>
      </w:r>
      <w:r>
        <w:rPr/>
        <w:t>Agreement</w:t>
      </w:r>
      <w:r>
        <w:rPr>
          <w:spacing w:val="-5"/>
        </w:rPr>
        <w:t> </w:t>
      </w:r>
      <w:r>
        <w:rPr/>
        <w:t>between</w:t>
      </w:r>
      <w:r>
        <w:rPr>
          <w:spacing w:val="-5"/>
        </w:rPr>
        <w:t> </w:t>
      </w:r>
      <w:r>
        <w:rPr/>
        <w:t>the</w:t>
      </w:r>
      <w:r>
        <w:rPr>
          <w:spacing w:val="-5"/>
        </w:rPr>
        <w:t> </w:t>
      </w:r>
      <w:r>
        <w:rPr/>
        <w:t>parties</w:t>
      </w:r>
      <w:r>
        <w:rPr>
          <w:spacing w:val="-4"/>
        </w:rPr>
        <w:t> </w:t>
      </w:r>
      <w:r>
        <w:rPr/>
        <w:t>and</w:t>
      </w:r>
      <w:r>
        <w:rPr>
          <w:spacing w:val="-5"/>
        </w:rPr>
        <w:t> </w:t>
      </w:r>
      <w:r>
        <w:rPr/>
        <w:t>may</w:t>
      </w:r>
      <w:r>
        <w:rPr>
          <w:spacing w:val="-10"/>
        </w:rPr>
        <w:t> </w:t>
      </w:r>
      <w:r>
        <w:rPr/>
        <w:t>not</w:t>
      </w:r>
      <w:r>
        <w:rPr>
          <w:spacing w:val="-5"/>
        </w:rPr>
        <w:t> </w:t>
      </w:r>
      <w:r>
        <w:rPr/>
        <w:t>be</w:t>
      </w:r>
      <w:r>
        <w:rPr>
          <w:spacing w:val="-5"/>
        </w:rPr>
        <w:t> </w:t>
      </w:r>
      <w:r>
        <w:rPr/>
        <w:t>waived</w:t>
      </w:r>
      <w:r>
        <w:rPr>
          <w:spacing w:val="-5"/>
        </w:rPr>
        <w:t> </w:t>
      </w:r>
      <w:r>
        <w:rPr/>
        <w:t>or modified except by written agreement between the</w:t>
      </w:r>
      <w:r>
        <w:rPr>
          <w:spacing w:val="-19"/>
        </w:rPr>
        <w:t> </w:t>
      </w:r>
      <w:r>
        <w:rPr/>
        <w:t>parties.</w:t>
      </w:r>
    </w:p>
    <w:p>
      <w:pPr>
        <w:pStyle w:val="BodyText"/>
        <w:spacing w:before="3"/>
        <w:rPr>
          <w:sz w:val="11"/>
        </w:rPr>
      </w:pPr>
    </w:p>
    <w:p>
      <w:pPr>
        <w:pStyle w:val="BodyText"/>
        <w:spacing w:before="93"/>
        <w:ind w:left="1160" w:right="816" w:hanging="361"/>
      </w:pPr>
      <w:r>
        <w:rPr/>
        <w:drawing>
          <wp:inline distT="0" distB="0" distL="0" distR="0">
            <wp:extent cx="102235" cy="102235"/>
            <wp:effectExtent l="0" t="0" r="0" b="0"/>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102235" cy="102235"/>
                    </a:xfrm>
                    <a:prstGeom prst="rect">
                      <a:avLst/>
                    </a:prstGeom>
                  </pic:spPr>
                </pic:pic>
              </a:graphicData>
            </a:graphic>
          </wp:inline>
        </w:drawing>
      </w:r>
      <w:r>
        <w:rPr/>
      </w:r>
      <w:r>
        <w:rPr>
          <w:rFonts w:ascii="Times New Roman" w:hAnsi="Times New Roman"/>
        </w:rPr>
        <w:t>   </w:t>
      </w:r>
      <w:r>
        <w:rPr>
          <w:rFonts w:ascii="Times New Roman" w:hAnsi="Times New Roman"/>
          <w:spacing w:val="-1"/>
        </w:rPr>
        <w:t> </w:t>
      </w:r>
      <w:r>
        <w:rPr/>
        <w:t>If a court of competent jurisdiction finds any provision of this Addendum, the purchase</w:t>
      </w:r>
      <w:r>
        <w:rPr>
          <w:spacing w:val="-8"/>
        </w:rPr>
        <w:t> </w:t>
      </w:r>
      <w:r>
        <w:rPr/>
        <w:t>order,</w:t>
      </w:r>
      <w:r>
        <w:rPr>
          <w:spacing w:val="-8"/>
        </w:rPr>
        <w:t> </w:t>
      </w:r>
      <w:r>
        <w:rPr/>
        <w:t>and</w:t>
      </w:r>
      <w:r>
        <w:rPr>
          <w:spacing w:val="-8"/>
        </w:rPr>
        <w:t> </w:t>
      </w:r>
      <w:r>
        <w:rPr/>
        <w:t>the</w:t>
      </w:r>
      <w:r>
        <w:rPr>
          <w:spacing w:val="-8"/>
        </w:rPr>
        <w:t> </w:t>
      </w:r>
      <w:r>
        <w:rPr/>
        <w:t>Vendor’s</w:t>
      </w:r>
      <w:r>
        <w:rPr>
          <w:spacing w:val="-7"/>
        </w:rPr>
        <w:t> </w:t>
      </w:r>
      <w:r>
        <w:rPr/>
        <w:t>Contract</w:t>
      </w:r>
      <w:r>
        <w:rPr>
          <w:spacing w:val="-7"/>
        </w:rPr>
        <w:t> </w:t>
      </w:r>
      <w:r>
        <w:rPr/>
        <w:t>Form</w:t>
      </w:r>
      <w:r>
        <w:rPr>
          <w:spacing w:val="-4"/>
        </w:rPr>
        <w:t> </w:t>
      </w:r>
      <w:r>
        <w:rPr/>
        <w:t>illegal,</w:t>
      </w:r>
      <w:r>
        <w:rPr>
          <w:spacing w:val="-7"/>
        </w:rPr>
        <w:t> </w:t>
      </w:r>
      <w:r>
        <w:rPr/>
        <w:t>ineffective</w:t>
      </w:r>
      <w:r>
        <w:rPr>
          <w:spacing w:val="-8"/>
        </w:rPr>
        <w:t> </w:t>
      </w:r>
      <w:r>
        <w:rPr/>
        <w:t>or</w:t>
      </w:r>
      <w:r>
        <w:rPr>
          <w:spacing w:val="-7"/>
        </w:rPr>
        <w:t> </w:t>
      </w:r>
      <w:r>
        <w:rPr/>
        <w:t>beyond the contractual authority of either party, then the offending provision will be stricken and the remainder of the agreement between the parties will remain in</w:t>
      </w:r>
      <w:r>
        <w:rPr>
          <w:spacing w:val="-1"/>
        </w:rPr>
        <w:t> </w:t>
      </w:r>
      <w:r>
        <w:rPr/>
        <w:t>effect.</w:t>
      </w:r>
    </w:p>
    <w:p>
      <w:pPr>
        <w:pStyle w:val="BodyText"/>
        <w:spacing w:before="6"/>
        <w:rPr>
          <w:sz w:val="11"/>
        </w:rPr>
      </w:pPr>
    </w:p>
    <w:p>
      <w:pPr>
        <w:pStyle w:val="BodyText"/>
        <w:spacing w:before="93"/>
        <w:ind w:left="1160" w:right="787" w:hanging="361"/>
      </w:pPr>
      <w:r>
        <w:rPr/>
        <w:drawing>
          <wp:inline distT="0" distB="0" distL="0" distR="0">
            <wp:extent cx="102235" cy="102235"/>
            <wp:effectExtent l="0" t="0" r="0" b="0"/>
            <wp:docPr id="13" name="image2.png" descr=""/>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102235" cy="102235"/>
                    </a:xfrm>
                    <a:prstGeom prst="rect">
                      <a:avLst/>
                    </a:prstGeom>
                  </pic:spPr>
                </pic:pic>
              </a:graphicData>
            </a:graphic>
          </wp:inline>
        </w:drawing>
      </w:r>
      <w:r>
        <w:rPr/>
      </w:r>
      <w:r>
        <w:rPr>
          <w:rFonts w:ascii="Times New Roman" w:hAnsi="Times New Roman"/>
        </w:rPr>
        <w:t>   </w:t>
      </w:r>
      <w:r>
        <w:rPr>
          <w:rFonts w:ascii="Times New Roman" w:hAnsi="Times New Roman"/>
          <w:spacing w:val="-1"/>
        </w:rPr>
        <w:t> </w:t>
      </w:r>
      <w:r>
        <w:rPr>
          <w:rFonts w:ascii="Times New Roman" w:hAnsi="Times New Roman"/>
          <w:b/>
        </w:rPr>
        <w:t>"</w:t>
      </w:r>
      <w:r>
        <w:rPr>
          <w:b/>
        </w:rPr>
        <w:t>The dispute resolution” </w:t>
      </w:r>
      <w:r>
        <w:rPr/>
        <w:t>process provided for in Chapter 2260 of the Government Code shall be used, as further described herein, by Texas A&amp;M University-Kingsville</w:t>
      </w:r>
      <w:r>
        <w:rPr>
          <w:spacing w:val="-7"/>
        </w:rPr>
        <w:t> </w:t>
      </w:r>
      <w:r>
        <w:rPr/>
        <w:t>and</w:t>
      </w:r>
      <w:r>
        <w:rPr>
          <w:spacing w:val="-6"/>
        </w:rPr>
        <w:t> </w:t>
      </w:r>
      <w:r>
        <w:rPr/>
        <w:t>to</w:t>
      </w:r>
      <w:r>
        <w:rPr>
          <w:spacing w:val="-6"/>
        </w:rPr>
        <w:t> </w:t>
      </w:r>
      <w:r>
        <w:rPr/>
        <w:t>attempt</w:t>
      </w:r>
      <w:r>
        <w:rPr>
          <w:spacing w:val="-6"/>
        </w:rPr>
        <w:t> </w:t>
      </w:r>
      <w:r>
        <w:rPr/>
        <w:t>to</w:t>
      </w:r>
      <w:r>
        <w:rPr>
          <w:spacing w:val="-6"/>
        </w:rPr>
        <w:t> </w:t>
      </w:r>
      <w:r>
        <w:rPr/>
        <w:t>resolve</w:t>
      </w:r>
      <w:r>
        <w:rPr>
          <w:spacing w:val="-7"/>
        </w:rPr>
        <w:t> </w:t>
      </w:r>
      <w:r>
        <w:rPr/>
        <w:t>any</w:t>
      </w:r>
      <w:r>
        <w:rPr>
          <w:spacing w:val="-11"/>
        </w:rPr>
        <w:t> </w:t>
      </w:r>
      <w:r>
        <w:rPr/>
        <w:t>claim</w:t>
      </w:r>
      <w:r>
        <w:rPr>
          <w:spacing w:val="-3"/>
        </w:rPr>
        <w:t> </w:t>
      </w:r>
      <w:r>
        <w:rPr/>
        <w:t>for</w:t>
      </w:r>
      <w:r>
        <w:rPr>
          <w:spacing w:val="-5"/>
        </w:rPr>
        <w:t> </w:t>
      </w:r>
      <w:r>
        <w:rPr/>
        <w:t>breach</w:t>
      </w:r>
      <w:r>
        <w:rPr>
          <w:spacing w:val="-6"/>
        </w:rPr>
        <w:t> </w:t>
      </w:r>
      <w:r>
        <w:rPr/>
        <w:t>of</w:t>
      </w:r>
      <w:r>
        <w:rPr>
          <w:spacing w:val="-4"/>
        </w:rPr>
        <w:t> </w:t>
      </w:r>
      <w:r>
        <w:rPr/>
        <w:t>contract made by the</w:t>
      </w:r>
      <w:r>
        <w:rPr>
          <w:spacing w:val="-10"/>
        </w:rPr>
        <w:t> </w:t>
      </w:r>
      <w:r>
        <w:rPr/>
        <w:t>contractor:</w:t>
      </w:r>
    </w:p>
    <w:p>
      <w:pPr>
        <w:pStyle w:val="BodyText"/>
        <w:spacing w:before="3"/>
        <w:rPr>
          <w:sz w:val="19"/>
        </w:rPr>
      </w:pPr>
    </w:p>
    <w:p>
      <w:pPr>
        <w:pStyle w:val="BodyText"/>
        <w:ind w:left="1160" w:right="437"/>
      </w:pPr>
      <w:r>
        <w:rPr/>
        <w:t>A claim for breach of this contract that the parties cannot resolve in the ordinary course of business shall be submitted to the negotiation process provided in Chapter 2260, subchapter B, of the Government Code. To initiate the process, the contractor shall submit written notice, as required by subchapter B, to the Director of Procurement and General Services. Said notice shall specifically state that the provisions of Chapter 2260, subchapter B, are being invoked. A copy of the notice shall also be given to all other representatives of Texas A&amp;M</w:t>
      </w:r>
    </w:p>
    <w:p>
      <w:pPr>
        <w:pStyle w:val="BodyText"/>
        <w:spacing w:line="237" w:lineRule="auto"/>
        <w:ind w:left="1160" w:right="437"/>
      </w:pPr>
      <w:r>
        <w:rPr/>
        <w:t>University-Kingsville and the contractor otherwise entitled to notice under the parties’ contract. Compliance by the contractor with subchapter B is a condition precedent to the filing of a contested case proceeding under Chapter 2260, subchapter C, of the Government Code.</w:t>
      </w:r>
    </w:p>
    <w:p>
      <w:pPr>
        <w:pStyle w:val="BodyText"/>
        <w:spacing w:before="11"/>
        <w:rPr>
          <w:sz w:val="18"/>
        </w:rPr>
      </w:pPr>
    </w:p>
    <w:p>
      <w:pPr>
        <w:pStyle w:val="BodyText"/>
        <w:spacing w:line="237" w:lineRule="auto"/>
        <w:ind w:left="1160" w:right="604"/>
      </w:pPr>
      <w:r>
        <w:rPr/>
        <w:t>The contested case process provided in Chapter 2260, subchapter C, of the Government Code is the contractor’s sole and exclusive process for seeking a remedy for any and all alleged breaches of contract by Texas A&amp;M University- Kingsville if the parties are unable to resolve their disputes under subparagraph</w:t>
      </w:r>
    </w:p>
    <w:p>
      <w:pPr>
        <w:spacing w:after="0" w:line="237" w:lineRule="auto"/>
        <w:sectPr>
          <w:pgSz w:w="12240" w:h="15840"/>
          <w:pgMar w:top="1500" w:bottom="280" w:left="1720" w:right="1720"/>
        </w:sectPr>
      </w:pPr>
    </w:p>
    <w:p>
      <w:pPr>
        <w:pStyle w:val="BodyText"/>
        <w:spacing w:before="77"/>
        <w:ind w:left="1160"/>
      </w:pPr>
      <w:r>
        <w:rPr/>
        <w:t>(A) of this paragraph.</w:t>
      </w:r>
    </w:p>
    <w:p>
      <w:pPr>
        <w:pStyle w:val="BodyText"/>
        <w:spacing w:before="8"/>
        <w:rPr>
          <w:sz w:val="19"/>
        </w:rPr>
      </w:pPr>
    </w:p>
    <w:p>
      <w:pPr>
        <w:pStyle w:val="BodyText"/>
        <w:ind w:left="1160" w:right="278"/>
      </w:pPr>
      <w:r>
        <w:rPr/>
        <w:t>Compliance with the contested case process provided in subchapter C is a condition precedent to seeking consent to sue from the Legislature under Chapter 107 of the Civil Practices and Remedies Code. Neither the execution of this contract by Texas A&amp;M University-Kingsville nor any other conduct of any representative of Texas A&amp;M University-Kingsville relating to the contract shall be considered a waiver of sovereign immunity to suit.</w:t>
      </w:r>
    </w:p>
    <w:p>
      <w:pPr>
        <w:pStyle w:val="BodyText"/>
        <w:spacing w:before="9"/>
        <w:rPr>
          <w:sz w:val="18"/>
        </w:rPr>
      </w:pPr>
    </w:p>
    <w:p>
      <w:pPr>
        <w:pStyle w:val="BodyText"/>
        <w:ind w:left="1160" w:right="437"/>
      </w:pPr>
      <w:r>
        <w:rPr/>
        <w:t>The submission, processing and resolution of the contractor’s claim is governed by the published rules adopted, by the Attorney General pursuant to Chapter 2260, as currently effective, hereafter enacted or subsequently amended.</w:t>
      </w:r>
    </w:p>
    <w:p>
      <w:pPr>
        <w:pStyle w:val="BodyText"/>
        <w:spacing w:before="3"/>
        <w:rPr>
          <w:sz w:val="19"/>
        </w:rPr>
      </w:pPr>
    </w:p>
    <w:p>
      <w:pPr>
        <w:pStyle w:val="BodyText"/>
        <w:spacing w:before="1"/>
        <w:ind w:left="1160" w:right="437"/>
      </w:pPr>
      <w:r>
        <w:rPr/>
        <w:t>Neither the occurrence of an event nor the pendency of a claim constitutes grounds for the suspension of performance by the contractor, in whole or in part.</w:t>
      </w:r>
    </w:p>
    <w:p>
      <w:pPr>
        <w:pStyle w:val="BodyText"/>
        <w:spacing w:before="6"/>
        <w:rPr>
          <w:sz w:val="19"/>
        </w:rPr>
      </w:pPr>
    </w:p>
    <w:p>
      <w:pPr>
        <w:pStyle w:val="BodyText"/>
        <w:ind w:left="1160" w:right="604"/>
      </w:pPr>
      <w:r>
        <w:rPr/>
        <w:t>The designated individual responsible on behalf of Texas A&amp;M University- Kingsville for examining any claim or counterclaim and conducting any negotiations related thereto as required under §2260.052 of H.B. of the 76</w:t>
      </w:r>
      <w:r>
        <w:rPr>
          <w:vertAlign w:val="superscript"/>
        </w:rPr>
        <w:t>th</w:t>
      </w:r>
      <w:r>
        <w:rPr>
          <w:vertAlign w:val="baseline"/>
        </w:rPr>
        <w:t> Texas Legislature shall be Ralph Stephens, Director of Procurement &amp; General Services.</w:t>
      </w:r>
    </w:p>
    <w:p>
      <w:pPr>
        <w:pStyle w:val="BodyText"/>
        <w:spacing w:before="11"/>
        <w:rPr>
          <w:sz w:val="18"/>
        </w:rPr>
      </w:pPr>
    </w:p>
    <w:p>
      <w:pPr>
        <w:pStyle w:val="BodyText"/>
        <w:ind w:left="440" w:right="748" w:firstLine="276"/>
      </w:pPr>
      <w:r>
        <w:rPr/>
        <w:t>IN WITNESS WHEREOF, the parties have caused this Addendum to be duly executed, intending thereby to be legally bound.</w:t>
      </w:r>
    </w:p>
    <w:p>
      <w:pPr>
        <w:pStyle w:val="BodyText"/>
        <w:rPr>
          <w:sz w:val="22"/>
        </w:rPr>
      </w:pPr>
    </w:p>
    <w:p>
      <w:pPr>
        <w:pStyle w:val="BodyText"/>
        <w:spacing w:before="10"/>
        <w:rPr>
          <w:sz w:val="17"/>
        </w:rPr>
      </w:pPr>
    </w:p>
    <w:p>
      <w:pPr>
        <w:pStyle w:val="Heading1"/>
        <w:tabs>
          <w:tab w:pos="4926" w:val="left" w:leader="none"/>
        </w:tabs>
        <w:spacing w:before="1"/>
      </w:pPr>
      <w:r>
        <w:rPr/>
        <w:t>For</w:t>
      </w:r>
      <w:r>
        <w:rPr>
          <w:spacing w:val="-4"/>
        </w:rPr>
        <w:t> </w:t>
      </w:r>
      <w:r>
        <w:rPr/>
        <w:t>the</w:t>
      </w:r>
      <w:r>
        <w:rPr>
          <w:spacing w:val="-3"/>
        </w:rPr>
        <w:t> </w:t>
      </w:r>
      <w:r>
        <w:rPr/>
        <w:t>Vendor:</w:t>
        <w:tab/>
        <w:t>TAMUK:</w:t>
      </w:r>
    </w:p>
    <w:p>
      <w:pPr>
        <w:pStyle w:val="BodyText"/>
        <w:spacing w:before="2"/>
        <w:rPr>
          <w:b/>
          <w:sz w:val="13"/>
        </w:rPr>
      </w:pPr>
    </w:p>
    <w:p>
      <w:pPr>
        <w:tabs>
          <w:tab w:pos="3955" w:val="left" w:leader="none"/>
          <w:tab w:pos="4206" w:val="left" w:leader="none"/>
          <w:tab w:pos="7478" w:val="left" w:leader="none"/>
        </w:tabs>
        <w:spacing w:before="93"/>
        <w:ind w:left="440" w:right="0" w:firstLine="0"/>
        <w:jc w:val="left"/>
        <w:rPr>
          <w:b/>
          <w:sz w:val="20"/>
        </w:rPr>
      </w:pPr>
      <w:r>
        <w:rPr>
          <w:b/>
          <w:sz w:val="20"/>
        </w:rPr>
        <w:t>By:</w:t>
      </w:r>
      <w:r>
        <w:rPr>
          <w:b/>
          <w:sz w:val="20"/>
          <w:u w:val="single"/>
        </w:rPr>
        <w:t> </w:t>
        <w:tab/>
      </w:r>
      <w:r>
        <w:rPr>
          <w:b/>
          <w:sz w:val="20"/>
        </w:rPr>
        <w:tab/>
        <w:t>by: </w:t>
      </w:r>
      <w:r>
        <w:rPr>
          <w:b/>
          <w:w w:val="99"/>
          <w:sz w:val="20"/>
          <w:u w:val="single"/>
        </w:rPr>
        <w:t> </w:t>
      </w:r>
      <w:r>
        <w:rPr>
          <w:b/>
          <w:sz w:val="20"/>
          <w:u w:val="single"/>
        </w:rPr>
        <w:tab/>
      </w:r>
    </w:p>
    <w:p>
      <w:pPr>
        <w:pStyle w:val="BodyText"/>
        <w:spacing w:before="4"/>
        <w:rPr>
          <w:b/>
          <w:sz w:val="13"/>
        </w:rPr>
      </w:pPr>
    </w:p>
    <w:p>
      <w:pPr>
        <w:tabs>
          <w:tab w:pos="3914" w:val="left" w:leader="none"/>
          <w:tab w:pos="4206" w:val="left" w:leader="none"/>
          <w:tab w:pos="7459" w:val="left" w:leader="none"/>
        </w:tabs>
        <w:spacing w:before="92"/>
        <w:ind w:left="440" w:right="0" w:firstLine="0"/>
        <w:jc w:val="left"/>
        <w:rPr>
          <w:b/>
          <w:sz w:val="20"/>
        </w:rPr>
      </w:pPr>
      <w:r>
        <w:rPr>
          <w:b/>
          <w:sz w:val="20"/>
        </w:rPr>
        <w:t>Name:</w:t>
      </w:r>
      <w:r>
        <w:rPr>
          <w:b/>
          <w:sz w:val="20"/>
          <w:u w:val="single"/>
        </w:rPr>
        <w:t> </w:t>
        <w:tab/>
      </w:r>
      <w:r>
        <w:rPr>
          <w:b/>
          <w:sz w:val="20"/>
        </w:rPr>
        <w:tab/>
        <w:t>Name: </w:t>
      </w:r>
      <w:r>
        <w:rPr>
          <w:b/>
          <w:w w:val="99"/>
          <w:sz w:val="20"/>
          <w:u w:val="single"/>
        </w:rPr>
        <w:t> </w:t>
      </w:r>
      <w:r>
        <w:rPr>
          <w:b/>
          <w:sz w:val="20"/>
          <w:u w:val="single"/>
        </w:rPr>
        <w:tab/>
      </w:r>
    </w:p>
    <w:p>
      <w:pPr>
        <w:pStyle w:val="BodyText"/>
        <w:spacing w:before="3"/>
        <w:rPr>
          <w:b/>
          <w:sz w:val="13"/>
        </w:rPr>
      </w:pPr>
    </w:p>
    <w:p>
      <w:pPr>
        <w:tabs>
          <w:tab w:pos="3894" w:val="left" w:leader="none"/>
          <w:tab w:pos="4206" w:val="left" w:leader="none"/>
          <w:tab w:pos="7440" w:val="left" w:leader="none"/>
        </w:tabs>
        <w:spacing w:before="93"/>
        <w:ind w:left="440" w:right="0" w:firstLine="0"/>
        <w:jc w:val="left"/>
        <w:rPr>
          <w:b/>
          <w:sz w:val="20"/>
        </w:rPr>
      </w:pPr>
      <w:r>
        <w:rPr>
          <w:b/>
          <w:sz w:val="20"/>
        </w:rPr>
        <w:t>Title:</w:t>
      </w:r>
      <w:r>
        <w:rPr>
          <w:b/>
          <w:sz w:val="20"/>
          <w:u w:val="single"/>
        </w:rPr>
        <w:t> </w:t>
        <w:tab/>
      </w:r>
      <w:r>
        <w:rPr>
          <w:b/>
          <w:sz w:val="20"/>
        </w:rPr>
        <w:tab/>
        <w:t>Title:</w:t>
      </w:r>
      <w:r>
        <w:rPr>
          <w:b/>
          <w:spacing w:val="-1"/>
          <w:sz w:val="20"/>
        </w:rPr>
        <w:t> </w:t>
      </w:r>
      <w:r>
        <w:rPr>
          <w:b/>
          <w:w w:val="99"/>
          <w:sz w:val="20"/>
          <w:u w:val="single"/>
        </w:rPr>
        <w:t> </w:t>
      </w:r>
      <w:r>
        <w:rPr>
          <w:b/>
          <w:sz w:val="20"/>
          <w:u w:val="single"/>
        </w:rPr>
        <w:tab/>
      </w:r>
    </w:p>
    <w:p>
      <w:pPr>
        <w:pStyle w:val="BodyText"/>
        <w:spacing w:before="3"/>
        <w:rPr>
          <w:b/>
          <w:sz w:val="13"/>
        </w:rPr>
      </w:pPr>
    </w:p>
    <w:p>
      <w:pPr>
        <w:tabs>
          <w:tab w:pos="3913" w:val="left" w:leader="none"/>
          <w:tab w:pos="4206" w:val="left" w:leader="none"/>
          <w:tab w:pos="7460" w:val="left" w:leader="none"/>
        </w:tabs>
        <w:spacing w:before="93"/>
        <w:ind w:left="440" w:right="0" w:firstLine="0"/>
        <w:jc w:val="left"/>
        <w:rPr>
          <w:b/>
          <w:sz w:val="20"/>
        </w:rPr>
      </w:pPr>
      <w:r>
        <w:rPr>
          <w:b/>
          <w:sz w:val="20"/>
        </w:rPr>
        <w:t>Date:</w:t>
      </w:r>
      <w:r>
        <w:rPr>
          <w:b/>
          <w:sz w:val="20"/>
          <w:u w:val="single"/>
        </w:rPr>
        <w:t> </w:t>
        <w:tab/>
      </w:r>
      <w:r>
        <w:rPr>
          <w:b/>
          <w:sz w:val="20"/>
        </w:rPr>
        <w:tab/>
        <w:t>Date:</w:t>
      </w:r>
      <w:r>
        <w:rPr>
          <w:b/>
          <w:spacing w:val="-1"/>
          <w:sz w:val="20"/>
        </w:rPr>
        <w:t> </w:t>
      </w:r>
      <w:r>
        <w:rPr>
          <w:b/>
          <w:w w:val="99"/>
          <w:sz w:val="20"/>
          <w:u w:val="single"/>
        </w:rPr>
        <w:t> </w:t>
      </w:r>
      <w:r>
        <w:rPr>
          <w:b/>
          <w:sz w:val="20"/>
          <w:u w:val="single"/>
        </w:rPr>
        <w:tab/>
      </w:r>
    </w:p>
    <w:sectPr>
      <w:pgSz w:w="12240" w:h="15840"/>
      <w:pgMar w:top="136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41" w:hanging="201"/>
        <w:jc w:val="left"/>
      </w:pPr>
      <w:rPr>
        <w:rFonts w:hint="default" w:ascii="Times New Roman" w:hAnsi="Times New Roman" w:eastAsia="Times New Roman" w:cs="Times New Roman"/>
        <w:spacing w:val="0"/>
        <w:w w:val="99"/>
        <w:sz w:val="20"/>
        <w:szCs w:val="20"/>
        <w:lang w:val="en-us" w:eastAsia="en-us" w:bidi="en-us"/>
      </w:rPr>
    </w:lvl>
    <w:lvl w:ilvl="1">
      <w:start w:val="1"/>
      <w:numFmt w:val="decimal"/>
      <w:lvlText w:val="%2)"/>
      <w:lvlJc w:val="left"/>
      <w:pPr>
        <w:ind w:left="2169" w:hanging="361"/>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897" w:hanging="361"/>
      </w:pPr>
      <w:rPr>
        <w:rFonts w:hint="default"/>
        <w:lang w:val="en-us" w:eastAsia="en-us" w:bidi="en-us"/>
      </w:rPr>
    </w:lvl>
    <w:lvl w:ilvl="3">
      <w:start w:val="0"/>
      <w:numFmt w:val="bullet"/>
      <w:lvlText w:val="•"/>
      <w:lvlJc w:val="left"/>
      <w:pPr>
        <w:ind w:left="3635" w:hanging="361"/>
      </w:pPr>
      <w:rPr>
        <w:rFonts w:hint="default"/>
        <w:lang w:val="en-us" w:eastAsia="en-us" w:bidi="en-us"/>
      </w:rPr>
    </w:lvl>
    <w:lvl w:ilvl="4">
      <w:start w:val="0"/>
      <w:numFmt w:val="bullet"/>
      <w:lvlText w:val="•"/>
      <w:lvlJc w:val="left"/>
      <w:pPr>
        <w:ind w:left="4373" w:hanging="361"/>
      </w:pPr>
      <w:rPr>
        <w:rFonts w:hint="default"/>
        <w:lang w:val="en-us" w:eastAsia="en-us" w:bidi="en-us"/>
      </w:rPr>
    </w:lvl>
    <w:lvl w:ilvl="5">
      <w:start w:val="0"/>
      <w:numFmt w:val="bullet"/>
      <w:lvlText w:val="•"/>
      <w:lvlJc w:val="left"/>
      <w:pPr>
        <w:ind w:left="5111" w:hanging="361"/>
      </w:pPr>
      <w:rPr>
        <w:rFonts w:hint="default"/>
        <w:lang w:val="en-us" w:eastAsia="en-us" w:bidi="en-us"/>
      </w:rPr>
    </w:lvl>
    <w:lvl w:ilvl="6">
      <w:start w:val="0"/>
      <w:numFmt w:val="bullet"/>
      <w:lvlText w:val="•"/>
      <w:lvlJc w:val="left"/>
      <w:pPr>
        <w:ind w:left="5848" w:hanging="361"/>
      </w:pPr>
      <w:rPr>
        <w:rFonts w:hint="default"/>
        <w:lang w:val="en-us" w:eastAsia="en-us" w:bidi="en-us"/>
      </w:rPr>
    </w:lvl>
    <w:lvl w:ilvl="7">
      <w:start w:val="0"/>
      <w:numFmt w:val="bullet"/>
      <w:lvlText w:val="•"/>
      <w:lvlJc w:val="left"/>
      <w:pPr>
        <w:ind w:left="6586" w:hanging="361"/>
      </w:pPr>
      <w:rPr>
        <w:rFonts w:hint="default"/>
        <w:lang w:val="en-us" w:eastAsia="en-us" w:bidi="en-us"/>
      </w:rPr>
    </w:lvl>
    <w:lvl w:ilvl="8">
      <w:start w:val="0"/>
      <w:numFmt w:val="bullet"/>
      <w:lvlText w:val="•"/>
      <w:lvlJc w:val="left"/>
      <w:pPr>
        <w:ind w:left="7324" w:hanging="361"/>
      </w:pPr>
      <w:rPr>
        <w:rFonts w:hint="default"/>
        <w:lang w:val="en-us" w:eastAsia="en-us" w:bidi="en-us"/>
      </w:rPr>
    </w:lvl>
  </w:abstractNum>
  <w:abstractNum w:abstractNumId="0">
    <w:multiLevelType w:val="hybridMultilevel"/>
    <w:lvl w:ilvl="0">
      <w:start w:val="1"/>
      <w:numFmt w:val="upperRoman"/>
      <w:lvlText w:val="%1."/>
      <w:lvlJc w:val="left"/>
      <w:pPr>
        <w:ind w:left="649" w:hanging="209"/>
        <w:jc w:val="left"/>
      </w:pPr>
      <w:rPr>
        <w:rFonts w:hint="default" w:ascii="Times New Roman" w:hAnsi="Times New Roman" w:eastAsia="Times New Roman" w:cs="Times New Roman"/>
        <w:spacing w:val="-2"/>
        <w:w w:val="99"/>
        <w:sz w:val="20"/>
        <w:szCs w:val="20"/>
        <w:lang w:val="en-us" w:eastAsia="en-us" w:bidi="en-us"/>
      </w:rPr>
    </w:lvl>
    <w:lvl w:ilvl="1">
      <w:start w:val="0"/>
      <w:numFmt w:val="bullet"/>
      <w:lvlText w:val="•"/>
      <w:lvlJc w:val="left"/>
      <w:pPr>
        <w:ind w:left="1456" w:hanging="209"/>
      </w:pPr>
      <w:rPr>
        <w:rFonts w:hint="default"/>
        <w:lang w:val="en-us" w:eastAsia="en-us" w:bidi="en-us"/>
      </w:rPr>
    </w:lvl>
    <w:lvl w:ilvl="2">
      <w:start w:val="0"/>
      <w:numFmt w:val="bullet"/>
      <w:lvlText w:val="•"/>
      <w:lvlJc w:val="left"/>
      <w:pPr>
        <w:ind w:left="2272" w:hanging="209"/>
      </w:pPr>
      <w:rPr>
        <w:rFonts w:hint="default"/>
        <w:lang w:val="en-us" w:eastAsia="en-us" w:bidi="en-us"/>
      </w:rPr>
    </w:lvl>
    <w:lvl w:ilvl="3">
      <w:start w:val="0"/>
      <w:numFmt w:val="bullet"/>
      <w:lvlText w:val="•"/>
      <w:lvlJc w:val="left"/>
      <w:pPr>
        <w:ind w:left="3088" w:hanging="209"/>
      </w:pPr>
      <w:rPr>
        <w:rFonts w:hint="default"/>
        <w:lang w:val="en-us" w:eastAsia="en-us" w:bidi="en-us"/>
      </w:rPr>
    </w:lvl>
    <w:lvl w:ilvl="4">
      <w:start w:val="0"/>
      <w:numFmt w:val="bullet"/>
      <w:lvlText w:val="•"/>
      <w:lvlJc w:val="left"/>
      <w:pPr>
        <w:ind w:left="3904" w:hanging="209"/>
      </w:pPr>
      <w:rPr>
        <w:rFonts w:hint="default"/>
        <w:lang w:val="en-us" w:eastAsia="en-us" w:bidi="en-us"/>
      </w:rPr>
    </w:lvl>
    <w:lvl w:ilvl="5">
      <w:start w:val="0"/>
      <w:numFmt w:val="bullet"/>
      <w:lvlText w:val="•"/>
      <w:lvlJc w:val="left"/>
      <w:pPr>
        <w:ind w:left="4720" w:hanging="209"/>
      </w:pPr>
      <w:rPr>
        <w:rFonts w:hint="default"/>
        <w:lang w:val="en-us" w:eastAsia="en-us" w:bidi="en-us"/>
      </w:rPr>
    </w:lvl>
    <w:lvl w:ilvl="6">
      <w:start w:val="0"/>
      <w:numFmt w:val="bullet"/>
      <w:lvlText w:val="•"/>
      <w:lvlJc w:val="left"/>
      <w:pPr>
        <w:ind w:left="5536" w:hanging="209"/>
      </w:pPr>
      <w:rPr>
        <w:rFonts w:hint="default"/>
        <w:lang w:val="en-us" w:eastAsia="en-us" w:bidi="en-us"/>
      </w:rPr>
    </w:lvl>
    <w:lvl w:ilvl="7">
      <w:start w:val="0"/>
      <w:numFmt w:val="bullet"/>
      <w:lvlText w:val="•"/>
      <w:lvlJc w:val="left"/>
      <w:pPr>
        <w:ind w:left="6352" w:hanging="209"/>
      </w:pPr>
      <w:rPr>
        <w:rFonts w:hint="default"/>
        <w:lang w:val="en-us" w:eastAsia="en-us" w:bidi="en-us"/>
      </w:rPr>
    </w:lvl>
    <w:lvl w:ilvl="8">
      <w:start w:val="0"/>
      <w:numFmt w:val="bullet"/>
      <w:lvlText w:val="•"/>
      <w:lvlJc w:val="left"/>
      <w:pPr>
        <w:ind w:left="7168" w:hanging="209"/>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93"/>
      <w:ind w:left="440"/>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2169"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