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7"/>
        <w:ind w:left="101"/>
      </w:pPr>
      <w:r>
        <w:rPr/>
        <w:t>EXECUTION COPY</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
      </w:pPr>
    </w:p>
    <w:p>
      <w:pPr>
        <w:spacing w:before="102"/>
        <w:ind w:left="101" w:right="0" w:firstLine="0"/>
        <w:jc w:val="left"/>
        <w:rPr>
          <w:sz w:val="40"/>
        </w:rPr>
      </w:pPr>
      <w:r>
        <w:rPr>
          <w:sz w:val="40"/>
        </w:rPr>
        <w:t>Amendment Agreement</w:t>
      </w:r>
    </w:p>
    <w:p>
      <w:pPr>
        <w:pStyle w:val="BodyText"/>
        <w:rPr>
          <w:sz w:val="46"/>
        </w:rPr>
      </w:pPr>
    </w:p>
    <w:p>
      <w:pPr>
        <w:pStyle w:val="BodyText"/>
        <w:spacing w:before="8"/>
        <w:rPr>
          <w:sz w:val="53"/>
        </w:rPr>
      </w:pPr>
    </w:p>
    <w:p>
      <w:pPr>
        <w:pStyle w:val="Heading1"/>
        <w:ind w:left="612"/>
      </w:pPr>
      <w:r>
        <w:rPr/>
        <w:t>relating to a Settlement Agreement dated 5 June 2009</w:t>
      </w:r>
    </w:p>
    <w:p>
      <w:pPr>
        <w:pStyle w:val="BodyText"/>
        <w:rPr>
          <w:b/>
          <w:sz w:val="24"/>
        </w:rPr>
      </w:pPr>
    </w:p>
    <w:p>
      <w:pPr>
        <w:pStyle w:val="BodyText"/>
        <w:rPr>
          <w:b/>
          <w:sz w:val="24"/>
        </w:rPr>
      </w:pPr>
    </w:p>
    <w:p>
      <w:pPr>
        <w:pStyle w:val="BodyText"/>
        <w:spacing w:before="1"/>
        <w:rPr>
          <w:b/>
          <w:sz w:val="27"/>
        </w:rPr>
      </w:pPr>
    </w:p>
    <w:p>
      <w:pPr>
        <w:spacing w:before="0"/>
        <w:ind w:left="612" w:right="0" w:firstLine="0"/>
        <w:jc w:val="left"/>
        <w:rPr>
          <w:i/>
          <w:sz w:val="20"/>
        </w:rPr>
      </w:pPr>
      <w:r>
        <w:rPr>
          <w:i/>
          <w:sz w:val="20"/>
        </w:rPr>
        <w:t>between</w:t>
      </w:r>
    </w:p>
    <w:p>
      <w:pPr>
        <w:pStyle w:val="BodyText"/>
        <w:rPr>
          <w:i/>
        </w:rPr>
      </w:pPr>
    </w:p>
    <w:p>
      <w:pPr>
        <w:pStyle w:val="BodyText"/>
        <w:spacing w:before="9"/>
        <w:rPr>
          <w:i/>
          <w:sz w:val="24"/>
        </w:rPr>
      </w:pPr>
    </w:p>
    <w:p>
      <w:pPr>
        <w:pStyle w:val="Heading1"/>
      </w:pPr>
      <w:r>
        <w:rPr/>
        <w:t>Financial Services Compensation Scheme</w:t>
      </w:r>
    </w:p>
    <w:p>
      <w:pPr>
        <w:pStyle w:val="BodyText"/>
        <w:spacing w:before="1"/>
        <w:rPr>
          <w:b/>
          <w:sz w:val="33"/>
        </w:rPr>
      </w:pPr>
    </w:p>
    <w:p>
      <w:pPr>
        <w:spacing w:before="0"/>
        <w:ind w:left="612" w:right="0" w:firstLine="0"/>
        <w:jc w:val="left"/>
        <w:rPr>
          <w:i/>
          <w:sz w:val="20"/>
        </w:rPr>
      </w:pPr>
      <w:r>
        <w:rPr>
          <w:i/>
          <w:sz w:val="20"/>
        </w:rPr>
        <w:t>and</w:t>
      </w:r>
    </w:p>
    <w:p>
      <w:pPr>
        <w:pStyle w:val="BodyText"/>
        <w:rPr>
          <w:i/>
        </w:rPr>
      </w:pPr>
    </w:p>
    <w:p>
      <w:pPr>
        <w:pStyle w:val="BodyText"/>
        <w:spacing w:before="9"/>
        <w:rPr>
          <w:i/>
          <w:sz w:val="24"/>
        </w:rPr>
      </w:pPr>
    </w:p>
    <w:p>
      <w:pPr>
        <w:pStyle w:val="Heading1"/>
      </w:pPr>
      <w:r>
        <w:rPr/>
        <w:t>The Depositors’ and Investors’ Guarantee Fund of Iceland</w:t>
      </w:r>
    </w:p>
    <w:p>
      <w:pPr>
        <w:pStyle w:val="BodyText"/>
        <w:rPr>
          <w:b/>
          <w:sz w:val="24"/>
        </w:rPr>
      </w:pPr>
    </w:p>
    <w:p>
      <w:pPr>
        <w:pStyle w:val="BodyText"/>
        <w:rPr>
          <w:b/>
          <w:sz w:val="24"/>
        </w:rPr>
      </w:pPr>
    </w:p>
    <w:p>
      <w:pPr>
        <w:pStyle w:val="BodyText"/>
        <w:rPr>
          <w:b/>
          <w:sz w:val="24"/>
        </w:rPr>
      </w:pPr>
    </w:p>
    <w:p>
      <w:pPr>
        <w:pStyle w:val="BodyText"/>
        <w:rPr>
          <w:b/>
          <w:sz w:val="24"/>
        </w:rPr>
      </w:pPr>
    </w:p>
    <w:p>
      <w:pPr>
        <w:pStyle w:val="BodyText"/>
        <w:spacing w:before="9"/>
        <w:rPr>
          <w:b/>
          <w:sz w:val="25"/>
        </w:rPr>
      </w:pPr>
    </w:p>
    <w:p>
      <w:pPr>
        <w:spacing w:before="0"/>
        <w:ind w:left="612" w:right="0" w:firstLine="0"/>
        <w:jc w:val="left"/>
        <w:rPr>
          <w:i/>
          <w:sz w:val="20"/>
        </w:rPr>
      </w:pPr>
      <w:r>
        <w:rPr>
          <w:i/>
          <w:sz w:val="20"/>
        </w:rPr>
        <w:t>Dated:19 October 2009</w:t>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3"/>
        <w:rPr>
          <w:i/>
        </w:rPr>
      </w:pPr>
    </w:p>
    <w:p>
      <w:pPr>
        <w:spacing w:before="100"/>
        <w:ind w:left="101" w:right="0" w:firstLine="0"/>
        <w:jc w:val="left"/>
        <w:rPr>
          <w:sz w:val="12"/>
        </w:rPr>
      </w:pPr>
      <w:r>
        <w:rPr>
          <w:sz w:val="12"/>
        </w:rPr>
        <w:t>PA092680003</w:t>
      </w:r>
    </w:p>
    <w:p>
      <w:pPr>
        <w:spacing w:after="0"/>
        <w:jc w:val="left"/>
        <w:rPr>
          <w:sz w:val="12"/>
        </w:rPr>
        <w:sectPr>
          <w:type w:val="continuous"/>
          <w:pgSz w:w="11900" w:h="16840"/>
          <w:pgMar w:top="680" w:bottom="280" w:left="1600" w:right="1600"/>
        </w:sectPr>
      </w:pPr>
    </w:p>
    <w:p>
      <w:pPr>
        <w:pStyle w:val="Heading2"/>
        <w:spacing w:before="53"/>
        <w:ind w:left="101" w:right="158" w:firstLine="0"/>
      </w:pPr>
      <w:r>
        <w:rPr/>
        <w:t>THIS AMENDMENT AGREEMENT IS DATED 19 OCTOBER 2009 AND HAS BEEN ENTERED INTO BY:</w:t>
      </w:r>
    </w:p>
    <w:p>
      <w:pPr>
        <w:pStyle w:val="BodyText"/>
        <w:spacing w:before="3"/>
        <w:rPr>
          <w:b/>
        </w:rPr>
      </w:pPr>
    </w:p>
    <w:p>
      <w:pPr>
        <w:spacing w:before="0"/>
        <w:ind w:left="101" w:right="0" w:firstLine="0"/>
        <w:jc w:val="left"/>
        <w:rPr>
          <w:rFonts w:ascii="Microsoft Sans Serif"/>
          <w:sz w:val="16"/>
        </w:rPr>
      </w:pPr>
      <w:r>
        <w:rPr>
          <w:rFonts w:ascii="Microsoft Sans Serif"/>
          <w:w w:val="100"/>
          <w:sz w:val="16"/>
        </w:rPr>
        <w:t> </w:t>
      </w:r>
    </w:p>
    <w:p>
      <w:pPr>
        <w:pStyle w:val="ListParagraph"/>
        <w:numPr>
          <w:ilvl w:val="0"/>
          <w:numId w:val="1"/>
        </w:numPr>
        <w:tabs>
          <w:tab w:pos="462" w:val="left" w:leader="none"/>
        </w:tabs>
        <w:spacing w:line="292" w:lineRule="auto" w:before="47" w:after="0"/>
        <w:ind w:left="461" w:right="457" w:hanging="360"/>
        <w:jc w:val="left"/>
        <w:rPr>
          <w:sz w:val="20"/>
        </w:rPr>
      </w:pPr>
      <w:r>
        <w:rPr>
          <w:b/>
          <w:sz w:val="20"/>
        </w:rPr>
        <w:t>FINANCIAL</w:t>
      </w:r>
      <w:r>
        <w:rPr>
          <w:b/>
          <w:spacing w:val="-9"/>
          <w:sz w:val="20"/>
        </w:rPr>
        <w:t> </w:t>
      </w:r>
      <w:r>
        <w:rPr>
          <w:b/>
          <w:sz w:val="20"/>
        </w:rPr>
        <w:t>SERVICES</w:t>
      </w:r>
      <w:r>
        <w:rPr>
          <w:b/>
          <w:spacing w:val="-8"/>
          <w:sz w:val="20"/>
        </w:rPr>
        <w:t> </w:t>
      </w:r>
      <w:r>
        <w:rPr>
          <w:b/>
          <w:sz w:val="20"/>
        </w:rPr>
        <w:t>COMPENSATION</w:t>
      </w:r>
      <w:r>
        <w:rPr>
          <w:b/>
          <w:spacing w:val="-5"/>
          <w:sz w:val="20"/>
        </w:rPr>
        <w:t> </w:t>
      </w:r>
      <w:r>
        <w:rPr>
          <w:b/>
          <w:sz w:val="20"/>
        </w:rPr>
        <w:t>SCHEME</w:t>
      </w:r>
      <w:r>
        <w:rPr>
          <w:b/>
          <w:spacing w:val="-8"/>
          <w:sz w:val="20"/>
        </w:rPr>
        <w:t> </w:t>
      </w:r>
      <w:r>
        <w:rPr>
          <w:b/>
          <w:sz w:val="20"/>
        </w:rPr>
        <w:t>LIMITED</w:t>
      </w:r>
      <w:r>
        <w:rPr>
          <w:b/>
          <w:spacing w:val="-7"/>
          <w:sz w:val="20"/>
        </w:rPr>
        <w:t> </w:t>
      </w:r>
      <w:r>
        <w:rPr>
          <w:sz w:val="20"/>
        </w:rPr>
        <w:t>(CRN:</w:t>
      </w:r>
      <w:r>
        <w:rPr>
          <w:spacing w:val="-8"/>
          <w:sz w:val="20"/>
        </w:rPr>
        <w:t> </w:t>
      </w:r>
      <w:r>
        <w:rPr>
          <w:sz w:val="20"/>
        </w:rPr>
        <w:t>3943048),</w:t>
      </w:r>
      <w:r>
        <w:rPr>
          <w:spacing w:val="-5"/>
          <w:sz w:val="20"/>
        </w:rPr>
        <w:t> </w:t>
      </w:r>
      <w:r>
        <w:rPr>
          <w:sz w:val="20"/>
        </w:rPr>
        <w:t>whose registered office is at 7</w:t>
      </w:r>
      <w:r>
        <w:rPr>
          <w:sz w:val="20"/>
          <w:vertAlign w:val="superscript"/>
        </w:rPr>
        <w:t>th</w:t>
      </w:r>
      <w:r>
        <w:rPr>
          <w:sz w:val="20"/>
          <w:vertAlign w:val="baseline"/>
        </w:rPr>
        <w:t> Floor, Lloyds Chambers, 1 Portsoken </w:t>
      </w:r>
      <w:r>
        <w:rPr>
          <w:spacing w:val="-3"/>
          <w:sz w:val="20"/>
          <w:vertAlign w:val="baseline"/>
        </w:rPr>
        <w:t>Street, </w:t>
      </w:r>
      <w:r>
        <w:rPr>
          <w:sz w:val="20"/>
          <w:vertAlign w:val="baseline"/>
        </w:rPr>
        <w:t>London E1 8BN, United Kingdom (“</w:t>
      </w:r>
      <w:r>
        <w:rPr>
          <w:b/>
          <w:sz w:val="20"/>
          <w:vertAlign w:val="baseline"/>
        </w:rPr>
        <w:t>FSCS</w:t>
      </w:r>
      <w:r>
        <w:rPr>
          <w:sz w:val="20"/>
          <w:vertAlign w:val="baseline"/>
        </w:rPr>
        <w:t>”);</w:t>
      </w:r>
      <w:r>
        <w:rPr>
          <w:spacing w:val="3"/>
          <w:sz w:val="20"/>
          <w:vertAlign w:val="baseline"/>
        </w:rPr>
        <w:t> </w:t>
      </w:r>
      <w:r>
        <w:rPr>
          <w:sz w:val="20"/>
          <w:vertAlign w:val="baseline"/>
        </w:rPr>
        <w:t>and</w:t>
      </w:r>
    </w:p>
    <w:p>
      <w:pPr>
        <w:pStyle w:val="BodyText"/>
        <w:spacing w:before="1"/>
        <w:rPr>
          <w:sz w:val="24"/>
        </w:rPr>
      </w:pPr>
    </w:p>
    <w:p>
      <w:pPr>
        <w:pStyle w:val="ListParagraph"/>
        <w:numPr>
          <w:ilvl w:val="0"/>
          <w:numId w:val="1"/>
        </w:numPr>
        <w:tabs>
          <w:tab w:pos="462" w:val="left" w:leader="none"/>
        </w:tabs>
        <w:spacing w:line="292" w:lineRule="auto" w:before="0" w:after="0"/>
        <w:ind w:left="461" w:right="329" w:hanging="360"/>
        <w:jc w:val="left"/>
        <w:rPr>
          <w:sz w:val="20"/>
        </w:rPr>
      </w:pPr>
      <w:r>
        <w:rPr>
          <w:b/>
          <w:sz w:val="20"/>
        </w:rPr>
        <w:t>THE DEPOSITORS’ AND INVESTORS’ GUARANTEE FUND OF ICELAND </w:t>
      </w:r>
      <w:r>
        <w:rPr>
          <w:sz w:val="20"/>
        </w:rPr>
        <w:t>(</w:t>
      </w:r>
      <w:r>
        <w:rPr>
          <w:i/>
          <w:sz w:val="20"/>
        </w:rPr>
        <w:t>Tryggingarsjó</w:t>
      </w:r>
      <w:r>
        <w:rPr>
          <w:sz w:val="20"/>
        </w:rPr>
        <w:t>ơ</w:t>
      </w:r>
      <w:r>
        <w:rPr>
          <w:i/>
          <w:sz w:val="20"/>
        </w:rPr>
        <w:t>ur</w:t>
      </w:r>
      <w:r>
        <w:rPr>
          <w:i/>
          <w:spacing w:val="-9"/>
          <w:sz w:val="20"/>
        </w:rPr>
        <w:t> </w:t>
      </w:r>
      <w:r>
        <w:rPr>
          <w:i/>
          <w:sz w:val="20"/>
        </w:rPr>
        <w:t>Innstœ</w:t>
      </w:r>
      <w:r>
        <w:rPr>
          <w:sz w:val="20"/>
        </w:rPr>
        <w:t>ơ</w:t>
      </w:r>
      <w:r>
        <w:rPr>
          <w:i/>
          <w:sz w:val="20"/>
        </w:rPr>
        <w:t>ueigenda</w:t>
      </w:r>
      <w:r>
        <w:rPr>
          <w:i/>
          <w:spacing w:val="-10"/>
          <w:sz w:val="20"/>
        </w:rPr>
        <w:t> </w:t>
      </w:r>
      <w:r>
        <w:rPr>
          <w:i/>
          <w:sz w:val="20"/>
        </w:rPr>
        <w:t>og</w:t>
      </w:r>
      <w:r>
        <w:rPr>
          <w:i/>
          <w:spacing w:val="-10"/>
          <w:sz w:val="20"/>
        </w:rPr>
        <w:t> </w:t>
      </w:r>
      <w:r>
        <w:rPr>
          <w:i/>
          <w:sz w:val="20"/>
        </w:rPr>
        <w:t>Fjárfesta)</w:t>
      </w:r>
      <w:r>
        <w:rPr>
          <w:i/>
          <w:spacing w:val="-9"/>
          <w:sz w:val="20"/>
        </w:rPr>
        <w:t> </w:t>
      </w:r>
      <w:r>
        <w:rPr>
          <w:sz w:val="20"/>
        </w:rPr>
        <w:t>a</w:t>
      </w:r>
      <w:r>
        <w:rPr>
          <w:spacing w:val="-8"/>
          <w:sz w:val="20"/>
        </w:rPr>
        <w:t> </w:t>
      </w:r>
      <w:r>
        <w:rPr>
          <w:sz w:val="20"/>
        </w:rPr>
        <w:t>private</w:t>
      </w:r>
      <w:r>
        <w:rPr>
          <w:spacing w:val="-10"/>
          <w:sz w:val="20"/>
        </w:rPr>
        <w:t> </w:t>
      </w:r>
      <w:r>
        <w:rPr>
          <w:sz w:val="20"/>
        </w:rPr>
        <w:t>foundation</w:t>
      </w:r>
      <w:r>
        <w:rPr>
          <w:spacing w:val="-8"/>
          <w:sz w:val="20"/>
        </w:rPr>
        <w:t> </w:t>
      </w:r>
      <w:r>
        <w:rPr>
          <w:sz w:val="20"/>
        </w:rPr>
        <w:t>incorporated</w:t>
      </w:r>
      <w:r>
        <w:rPr>
          <w:spacing w:val="-10"/>
          <w:sz w:val="20"/>
        </w:rPr>
        <w:t> </w:t>
      </w:r>
      <w:r>
        <w:rPr>
          <w:sz w:val="20"/>
        </w:rPr>
        <w:t>under Icelandic law, whose registered office is at Kalkfnsvegur 1, 150 Reykjavik, Iceland</w:t>
      </w:r>
      <w:r>
        <w:rPr>
          <w:spacing w:val="-34"/>
          <w:sz w:val="20"/>
        </w:rPr>
        <w:t> </w:t>
      </w:r>
      <w:r>
        <w:rPr>
          <w:sz w:val="20"/>
        </w:rPr>
        <w:t>(“</w:t>
      </w:r>
      <w:r>
        <w:rPr>
          <w:b/>
          <w:sz w:val="20"/>
        </w:rPr>
        <w:t>TIF</w:t>
      </w:r>
      <w:r>
        <w:rPr>
          <w:sz w:val="20"/>
        </w:rPr>
        <w:t>”).</w:t>
      </w:r>
    </w:p>
    <w:p>
      <w:pPr>
        <w:pStyle w:val="BodyText"/>
        <w:spacing w:before="3"/>
      </w:pPr>
    </w:p>
    <w:p>
      <w:pPr>
        <w:spacing w:before="0"/>
        <w:ind w:left="101" w:right="0" w:firstLine="0"/>
        <w:jc w:val="left"/>
        <w:rPr>
          <w:rFonts w:ascii="Microsoft Sans Serif"/>
          <w:sz w:val="16"/>
        </w:rPr>
      </w:pPr>
      <w:r>
        <w:rPr>
          <w:rFonts w:ascii="Microsoft Sans Serif"/>
          <w:w w:val="100"/>
          <w:sz w:val="16"/>
        </w:rPr>
        <w:t> </w:t>
      </w:r>
    </w:p>
    <w:p>
      <w:pPr>
        <w:pStyle w:val="BodyText"/>
        <w:spacing w:line="290" w:lineRule="auto" w:before="50"/>
        <w:ind w:left="101"/>
      </w:pPr>
      <w:r>
        <w:rPr/>
        <w:t>FSCS and TIF are each referred to in this agreement as a “party” and, collectively, as the “parties”.</w:t>
      </w:r>
    </w:p>
    <w:p>
      <w:pPr>
        <w:pStyle w:val="BodyText"/>
        <w:spacing w:before="5"/>
        <w:rPr>
          <w:sz w:val="24"/>
        </w:rPr>
      </w:pPr>
    </w:p>
    <w:p>
      <w:pPr>
        <w:pStyle w:val="Heading2"/>
        <w:ind w:left="101" w:firstLine="0"/>
      </w:pPr>
      <w:r>
        <w:rPr/>
        <w:t>WHEREAS:</w:t>
      </w:r>
    </w:p>
    <w:p>
      <w:pPr>
        <w:pStyle w:val="BodyText"/>
        <w:spacing w:before="9"/>
        <w:rPr>
          <w:b/>
          <w:sz w:val="28"/>
        </w:rPr>
      </w:pPr>
    </w:p>
    <w:p>
      <w:pPr>
        <w:pStyle w:val="ListParagraph"/>
        <w:numPr>
          <w:ilvl w:val="1"/>
          <w:numId w:val="1"/>
        </w:numPr>
        <w:tabs>
          <w:tab w:pos="462" w:val="left" w:leader="none"/>
        </w:tabs>
        <w:spacing w:line="292" w:lineRule="auto" w:before="1" w:after="0"/>
        <w:ind w:left="461" w:right="414" w:hanging="360"/>
        <w:jc w:val="left"/>
        <w:rPr>
          <w:sz w:val="20"/>
        </w:rPr>
      </w:pPr>
      <w:r>
        <w:rPr>
          <w:sz w:val="20"/>
        </w:rPr>
        <w:t>The Parties are party to the Settlement Agreement dated 5 June 2009. The assignment provided for in clause 4 of the Settlement Agreement is to be conditional upon the Loan Agreement coming into effect. It is now clear that the Loan Agreement will not come into effect unless a change is made to the terms of the</w:t>
      </w:r>
      <w:r>
        <w:rPr>
          <w:spacing w:val="-10"/>
          <w:sz w:val="20"/>
        </w:rPr>
        <w:t> </w:t>
      </w:r>
      <w:r>
        <w:rPr>
          <w:sz w:val="20"/>
        </w:rPr>
        <w:t>assignment.</w:t>
      </w:r>
    </w:p>
    <w:p>
      <w:pPr>
        <w:pStyle w:val="BodyText"/>
        <w:rPr>
          <w:sz w:val="24"/>
        </w:rPr>
      </w:pPr>
    </w:p>
    <w:p>
      <w:pPr>
        <w:pStyle w:val="ListParagraph"/>
        <w:numPr>
          <w:ilvl w:val="1"/>
          <w:numId w:val="1"/>
        </w:numPr>
        <w:tabs>
          <w:tab w:pos="462" w:val="left" w:leader="none"/>
        </w:tabs>
        <w:spacing w:line="292" w:lineRule="auto" w:before="1" w:after="0"/>
        <w:ind w:left="461" w:right="189" w:hanging="360"/>
        <w:jc w:val="left"/>
        <w:rPr>
          <w:sz w:val="20"/>
        </w:rPr>
      </w:pPr>
      <w:r>
        <w:rPr>
          <w:sz w:val="20"/>
        </w:rPr>
        <w:t>The</w:t>
      </w:r>
      <w:r>
        <w:rPr>
          <w:spacing w:val="-4"/>
          <w:sz w:val="20"/>
        </w:rPr>
        <w:t> </w:t>
      </w:r>
      <w:r>
        <w:rPr>
          <w:sz w:val="20"/>
        </w:rPr>
        <w:t>Parties</w:t>
      </w:r>
      <w:r>
        <w:rPr>
          <w:spacing w:val="-3"/>
          <w:sz w:val="20"/>
        </w:rPr>
        <w:t> </w:t>
      </w:r>
      <w:r>
        <w:rPr>
          <w:sz w:val="20"/>
        </w:rPr>
        <w:t>therefore</w:t>
      </w:r>
      <w:r>
        <w:rPr>
          <w:spacing w:val="-3"/>
          <w:sz w:val="20"/>
        </w:rPr>
        <w:t> </w:t>
      </w:r>
      <w:r>
        <w:rPr>
          <w:sz w:val="20"/>
        </w:rPr>
        <w:t>now</w:t>
      </w:r>
      <w:r>
        <w:rPr>
          <w:spacing w:val="-4"/>
          <w:sz w:val="20"/>
        </w:rPr>
        <w:t> </w:t>
      </w:r>
      <w:r>
        <w:rPr>
          <w:sz w:val="20"/>
        </w:rPr>
        <w:t>wish</w:t>
      </w:r>
      <w:r>
        <w:rPr>
          <w:spacing w:val="-4"/>
          <w:sz w:val="20"/>
        </w:rPr>
        <w:t> </w:t>
      </w:r>
      <w:r>
        <w:rPr>
          <w:sz w:val="20"/>
        </w:rPr>
        <w:t>to</w:t>
      </w:r>
      <w:r>
        <w:rPr>
          <w:spacing w:val="-2"/>
          <w:sz w:val="20"/>
        </w:rPr>
        <w:t> </w:t>
      </w:r>
      <w:r>
        <w:rPr>
          <w:sz w:val="20"/>
        </w:rPr>
        <w:t>amend</w:t>
      </w:r>
      <w:r>
        <w:rPr>
          <w:spacing w:val="-3"/>
          <w:sz w:val="20"/>
        </w:rPr>
        <w:t> </w:t>
      </w:r>
      <w:r>
        <w:rPr>
          <w:sz w:val="20"/>
        </w:rPr>
        <w:t>the</w:t>
      </w:r>
      <w:r>
        <w:rPr>
          <w:spacing w:val="-2"/>
          <w:sz w:val="20"/>
        </w:rPr>
        <w:t> </w:t>
      </w:r>
      <w:r>
        <w:rPr>
          <w:sz w:val="20"/>
        </w:rPr>
        <w:t>terms</w:t>
      </w:r>
      <w:r>
        <w:rPr>
          <w:spacing w:val="-3"/>
          <w:sz w:val="20"/>
        </w:rPr>
        <w:t> </w:t>
      </w:r>
      <w:r>
        <w:rPr>
          <w:sz w:val="20"/>
        </w:rPr>
        <w:t>of</w:t>
      </w:r>
      <w:r>
        <w:rPr>
          <w:spacing w:val="-3"/>
          <w:sz w:val="20"/>
        </w:rPr>
        <w:t> </w:t>
      </w:r>
      <w:r>
        <w:rPr>
          <w:sz w:val="20"/>
        </w:rPr>
        <w:t>the</w:t>
      </w:r>
      <w:r>
        <w:rPr>
          <w:spacing w:val="-2"/>
          <w:sz w:val="20"/>
        </w:rPr>
        <w:t> </w:t>
      </w:r>
      <w:r>
        <w:rPr>
          <w:sz w:val="20"/>
        </w:rPr>
        <w:t>Settlement</w:t>
      </w:r>
      <w:r>
        <w:rPr>
          <w:spacing w:val="-13"/>
          <w:sz w:val="20"/>
        </w:rPr>
        <w:t> </w:t>
      </w:r>
      <w:r>
        <w:rPr>
          <w:sz w:val="20"/>
        </w:rPr>
        <w:t>Agreement</w:t>
      </w:r>
      <w:r>
        <w:rPr>
          <w:spacing w:val="-2"/>
          <w:sz w:val="20"/>
        </w:rPr>
        <w:t> </w:t>
      </w:r>
      <w:r>
        <w:rPr>
          <w:sz w:val="20"/>
        </w:rPr>
        <w:t>as</w:t>
      </w:r>
      <w:r>
        <w:rPr>
          <w:spacing w:val="-3"/>
          <w:sz w:val="20"/>
        </w:rPr>
        <w:t> </w:t>
      </w:r>
      <w:r>
        <w:rPr>
          <w:sz w:val="20"/>
        </w:rPr>
        <w:t>set</w:t>
      </w:r>
      <w:r>
        <w:rPr>
          <w:spacing w:val="-3"/>
          <w:sz w:val="20"/>
        </w:rPr>
        <w:t> </w:t>
      </w:r>
      <w:r>
        <w:rPr>
          <w:sz w:val="20"/>
        </w:rPr>
        <w:t>out in this Amendment</w:t>
      </w:r>
      <w:r>
        <w:rPr>
          <w:spacing w:val="-24"/>
          <w:sz w:val="20"/>
        </w:rPr>
        <w:t> </w:t>
      </w:r>
      <w:r>
        <w:rPr>
          <w:sz w:val="20"/>
        </w:rPr>
        <w:t>Agreement.</w:t>
      </w:r>
    </w:p>
    <w:p>
      <w:pPr>
        <w:pStyle w:val="BodyText"/>
        <w:rPr>
          <w:sz w:val="24"/>
        </w:rPr>
      </w:pPr>
    </w:p>
    <w:p>
      <w:pPr>
        <w:pStyle w:val="Heading2"/>
        <w:ind w:left="101" w:firstLine="0"/>
      </w:pPr>
      <w:r>
        <w:rPr/>
        <w:t>IT IS AGREED AS FOLLOWS:</w:t>
      </w:r>
    </w:p>
    <w:p>
      <w:pPr>
        <w:pStyle w:val="BodyText"/>
        <w:spacing w:before="10"/>
        <w:rPr>
          <w:b/>
          <w:sz w:val="28"/>
        </w:rPr>
      </w:pPr>
    </w:p>
    <w:p>
      <w:pPr>
        <w:pStyle w:val="ListParagraph"/>
        <w:numPr>
          <w:ilvl w:val="0"/>
          <w:numId w:val="2"/>
        </w:numPr>
        <w:tabs>
          <w:tab w:pos="809" w:val="left" w:leader="none"/>
          <w:tab w:pos="810" w:val="left" w:leader="none"/>
        </w:tabs>
        <w:spacing w:line="240" w:lineRule="auto" w:before="0" w:after="0"/>
        <w:ind w:left="809" w:right="0" w:hanging="708"/>
        <w:jc w:val="left"/>
        <w:rPr>
          <w:b/>
          <w:sz w:val="20"/>
        </w:rPr>
      </w:pPr>
      <w:r>
        <w:rPr>
          <w:b/>
          <w:sz w:val="20"/>
        </w:rPr>
        <w:t>DEFINTIONS AND</w:t>
      </w:r>
      <w:r>
        <w:rPr>
          <w:b/>
          <w:spacing w:val="-3"/>
          <w:sz w:val="20"/>
        </w:rPr>
        <w:t> INTEPRETATION</w:t>
      </w:r>
    </w:p>
    <w:p>
      <w:pPr>
        <w:pStyle w:val="BodyText"/>
        <w:spacing w:before="7"/>
        <w:rPr>
          <w:b/>
          <w:sz w:val="28"/>
        </w:rPr>
      </w:pPr>
    </w:p>
    <w:p>
      <w:pPr>
        <w:pStyle w:val="ListParagraph"/>
        <w:numPr>
          <w:ilvl w:val="1"/>
          <w:numId w:val="2"/>
        </w:numPr>
        <w:tabs>
          <w:tab w:pos="809" w:val="left" w:leader="none"/>
          <w:tab w:pos="810" w:val="left" w:leader="none"/>
        </w:tabs>
        <w:spacing w:line="240" w:lineRule="auto" w:before="0" w:after="0"/>
        <w:ind w:left="809" w:right="0" w:hanging="708"/>
        <w:jc w:val="left"/>
        <w:rPr>
          <w:b/>
          <w:sz w:val="20"/>
        </w:rPr>
      </w:pPr>
      <w:r>
        <w:rPr>
          <w:b/>
          <w:sz w:val="20"/>
        </w:rPr>
        <w:t>Definitions</w:t>
      </w:r>
    </w:p>
    <w:p>
      <w:pPr>
        <w:pStyle w:val="BodyText"/>
        <w:spacing w:before="9"/>
        <w:rPr>
          <w:b/>
          <w:sz w:val="28"/>
        </w:rPr>
      </w:pPr>
    </w:p>
    <w:p>
      <w:pPr>
        <w:pStyle w:val="BodyText"/>
        <w:spacing w:before="1"/>
        <w:ind w:left="101"/>
      </w:pPr>
      <w:r>
        <w:rPr/>
        <w:t>In this Amendment Agreement:</w:t>
      </w:r>
    </w:p>
    <w:p>
      <w:pPr>
        <w:pStyle w:val="BodyText"/>
        <w:spacing w:before="7"/>
        <w:rPr>
          <w:sz w:val="28"/>
        </w:rPr>
      </w:pPr>
    </w:p>
    <w:p>
      <w:pPr>
        <w:spacing w:line="292" w:lineRule="auto" w:before="0"/>
        <w:ind w:left="101" w:right="0" w:firstLine="0"/>
        <w:jc w:val="left"/>
        <w:rPr>
          <w:sz w:val="20"/>
        </w:rPr>
      </w:pPr>
      <w:r>
        <w:rPr>
          <w:sz w:val="20"/>
        </w:rPr>
        <w:t>“</w:t>
      </w:r>
      <w:r>
        <w:rPr>
          <w:b/>
          <w:sz w:val="20"/>
        </w:rPr>
        <w:t>Settlement Agreement</w:t>
      </w:r>
      <w:r>
        <w:rPr>
          <w:sz w:val="20"/>
        </w:rPr>
        <w:t>” means the settlement agreement between the parties dated 5 June 2009.</w:t>
      </w:r>
    </w:p>
    <w:p>
      <w:pPr>
        <w:pStyle w:val="BodyText"/>
        <w:spacing w:before="3"/>
        <w:rPr>
          <w:sz w:val="24"/>
        </w:rPr>
      </w:pPr>
    </w:p>
    <w:p>
      <w:pPr>
        <w:pStyle w:val="BodyText"/>
        <w:spacing w:line="292" w:lineRule="auto"/>
        <w:ind w:left="101"/>
      </w:pPr>
      <w:r>
        <w:rPr/>
        <w:t>"</w:t>
      </w:r>
      <w:r>
        <w:rPr>
          <w:b/>
        </w:rPr>
        <w:t>Change of Icelandic Law</w:t>
      </w:r>
      <w:r>
        <w:rPr/>
        <w:t>" means the coming into force of any law, regulation or governmental order, or any change to any law, regulation or governmental order, in each case of Iceland, excluding any such law, regulation or governmental order, or any change thereto, to the extent required to be made or introduced under any regulation or directive of the European Community (whether directly or as a result of the Agreement on European Economic Area).</w:t>
      </w:r>
    </w:p>
    <w:p>
      <w:pPr>
        <w:pStyle w:val="BodyText"/>
        <w:spacing w:before="1"/>
        <w:rPr>
          <w:sz w:val="24"/>
        </w:rPr>
      </w:pPr>
    </w:p>
    <w:p>
      <w:pPr>
        <w:pStyle w:val="Heading2"/>
        <w:numPr>
          <w:ilvl w:val="1"/>
          <w:numId w:val="2"/>
        </w:numPr>
        <w:tabs>
          <w:tab w:pos="809" w:val="left" w:leader="none"/>
          <w:tab w:pos="810" w:val="left" w:leader="none"/>
        </w:tabs>
        <w:spacing w:line="240" w:lineRule="auto" w:before="0" w:after="0"/>
        <w:ind w:left="809" w:right="0" w:hanging="708"/>
        <w:jc w:val="left"/>
      </w:pPr>
      <w:r>
        <w:rPr/>
        <w:t>Incorporation of Defined</w:t>
      </w:r>
      <w:r>
        <w:rPr>
          <w:spacing w:val="1"/>
        </w:rPr>
        <w:t> </w:t>
      </w:r>
      <w:r>
        <w:rPr>
          <w:spacing w:val="-3"/>
        </w:rPr>
        <w:t>Terms</w:t>
      </w:r>
    </w:p>
    <w:p>
      <w:pPr>
        <w:pStyle w:val="BodyText"/>
        <w:spacing w:before="9"/>
        <w:rPr>
          <w:b/>
          <w:sz w:val="28"/>
        </w:rPr>
      </w:pPr>
    </w:p>
    <w:p>
      <w:pPr>
        <w:pStyle w:val="BodyText"/>
        <w:spacing w:line="292" w:lineRule="auto"/>
        <w:ind w:left="101" w:right="158"/>
      </w:pPr>
      <w:r>
        <w:rPr/>
        <w:t>Unless a contrary indication appears, terms defined in the Settlement Agreement have the same meaning in this Agreement.</w:t>
      </w:r>
    </w:p>
    <w:p>
      <w:pPr>
        <w:spacing w:after="0" w:line="292" w:lineRule="auto"/>
        <w:sectPr>
          <w:pgSz w:w="11900" w:h="16840"/>
          <w:pgMar w:top="1360" w:bottom="280" w:left="1600" w:right="1600"/>
        </w:sectPr>
      </w:pPr>
    </w:p>
    <w:p>
      <w:pPr>
        <w:pStyle w:val="Heading2"/>
        <w:numPr>
          <w:ilvl w:val="0"/>
          <w:numId w:val="2"/>
        </w:numPr>
        <w:tabs>
          <w:tab w:pos="809" w:val="left" w:leader="none"/>
          <w:tab w:pos="810" w:val="left" w:leader="none"/>
        </w:tabs>
        <w:spacing w:line="240" w:lineRule="auto" w:before="43" w:after="0"/>
        <w:ind w:left="809" w:right="0" w:hanging="708"/>
        <w:jc w:val="left"/>
      </w:pPr>
      <w:r>
        <w:rPr/>
        <w:t>AMENDMENTS</w:t>
      </w:r>
    </w:p>
    <w:p>
      <w:pPr>
        <w:pStyle w:val="BodyText"/>
        <w:spacing w:before="10"/>
        <w:rPr>
          <w:b/>
          <w:sz w:val="28"/>
        </w:rPr>
      </w:pPr>
    </w:p>
    <w:p>
      <w:pPr>
        <w:pStyle w:val="ListParagraph"/>
        <w:numPr>
          <w:ilvl w:val="1"/>
          <w:numId w:val="2"/>
        </w:numPr>
        <w:tabs>
          <w:tab w:pos="809" w:val="left" w:leader="none"/>
          <w:tab w:pos="810" w:val="left" w:leader="none"/>
        </w:tabs>
        <w:spacing w:line="240" w:lineRule="auto" w:before="0" w:after="0"/>
        <w:ind w:left="809" w:right="0" w:hanging="708"/>
        <w:jc w:val="left"/>
        <w:rPr>
          <w:sz w:val="20"/>
        </w:rPr>
      </w:pPr>
      <w:r>
        <w:rPr>
          <w:sz w:val="20"/>
        </w:rPr>
        <w:t>The following amendments shall be made to the Settlement</w:t>
      </w:r>
      <w:r>
        <w:rPr>
          <w:spacing w:val="-23"/>
          <w:sz w:val="20"/>
        </w:rPr>
        <w:t> </w:t>
      </w:r>
      <w:r>
        <w:rPr>
          <w:sz w:val="20"/>
        </w:rPr>
        <w:t>Agreement:</w:t>
      </w:r>
    </w:p>
    <w:p>
      <w:pPr>
        <w:pStyle w:val="BodyText"/>
        <w:spacing w:before="7"/>
        <w:rPr>
          <w:sz w:val="28"/>
        </w:rPr>
      </w:pPr>
    </w:p>
    <w:p>
      <w:pPr>
        <w:pStyle w:val="ListParagraph"/>
        <w:numPr>
          <w:ilvl w:val="0"/>
          <w:numId w:val="3"/>
        </w:numPr>
        <w:tabs>
          <w:tab w:pos="667" w:val="left" w:leader="none"/>
          <w:tab w:pos="668" w:val="left" w:leader="none"/>
        </w:tabs>
        <w:spacing w:line="292" w:lineRule="auto" w:before="0" w:after="0"/>
        <w:ind w:left="668" w:right="296" w:hanging="509"/>
        <w:jc w:val="left"/>
        <w:rPr>
          <w:sz w:val="20"/>
        </w:rPr>
      </w:pPr>
      <w:r>
        <w:rPr>
          <w:sz w:val="20"/>
        </w:rPr>
        <w:t>The</w:t>
      </w:r>
      <w:r>
        <w:rPr>
          <w:spacing w:val="-4"/>
          <w:sz w:val="20"/>
        </w:rPr>
        <w:t> </w:t>
      </w:r>
      <w:r>
        <w:rPr>
          <w:sz w:val="20"/>
        </w:rPr>
        <w:t>words</w:t>
      </w:r>
      <w:r>
        <w:rPr>
          <w:spacing w:val="-4"/>
          <w:sz w:val="20"/>
        </w:rPr>
        <w:t> </w:t>
      </w:r>
      <w:r>
        <w:rPr>
          <w:sz w:val="20"/>
        </w:rPr>
        <w:t>''unless</w:t>
      </w:r>
      <w:r>
        <w:rPr>
          <w:spacing w:val="-3"/>
          <w:sz w:val="20"/>
        </w:rPr>
        <w:t> </w:t>
      </w:r>
      <w:r>
        <w:rPr>
          <w:sz w:val="20"/>
        </w:rPr>
        <w:t>paragraph</w:t>
      </w:r>
      <w:r>
        <w:rPr>
          <w:spacing w:val="-4"/>
          <w:sz w:val="20"/>
        </w:rPr>
        <w:t> </w:t>
      </w:r>
      <w:r>
        <w:rPr>
          <w:sz w:val="20"/>
        </w:rPr>
        <w:t>4.2(c)</w:t>
      </w:r>
      <w:r>
        <w:rPr>
          <w:spacing w:val="-3"/>
          <w:sz w:val="20"/>
        </w:rPr>
        <w:t> </w:t>
      </w:r>
      <w:r>
        <w:rPr>
          <w:sz w:val="20"/>
        </w:rPr>
        <w:t>below</w:t>
      </w:r>
      <w:r>
        <w:rPr>
          <w:spacing w:val="-5"/>
          <w:sz w:val="20"/>
        </w:rPr>
        <w:t> </w:t>
      </w:r>
      <w:r>
        <w:rPr>
          <w:sz w:val="20"/>
        </w:rPr>
        <w:t>applies"</w:t>
      </w:r>
      <w:r>
        <w:rPr>
          <w:spacing w:val="-5"/>
          <w:sz w:val="20"/>
        </w:rPr>
        <w:t> </w:t>
      </w:r>
      <w:r>
        <w:rPr>
          <w:sz w:val="20"/>
        </w:rPr>
        <w:t>shall</w:t>
      </w:r>
      <w:r>
        <w:rPr>
          <w:spacing w:val="-3"/>
          <w:sz w:val="20"/>
        </w:rPr>
        <w:t> </w:t>
      </w:r>
      <w:r>
        <w:rPr>
          <w:sz w:val="20"/>
        </w:rPr>
        <w:t>be</w:t>
      </w:r>
      <w:r>
        <w:rPr>
          <w:spacing w:val="-2"/>
          <w:sz w:val="20"/>
        </w:rPr>
        <w:t> </w:t>
      </w:r>
      <w:r>
        <w:rPr>
          <w:sz w:val="20"/>
        </w:rPr>
        <w:t>inserted</w:t>
      </w:r>
      <w:r>
        <w:rPr>
          <w:spacing w:val="-4"/>
          <w:sz w:val="20"/>
        </w:rPr>
        <w:t> </w:t>
      </w:r>
      <w:r>
        <w:rPr>
          <w:sz w:val="20"/>
        </w:rPr>
        <w:t>after</w:t>
      </w:r>
      <w:r>
        <w:rPr>
          <w:spacing w:val="-3"/>
          <w:sz w:val="20"/>
        </w:rPr>
        <w:t> </w:t>
      </w:r>
      <w:r>
        <w:rPr>
          <w:sz w:val="20"/>
        </w:rPr>
        <w:t>the</w:t>
      </w:r>
      <w:r>
        <w:rPr>
          <w:spacing w:val="-2"/>
          <w:sz w:val="20"/>
        </w:rPr>
        <w:t> </w:t>
      </w:r>
      <w:r>
        <w:rPr>
          <w:sz w:val="20"/>
        </w:rPr>
        <w:t>words</w:t>
      </w:r>
      <w:r>
        <w:rPr>
          <w:spacing w:val="-3"/>
          <w:sz w:val="20"/>
        </w:rPr>
        <w:t> </w:t>
      </w:r>
      <w:r>
        <w:rPr>
          <w:sz w:val="20"/>
        </w:rPr>
        <w:t>“as soon as practicable” in paragraph</w:t>
      </w:r>
      <w:r>
        <w:rPr>
          <w:spacing w:val="-3"/>
          <w:sz w:val="20"/>
        </w:rPr>
        <w:t> </w:t>
      </w:r>
      <w:r>
        <w:rPr>
          <w:sz w:val="20"/>
        </w:rPr>
        <w:t>4.2(b).</w:t>
      </w:r>
    </w:p>
    <w:p>
      <w:pPr>
        <w:pStyle w:val="BodyText"/>
        <w:spacing w:before="3"/>
        <w:rPr>
          <w:sz w:val="24"/>
        </w:rPr>
      </w:pPr>
    </w:p>
    <w:p>
      <w:pPr>
        <w:pStyle w:val="ListParagraph"/>
        <w:numPr>
          <w:ilvl w:val="0"/>
          <w:numId w:val="3"/>
        </w:numPr>
        <w:tabs>
          <w:tab w:pos="667" w:val="left" w:leader="none"/>
          <w:tab w:pos="668" w:val="left" w:leader="none"/>
        </w:tabs>
        <w:spacing w:line="292" w:lineRule="auto" w:before="0" w:after="0"/>
        <w:ind w:left="668" w:right="421" w:hanging="509"/>
        <w:jc w:val="left"/>
        <w:rPr>
          <w:sz w:val="20"/>
        </w:rPr>
      </w:pPr>
      <w:r>
        <w:rPr>
          <w:sz w:val="20"/>
        </w:rPr>
        <w:t>The</w:t>
      </w:r>
      <w:r>
        <w:rPr>
          <w:spacing w:val="-5"/>
          <w:sz w:val="20"/>
        </w:rPr>
        <w:t> </w:t>
      </w:r>
      <w:r>
        <w:rPr>
          <w:sz w:val="20"/>
        </w:rPr>
        <w:t>words</w:t>
      </w:r>
      <w:r>
        <w:rPr>
          <w:spacing w:val="-4"/>
          <w:sz w:val="20"/>
        </w:rPr>
        <w:t> </w:t>
      </w:r>
      <w:r>
        <w:rPr>
          <w:sz w:val="20"/>
        </w:rPr>
        <w:t>“the</w:t>
      </w:r>
      <w:r>
        <w:rPr>
          <w:spacing w:val="-4"/>
          <w:sz w:val="20"/>
        </w:rPr>
        <w:t> </w:t>
      </w:r>
      <w:r>
        <w:rPr>
          <w:sz w:val="20"/>
        </w:rPr>
        <w:t>Guarantee</w:t>
      </w:r>
      <w:r>
        <w:rPr>
          <w:spacing w:val="-3"/>
          <w:sz w:val="20"/>
        </w:rPr>
        <w:t> </w:t>
      </w:r>
      <w:r>
        <w:rPr>
          <w:sz w:val="20"/>
        </w:rPr>
        <w:t>Fund’s”</w:t>
      </w:r>
      <w:r>
        <w:rPr>
          <w:spacing w:val="-4"/>
          <w:sz w:val="20"/>
        </w:rPr>
        <w:t> </w:t>
      </w:r>
      <w:r>
        <w:rPr>
          <w:sz w:val="20"/>
        </w:rPr>
        <w:t>in</w:t>
      </w:r>
      <w:r>
        <w:rPr>
          <w:spacing w:val="-3"/>
          <w:sz w:val="20"/>
        </w:rPr>
        <w:t> </w:t>
      </w:r>
      <w:r>
        <w:rPr>
          <w:sz w:val="20"/>
        </w:rPr>
        <w:t>paragraph</w:t>
      </w:r>
      <w:r>
        <w:rPr>
          <w:spacing w:val="-2"/>
          <w:sz w:val="20"/>
        </w:rPr>
        <w:t> </w:t>
      </w:r>
      <w:r>
        <w:rPr>
          <w:sz w:val="20"/>
        </w:rPr>
        <w:t>4.2(b)</w:t>
      </w:r>
      <w:r>
        <w:rPr>
          <w:spacing w:val="-2"/>
          <w:sz w:val="20"/>
        </w:rPr>
        <w:t> </w:t>
      </w:r>
      <w:r>
        <w:rPr>
          <w:sz w:val="20"/>
        </w:rPr>
        <w:t>shall</w:t>
      </w:r>
      <w:r>
        <w:rPr>
          <w:spacing w:val="-6"/>
          <w:sz w:val="20"/>
        </w:rPr>
        <w:t> </w:t>
      </w:r>
      <w:r>
        <w:rPr>
          <w:sz w:val="20"/>
        </w:rPr>
        <w:t>be</w:t>
      </w:r>
      <w:r>
        <w:rPr>
          <w:spacing w:val="-3"/>
          <w:sz w:val="20"/>
        </w:rPr>
        <w:t> </w:t>
      </w:r>
      <w:r>
        <w:rPr>
          <w:sz w:val="20"/>
        </w:rPr>
        <w:t>replaced</w:t>
      </w:r>
      <w:r>
        <w:rPr>
          <w:spacing w:val="-2"/>
          <w:sz w:val="20"/>
        </w:rPr>
        <w:t> </w:t>
      </w:r>
      <w:r>
        <w:rPr>
          <w:sz w:val="20"/>
        </w:rPr>
        <w:t>with</w:t>
      </w:r>
      <w:r>
        <w:rPr>
          <w:spacing w:val="-5"/>
          <w:sz w:val="20"/>
        </w:rPr>
        <w:t> </w:t>
      </w:r>
      <w:r>
        <w:rPr>
          <w:sz w:val="20"/>
        </w:rPr>
        <w:t>the</w:t>
      </w:r>
      <w:r>
        <w:rPr>
          <w:spacing w:val="-3"/>
          <w:sz w:val="20"/>
        </w:rPr>
        <w:t> </w:t>
      </w:r>
      <w:r>
        <w:rPr>
          <w:sz w:val="20"/>
        </w:rPr>
        <w:t>word “TIF’s”.</w:t>
      </w:r>
    </w:p>
    <w:p>
      <w:pPr>
        <w:pStyle w:val="BodyText"/>
        <w:spacing w:before="3"/>
        <w:rPr>
          <w:sz w:val="24"/>
        </w:rPr>
      </w:pPr>
    </w:p>
    <w:p>
      <w:pPr>
        <w:pStyle w:val="ListParagraph"/>
        <w:numPr>
          <w:ilvl w:val="0"/>
          <w:numId w:val="3"/>
        </w:numPr>
        <w:tabs>
          <w:tab w:pos="667" w:val="left" w:leader="none"/>
          <w:tab w:pos="668" w:val="left" w:leader="none"/>
        </w:tabs>
        <w:spacing w:line="240" w:lineRule="auto" w:before="0" w:after="0"/>
        <w:ind w:left="668" w:right="0" w:hanging="509"/>
        <w:jc w:val="left"/>
        <w:rPr>
          <w:sz w:val="20"/>
        </w:rPr>
      </w:pPr>
      <w:r>
        <w:rPr>
          <w:sz w:val="20"/>
        </w:rPr>
        <w:t>The word “and” at the end of paragraph 4.2(b) shall be</w:t>
      </w:r>
      <w:r>
        <w:rPr>
          <w:spacing w:val="-6"/>
          <w:sz w:val="20"/>
        </w:rPr>
        <w:t> </w:t>
      </w:r>
      <w:r>
        <w:rPr>
          <w:sz w:val="20"/>
        </w:rPr>
        <w:t>deleted.</w:t>
      </w:r>
    </w:p>
    <w:p>
      <w:pPr>
        <w:pStyle w:val="BodyText"/>
        <w:spacing w:before="9"/>
        <w:rPr>
          <w:sz w:val="28"/>
        </w:rPr>
      </w:pPr>
    </w:p>
    <w:p>
      <w:pPr>
        <w:pStyle w:val="ListParagraph"/>
        <w:numPr>
          <w:ilvl w:val="0"/>
          <w:numId w:val="3"/>
        </w:numPr>
        <w:tabs>
          <w:tab w:pos="667" w:val="left" w:leader="none"/>
          <w:tab w:pos="668" w:val="left" w:leader="none"/>
        </w:tabs>
        <w:spacing w:line="292" w:lineRule="auto" w:before="1" w:after="0"/>
        <w:ind w:left="668" w:right="149" w:hanging="509"/>
        <w:jc w:val="left"/>
        <w:rPr>
          <w:sz w:val="20"/>
        </w:rPr>
      </w:pPr>
      <w:r>
        <w:rPr>
          <w:sz w:val="20"/>
        </w:rPr>
        <w:t>The</w:t>
      </w:r>
      <w:r>
        <w:rPr>
          <w:spacing w:val="-4"/>
          <w:sz w:val="20"/>
        </w:rPr>
        <w:t> </w:t>
      </w:r>
      <w:r>
        <w:rPr>
          <w:sz w:val="20"/>
        </w:rPr>
        <w:t>following</w:t>
      </w:r>
      <w:r>
        <w:rPr>
          <w:spacing w:val="-3"/>
          <w:sz w:val="20"/>
        </w:rPr>
        <w:t> </w:t>
      </w:r>
      <w:r>
        <w:rPr>
          <w:sz w:val="20"/>
        </w:rPr>
        <w:t>words</w:t>
      </w:r>
      <w:r>
        <w:rPr>
          <w:spacing w:val="-3"/>
          <w:sz w:val="20"/>
        </w:rPr>
        <w:t> </w:t>
      </w:r>
      <w:r>
        <w:rPr>
          <w:sz w:val="20"/>
        </w:rPr>
        <w:t>shall</w:t>
      </w:r>
      <w:r>
        <w:rPr>
          <w:spacing w:val="-2"/>
          <w:sz w:val="20"/>
        </w:rPr>
        <w:t> </w:t>
      </w:r>
      <w:r>
        <w:rPr>
          <w:sz w:val="20"/>
        </w:rPr>
        <w:t>be</w:t>
      </w:r>
      <w:r>
        <w:rPr>
          <w:spacing w:val="-4"/>
          <w:sz w:val="20"/>
        </w:rPr>
        <w:t> </w:t>
      </w:r>
      <w:r>
        <w:rPr>
          <w:sz w:val="20"/>
        </w:rPr>
        <w:t>added</w:t>
      </w:r>
      <w:r>
        <w:rPr>
          <w:spacing w:val="-2"/>
          <w:sz w:val="20"/>
        </w:rPr>
        <w:t> </w:t>
      </w:r>
      <w:r>
        <w:rPr>
          <w:sz w:val="20"/>
        </w:rPr>
        <w:t>at</w:t>
      </w:r>
      <w:r>
        <w:rPr>
          <w:spacing w:val="-4"/>
          <w:sz w:val="20"/>
        </w:rPr>
        <w:t> </w:t>
      </w:r>
      <w:r>
        <w:rPr>
          <w:sz w:val="20"/>
        </w:rPr>
        <w:t>the</w:t>
      </w:r>
      <w:r>
        <w:rPr>
          <w:spacing w:val="-4"/>
          <w:sz w:val="20"/>
        </w:rPr>
        <w:t> </w:t>
      </w:r>
      <w:r>
        <w:rPr>
          <w:sz w:val="20"/>
        </w:rPr>
        <w:t>end</w:t>
      </w:r>
      <w:r>
        <w:rPr>
          <w:spacing w:val="-2"/>
          <w:sz w:val="20"/>
        </w:rPr>
        <w:t> </w:t>
      </w:r>
      <w:r>
        <w:rPr>
          <w:sz w:val="20"/>
        </w:rPr>
        <w:t>of</w:t>
      </w:r>
      <w:r>
        <w:rPr>
          <w:spacing w:val="-2"/>
          <w:sz w:val="20"/>
        </w:rPr>
        <w:t> </w:t>
      </w:r>
      <w:r>
        <w:rPr>
          <w:sz w:val="20"/>
        </w:rPr>
        <w:t>paragraph</w:t>
      </w:r>
      <w:r>
        <w:rPr>
          <w:spacing w:val="-4"/>
          <w:sz w:val="20"/>
        </w:rPr>
        <w:t> </w:t>
      </w:r>
      <w:r>
        <w:rPr>
          <w:sz w:val="20"/>
        </w:rPr>
        <w:t>4.3(b):</w:t>
      </w:r>
      <w:r>
        <w:rPr>
          <w:spacing w:val="-2"/>
          <w:sz w:val="20"/>
        </w:rPr>
        <w:t> </w:t>
      </w:r>
      <w:r>
        <w:rPr>
          <w:sz w:val="20"/>
        </w:rPr>
        <w:t>"or</w:t>
      </w:r>
      <w:r>
        <w:rPr>
          <w:spacing w:val="-3"/>
          <w:sz w:val="20"/>
        </w:rPr>
        <w:t> </w:t>
      </w:r>
      <w:r>
        <w:rPr>
          <w:sz w:val="20"/>
        </w:rPr>
        <w:t>if</w:t>
      </w:r>
      <w:r>
        <w:rPr>
          <w:spacing w:val="-2"/>
          <w:sz w:val="20"/>
        </w:rPr>
        <w:t> </w:t>
      </w:r>
      <w:r>
        <w:rPr>
          <w:sz w:val="20"/>
        </w:rPr>
        <w:t>paragraph</w:t>
      </w:r>
      <w:r>
        <w:rPr>
          <w:spacing w:val="-4"/>
          <w:sz w:val="20"/>
        </w:rPr>
        <w:t> </w:t>
      </w:r>
      <w:r>
        <w:rPr>
          <w:sz w:val="20"/>
        </w:rPr>
        <w:t>4.2(c) applies, allocated to TIF in priority to any allocation to FSCS to the extent required to reflect the terms of the judgment referred to in paragraph</w:t>
      </w:r>
      <w:r>
        <w:rPr>
          <w:spacing w:val="-13"/>
          <w:sz w:val="20"/>
        </w:rPr>
        <w:t> </w:t>
      </w:r>
      <w:r>
        <w:rPr>
          <w:sz w:val="20"/>
        </w:rPr>
        <w:t>4.2(c)”.</w:t>
      </w:r>
    </w:p>
    <w:p>
      <w:pPr>
        <w:pStyle w:val="BodyText"/>
        <w:rPr>
          <w:sz w:val="24"/>
        </w:rPr>
      </w:pPr>
    </w:p>
    <w:p>
      <w:pPr>
        <w:pStyle w:val="ListParagraph"/>
        <w:numPr>
          <w:ilvl w:val="0"/>
          <w:numId w:val="3"/>
        </w:numPr>
        <w:tabs>
          <w:tab w:pos="667" w:val="left" w:leader="none"/>
          <w:tab w:pos="668" w:val="left" w:leader="none"/>
        </w:tabs>
        <w:spacing w:line="292" w:lineRule="auto" w:before="0" w:after="0"/>
        <w:ind w:left="668" w:right="172" w:hanging="509"/>
        <w:jc w:val="left"/>
        <w:rPr>
          <w:sz w:val="20"/>
        </w:rPr>
      </w:pPr>
      <w:r>
        <w:rPr>
          <w:sz w:val="20"/>
        </w:rPr>
        <w:t>After paragraph 4.2(b) of the Settlement Agreement, a new subparagraph 4.2(c) will be added</w:t>
      </w:r>
      <w:r>
        <w:rPr>
          <w:spacing w:val="-5"/>
          <w:sz w:val="20"/>
        </w:rPr>
        <w:t> </w:t>
      </w:r>
      <w:r>
        <w:rPr>
          <w:sz w:val="20"/>
        </w:rPr>
        <w:t>(with</w:t>
      </w:r>
      <w:r>
        <w:rPr>
          <w:spacing w:val="-4"/>
          <w:sz w:val="20"/>
        </w:rPr>
        <w:t> </w:t>
      </w:r>
      <w:r>
        <w:rPr>
          <w:sz w:val="20"/>
        </w:rPr>
        <w:t>the</w:t>
      </w:r>
      <w:r>
        <w:rPr>
          <w:spacing w:val="-5"/>
          <w:sz w:val="20"/>
        </w:rPr>
        <w:t> </w:t>
      </w:r>
      <w:r>
        <w:rPr>
          <w:sz w:val="20"/>
        </w:rPr>
        <w:t>existing</w:t>
      </w:r>
      <w:r>
        <w:rPr>
          <w:spacing w:val="-4"/>
          <w:sz w:val="20"/>
        </w:rPr>
        <w:t> </w:t>
      </w:r>
      <w:r>
        <w:rPr>
          <w:sz w:val="20"/>
        </w:rPr>
        <w:t>subparagraph</w:t>
      </w:r>
      <w:r>
        <w:rPr>
          <w:spacing w:val="-2"/>
          <w:sz w:val="20"/>
        </w:rPr>
        <w:t> </w:t>
      </w:r>
      <w:r>
        <w:rPr>
          <w:sz w:val="20"/>
        </w:rPr>
        <w:t>4.2(c)</w:t>
      </w:r>
      <w:r>
        <w:rPr>
          <w:spacing w:val="-4"/>
          <w:sz w:val="20"/>
        </w:rPr>
        <w:t> </w:t>
      </w:r>
      <w:r>
        <w:rPr>
          <w:sz w:val="20"/>
        </w:rPr>
        <w:t>being</w:t>
      </w:r>
      <w:r>
        <w:rPr>
          <w:spacing w:val="-2"/>
          <w:sz w:val="20"/>
        </w:rPr>
        <w:t> </w:t>
      </w:r>
      <w:r>
        <w:rPr>
          <w:sz w:val="20"/>
        </w:rPr>
        <w:t>redesignated</w:t>
      </w:r>
      <w:r>
        <w:rPr>
          <w:spacing w:val="-5"/>
          <w:sz w:val="20"/>
        </w:rPr>
        <w:t> </w:t>
      </w:r>
      <w:r>
        <w:rPr>
          <w:sz w:val="20"/>
        </w:rPr>
        <w:t>4.2(d))</w:t>
      </w:r>
      <w:r>
        <w:rPr>
          <w:spacing w:val="-3"/>
          <w:sz w:val="20"/>
        </w:rPr>
        <w:t> </w:t>
      </w:r>
      <w:r>
        <w:rPr>
          <w:sz w:val="20"/>
        </w:rPr>
        <w:t>the</w:t>
      </w:r>
      <w:r>
        <w:rPr>
          <w:spacing w:val="-2"/>
          <w:sz w:val="20"/>
        </w:rPr>
        <w:t> </w:t>
      </w:r>
      <w:r>
        <w:rPr>
          <w:sz w:val="20"/>
        </w:rPr>
        <w:t>text</w:t>
      </w:r>
      <w:r>
        <w:rPr>
          <w:spacing w:val="-3"/>
          <w:sz w:val="20"/>
        </w:rPr>
        <w:t> </w:t>
      </w:r>
      <w:r>
        <w:rPr>
          <w:sz w:val="20"/>
        </w:rPr>
        <w:t>of</w:t>
      </w:r>
      <w:r>
        <w:rPr>
          <w:spacing w:val="-2"/>
          <w:sz w:val="20"/>
        </w:rPr>
        <w:t> </w:t>
      </w:r>
      <w:r>
        <w:rPr>
          <w:sz w:val="20"/>
        </w:rPr>
        <w:t>which shall be:</w:t>
      </w:r>
    </w:p>
    <w:p>
      <w:pPr>
        <w:pStyle w:val="BodyText"/>
        <w:spacing w:before="3"/>
        <w:rPr>
          <w:sz w:val="24"/>
        </w:rPr>
      </w:pPr>
    </w:p>
    <w:p>
      <w:pPr>
        <w:pStyle w:val="BodyText"/>
        <w:ind w:left="1520"/>
      </w:pPr>
      <w:r>
        <w:rPr/>
        <w:t>“4.2(c) If an Icelandic court gives a final and non-appealable judgment which</w:t>
      </w:r>
    </w:p>
    <w:p>
      <w:pPr>
        <w:pStyle w:val="ListParagraph"/>
        <w:numPr>
          <w:ilvl w:val="1"/>
          <w:numId w:val="3"/>
        </w:numPr>
        <w:tabs>
          <w:tab w:pos="2528" w:val="left" w:leader="none"/>
        </w:tabs>
        <w:spacing w:line="292" w:lineRule="auto" w:before="51" w:after="0"/>
        <w:ind w:left="2228" w:right="117" w:firstLine="0"/>
        <w:jc w:val="left"/>
        <w:rPr>
          <w:sz w:val="20"/>
        </w:rPr>
      </w:pPr>
      <w:r>
        <w:rPr>
          <w:sz w:val="20"/>
        </w:rPr>
        <w:t>determines that all or part of any claim assigned to </w:t>
      </w:r>
      <w:r>
        <w:rPr>
          <w:spacing w:val="-5"/>
          <w:sz w:val="20"/>
        </w:rPr>
        <w:t>TIF, </w:t>
      </w:r>
      <w:r>
        <w:rPr>
          <w:sz w:val="20"/>
        </w:rPr>
        <w:t>or the rights retained by FSCS, as the case </w:t>
      </w:r>
      <w:r>
        <w:rPr>
          <w:spacing w:val="2"/>
          <w:sz w:val="20"/>
        </w:rPr>
        <w:t>may </w:t>
      </w:r>
      <w:r>
        <w:rPr>
          <w:sz w:val="20"/>
        </w:rPr>
        <w:t>be, will be entitled to receive distributions in the Landsbanki estate on a preferential basis relative to other claims originating from the same deposits, and (2) is not in</w:t>
      </w:r>
      <w:r>
        <w:rPr>
          <w:spacing w:val="-35"/>
          <w:sz w:val="20"/>
        </w:rPr>
        <w:t> </w:t>
      </w:r>
      <w:r>
        <w:rPr>
          <w:sz w:val="20"/>
        </w:rPr>
        <w:t>conflict with an advisory opinion obtained from the Court of the European Free Trade Area on that preferential status;</w:t>
      </w:r>
      <w:r>
        <w:rPr>
          <w:spacing w:val="-17"/>
          <w:sz w:val="20"/>
        </w:rPr>
        <w:t> </w:t>
      </w:r>
      <w:r>
        <w:rPr>
          <w:sz w:val="20"/>
        </w:rPr>
        <w:t>or</w:t>
      </w:r>
    </w:p>
    <w:p>
      <w:pPr>
        <w:pStyle w:val="BodyText"/>
        <w:spacing w:before="10"/>
        <w:rPr>
          <w:sz w:val="23"/>
        </w:rPr>
      </w:pPr>
    </w:p>
    <w:p>
      <w:pPr>
        <w:pStyle w:val="BodyText"/>
        <w:spacing w:line="292" w:lineRule="auto" w:before="1"/>
        <w:ind w:left="2227" w:right="149"/>
      </w:pPr>
      <w:r>
        <w:rPr/>
        <w:t>the Winding-up Board of Landsbanki determines that all or part of any claim assigned to TIF or the rights retained by FSCS, as the case may be, will be entitled to receive distributions in the Landsbanki estate on a preferential basis relative to the other claims originating from the same deposits but such ruling is not challenged in an Icelandic court by any depositor or creditor and such failure to challenge is not the result of a Change of Icelandic Law made after 5 June 2009 which renders such a challenge more difficult or impossible;</w:t>
      </w:r>
    </w:p>
    <w:p>
      <w:pPr>
        <w:pStyle w:val="BodyText"/>
        <w:spacing w:before="10"/>
        <w:rPr>
          <w:sz w:val="23"/>
        </w:rPr>
      </w:pPr>
    </w:p>
    <w:p>
      <w:pPr>
        <w:pStyle w:val="BodyText"/>
        <w:spacing w:line="292" w:lineRule="auto" w:before="1"/>
        <w:ind w:left="2227" w:right="158"/>
      </w:pPr>
      <w:r>
        <w:rPr/>
        <w:t>then, unless that preferential status results from any Change of Icelandic Law made after 5 June 2009, the obligation described in subparagraph (b) above for the TIF or FSCS, as the case may be, to make balancing payments will not apply; and“</w:t>
      </w:r>
    </w:p>
    <w:p>
      <w:pPr>
        <w:pStyle w:val="BodyText"/>
        <w:rPr>
          <w:sz w:val="24"/>
        </w:rPr>
      </w:pPr>
    </w:p>
    <w:p>
      <w:pPr>
        <w:pStyle w:val="Heading2"/>
        <w:numPr>
          <w:ilvl w:val="0"/>
          <w:numId w:val="2"/>
        </w:numPr>
        <w:tabs>
          <w:tab w:pos="809" w:val="left" w:leader="none"/>
          <w:tab w:pos="810" w:val="left" w:leader="none"/>
        </w:tabs>
        <w:spacing w:line="240" w:lineRule="auto" w:before="0" w:after="0"/>
        <w:ind w:left="809" w:right="0" w:hanging="708"/>
        <w:jc w:val="left"/>
      </w:pPr>
      <w:r>
        <w:rPr/>
        <w:t>INCORPORATION OF</w:t>
      </w:r>
      <w:r>
        <w:rPr>
          <w:spacing w:val="-2"/>
        </w:rPr>
        <w:t> </w:t>
      </w:r>
      <w:r>
        <w:rPr/>
        <w:t>TERMS</w:t>
      </w:r>
    </w:p>
    <w:p>
      <w:pPr>
        <w:pStyle w:val="BodyText"/>
        <w:spacing w:before="8"/>
        <w:rPr>
          <w:b/>
          <w:sz w:val="28"/>
        </w:rPr>
      </w:pPr>
    </w:p>
    <w:p>
      <w:pPr>
        <w:pStyle w:val="ListParagraph"/>
        <w:numPr>
          <w:ilvl w:val="1"/>
          <w:numId w:val="2"/>
        </w:numPr>
        <w:tabs>
          <w:tab w:pos="809" w:val="left" w:leader="none"/>
          <w:tab w:pos="810" w:val="left" w:leader="none"/>
        </w:tabs>
        <w:spacing w:line="292" w:lineRule="auto" w:before="0" w:after="0"/>
        <w:ind w:left="809" w:right="130" w:hanging="708"/>
        <w:jc w:val="left"/>
        <w:rPr>
          <w:sz w:val="20"/>
        </w:rPr>
      </w:pPr>
      <w:r>
        <w:rPr>
          <w:sz w:val="20"/>
        </w:rPr>
        <w:t>Paragraphs 5 (</w:t>
      </w:r>
      <w:r>
        <w:rPr>
          <w:i/>
          <w:sz w:val="20"/>
        </w:rPr>
        <w:t>Confidentiality</w:t>
      </w:r>
      <w:r>
        <w:rPr>
          <w:sz w:val="20"/>
        </w:rPr>
        <w:t>), 6.2 - 6.5 inclusive (</w:t>
      </w:r>
      <w:r>
        <w:rPr>
          <w:i/>
          <w:sz w:val="20"/>
        </w:rPr>
        <w:t>Miscellaneous Provisions</w:t>
      </w:r>
      <w:r>
        <w:rPr>
          <w:sz w:val="20"/>
        </w:rPr>
        <w:t>), 7 (</w:t>
      </w:r>
      <w:r>
        <w:rPr>
          <w:i/>
          <w:sz w:val="20"/>
        </w:rPr>
        <w:t>Liability </w:t>
      </w:r>
      <w:r>
        <w:rPr>
          <w:i/>
          <w:sz w:val="20"/>
        </w:rPr>
        <w:t>and Indemnity</w:t>
      </w:r>
      <w:r>
        <w:rPr>
          <w:sz w:val="20"/>
        </w:rPr>
        <w:t>), 8 (</w:t>
      </w:r>
      <w:r>
        <w:rPr>
          <w:i/>
          <w:sz w:val="20"/>
        </w:rPr>
        <w:t>Representations and Warranties</w:t>
      </w:r>
      <w:r>
        <w:rPr>
          <w:sz w:val="20"/>
        </w:rPr>
        <w:t>), 9 (</w:t>
      </w:r>
      <w:r>
        <w:rPr>
          <w:i/>
          <w:sz w:val="20"/>
        </w:rPr>
        <w:t>Entire Agreement</w:t>
      </w:r>
      <w:r>
        <w:rPr>
          <w:sz w:val="20"/>
        </w:rPr>
        <w:t>), 12 (</w:t>
      </w:r>
      <w:r>
        <w:rPr>
          <w:i/>
          <w:sz w:val="20"/>
        </w:rPr>
        <w:t>Notices</w:t>
      </w:r>
      <w:r>
        <w:rPr>
          <w:sz w:val="20"/>
        </w:rPr>
        <w:t>), 13 (</w:t>
      </w:r>
      <w:r>
        <w:rPr>
          <w:i/>
          <w:sz w:val="20"/>
        </w:rPr>
        <w:t>Governing law and jurisdiction</w:t>
      </w:r>
      <w:r>
        <w:rPr>
          <w:sz w:val="20"/>
        </w:rPr>
        <w:t>) and 14 (</w:t>
      </w:r>
      <w:r>
        <w:rPr>
          <w:i/>
          <w:sz w:val="20"/>
        </w:rPr>
        <w:t>Waiver of sovereign immunity</w:t>
      </w:r>
      <w:r>
        <w:rPr>
          <w:sz w:val="20"/>
        </w:rPr>
        <w:t>) apply</w:t>
      </w:r>
      <w:r>
        <w:rPr>
          <w:spacing w:val="-5"/>
          <w:sz w:val="20"/>
        </w:rPr>
        <w:t> </w:t>
      </w:r>
      <w:r>
        <w:rPr>
          <w:sz w:val="20"/>
        </w:rPr>
        <w:t>to</w:t>
      </w:r>
      <w:r>
        <w:rPr>
          <w:spacing w:val="-3"/>
          <w:sz w:val="20"/>
        </w:rPr>
        <w:t> </w:t>
      </w:r>
      <w:r>
        <w:rPr>
          <w:sz w:val="20"/>
        </w:rPr>
        <w:t>this</w:t>
      </w:r>
      <w:r>
        <w:rPr>
          <w:spacing w:val="-10"/>
          <w:sz w:val="20"/>
        </w:rPr>
        <w:t> </w:t>
      </w:r>
      <w:r>
        <w:rPr>
          <w:sz w:val="20"/>
        </w:rPr>
        <w:t>Amendment</w:t>
      </w:r>
      <w:r>
        <w:rPr>
          <w:spacing w:val="-15"/>
          <w:sz w:val="20"/>
        </w:rPr>
        <w:t> </w:t>
      </w:r>
      <w:r>
        <w:rPr>
          <w:sz w:val="20"/>
        </w:rPr>
        <w:t>Agreement</w:t>
      </w:r>
      <w:r>
        <w:rPr>
          <w:spacing w:val="-3"/>
          <w:sz w:val="20"/>
        </w:rPr>
        <w:t> </w:t>
      </w:r>
      <w:r>
        <w:rPr>
          <w:sz w:val="20"/>
        </w:rPr>
        <w:t>as</w:t>
      </w:r>
      <w:r>
        <w:rPr>
          <w:spacing w:val="-2"/>
          <w:sz w:val="20"/>
        </w:rPr>
        <w:t> </w:t>
      </w:r>
      <w:r>
        <w:rPr>
          <w:sz w:val="20"/>
        </w:rPr>
        <w:t>if</w:t>
      </w:r>
      <w:r>
        <w:rPr>
          <w:spacing w:val="-2"/>
          <w:sz w:val="20"/>
        </w:rPr>
        <w:t> </w:t>
      </w:r>
      <w:r>
        <w:rPr>
          <w:sz w:val="20"/>
        </w:rPr>
        <w:t>set</w:t>
      </w:r>
      <w:r>
        <w:rPr>
          <w:spacing w:val="-3"/>
          <w:sz w:val="20"/>
        </w:rPr>
        <w:t> </w:t>
      </w:r>
      <w:r>
        <w:rPr>
          <w:sz w:val="20"/>
        </w:rPr>
        <w:t>out</w:t>
      </w:r>
      <w:r>
        <w:rPr>
          <w:spacing w:val="-1"/>
          <w:sz w:val="20"/>
        </w:rPr>
        <w:t> </w:t>
      </w:r>
      <w:r>
        <w:rPr>
          <w:sz w:val="20"/>
        </w:rPr>
        <w:t>in</w:t>
      </w:r>
      <w:r>
        <w:rPr>
          <w:spacing w:val="-1"/>
          <w:sz w:val="20"/>
        </w:rPr>
        <w:t> </w:t>
      </w:r>
      <w:r>
        <w:rPr>
          <w:sz w:val="20"/>
        </w:rPr>
        <w:t>it</w:t>
      </w:r>
      <w:r>
        <w:rPr>
          <w:spacing w:val="-1"/>
          <w:sz w:val="20"/>
        </w:rPr>
        <w:t> </w:t>
      </w:r>
      <w:r>
        <w:rPr>
          <w:sz w:val="20"/>
        </w:rPr>
        <w:t>and</w:t>
      </w:r>
      <w:r>
        <w:rPr>
          <w:spacing w:val="-3"/>
          <w:sz w:val="20"/>
        </w:rPr>
        <w:t> </w:t>
      </w:r>
      <w:r>
        <w:rPr>
          <w:sz w:val="20"/>
        </w:rPr>
        <w:t>for</w:t>
      </w:r>
      <w:r>
        <w:rPr>
          <w:spacing w:val="-2"/>
          <w:sz w:val="20"/>
        </w:rPr>
        <w:t> </w:t>
      </w:r>
      <w:r>
        <w:rPr>
          <w:sz w:val="20"/>
        </w:rPr>
        <w:t>this</w:t>
      </w:r>
      <w:r>
        <w:rPr>
          <w:spacing w:val="-3"/>
          <w:sz w:val="20"/>
        </w:rPr>
        <w:t> </w:t>
      </w:r>
      <w:r>
        <w:rPr>
          <w:sz w:val="20"/>
        </w:rPr>
        <w:t>purpose</w:t>
      </w:r>
      <w:r>
        <w:rPr>
          <w:spacing w:val="-3"/>
          <w:sz w:val="20"/>
        </w:rPr>
        <w:t> </w:t>
      </w:r>
      <w:r>
        <w:rPr>
          <w:sz w:val="20"/>
        </w:rPr>
        <w:t>all</w:t>
      </w:r>
      <w:r>
        <w:rPr>
          <w:spacing w:val="-4"/>
          <w:sz w:val="20"/>
        </w:rPr>
        <w:t> </w:t>
      </w:r>
      <w:r>
        <w:rPr>
          <w:sz w:val="20"/>
        </w:rPr>
        <w:t>references in those paragraphs to “this agreement” shall be deemed to be refer to this Amendment Agreement.</w:t>
      </w:r>
    </w:p>
    <w:p>
      <w:pPr>
        <w:spacing w:after="0" w:line="292" w:lineRule="auto"/>
        <w:jc w:val="left"/>
        <w:rPr>
          <w:sz w:val="20"/>
        </w:rPr>
        <w:sectPr>
          <w:pgSz w:w="11900" w:h="16840"/>
          <w:pgMar w:top="1420" w:bottom="280" w:left="1600" w:right="1600"/>
        </w:sectPr>
      </w:pPr>
    </w:p>
    <w:p>
      <w:pPr>
        <w:pStyle w:val="BodyText"/>
      </w:pPr>
    </w:p>
    <w:p>
      <w:pPr>
        <w:pStyle w:val="BodyText"/>
      </w:pPr>
    </w:p>
    <w:p>
      <w:pPr>
        <w:pStyle w:val="BodyText"/>
        <w:spacing w:before="2"/>
        <w:rPr>
          <w:sz w:val="21"/>
        </w:rPr>
      </w:pPr>
    </w:p>
    <w:p>
      <w:pPr>
        <w:pStyle w:val="Heading2"/>
        <w:spacing w:line="290" w:lineRule="auto"/>
        <w:ind w:left="101" w:right="656" w:firstLine="0"/>
      </w:pPr>
      <w:r>
        <w:rPr/>
        <w:t>THIS AMENDMENT AGREEMENT HAS BEEN MADE ON THE DATE STATED AT THE BEGINNING OF THIS AGREEMENT BY:</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
        <w:rPr>
          <w:b/>
          <w:sz w:val="22"/>
        </w:rPr>
      </w:pPr>
    </w:p>
    <w:p>
      <w:pPr>
        <w:pStyle w:val="BodyText"/>
        <w:tabs>
          <w:tab w:pos="5062" w:val="left" w:leader="none"/>
        </w:tabs>
        <w:ind w:left="101"/>
      </w:pPr>
      <w:r>
        <w:rPr/>
        <w:t>Financial Services Compensation</w:t>
      </w:r>
      <w:r>
        <w:rPr>
          <w:spacing w:val="-12"/>
        </w:rPr>
        <w:t> </w:t>
      </w:r>
      <w:r>
        <w:rPr/>
        <w:t>Scheme</w:t>
      </w:r>
      <w:r>
        <w:rPr>
          <w:spacing w:val="-5"/>
        </w:rPr>
        <w:t> </w:t>
      </w:r>
      <w:r>
        <w:rPr/>
        <w:t>Limited</w:t>
        <w:tab/>
        <w:t>……………………………………………..</w:t>
      </w:r>
    </w:p>
    <w:p>
      <w:pPr>
        <w:pStyle w:val="BodyText"/>
        <w:spacing w:before="7"/>
        <w:rPr>
          <w:sz w:val="28"/>
        </w:rPr>
      </w:pPr>
    </w:p>
    <w:p>
      <w:pPr>
        <w:pStyle w:val="BodyText"/>
        <w:ind w:left="101"/>
      </w:pPr>
      <w:r>
        <w:rPr>
          <w:i/>
        </w:rPr>
        <w:t>Name</w:t>
      </w:r>
      <w:r>
        <w:rPr/>
        <w:t>: Loretta Minghela</w:t>
      </w:r>
    </w:p>
    <w:p>
      <w:pPr>
        <w:pStyle w:val="BodyText"/>
        <w:spacing w:before="8"/>
        <w:rPr>
          <w:sz w:val="28"/>
        </w:rPr>
      </w:pPr>
    </w:p>
    <w:p>
      <w:pPr>
        <w:spacing w:before="0"/>
        <w:ind w:left="101" w:right="0" w:firstLine="0"/>
        <w:jc w:val="left"/>
        <w:rPr>
          <w:sz w:val="20"/>
        </w:rPr>
      </w:pPr>
      <w:r>
        <w:rPr>
          <w:i/>
          <w:sz w:val="20"/>
        </w:rPr>
        <w:t>Title</w:t>
      </w:r>
      <w:r>
        <w:rPr>
          <w:sz w:val="20"/>
        </w:rPr>
        <w:t>:</w:t>
      </w:r>
    </w:p>
    <w:p>
      <w:pPr>
        <w:pStyle w:val="BodyText"/>
        <w:rPr>
          <w:sz w:val="22"/>
        </w:rPr>
      </w:pPr>
    </w:p>
    <w:p>
      <w:pPr>
        <w:pStyle w:val="BodyText"/>
        <w:rPr>
          <w:sz w:val="22"/>
        </w:rPr>
      </w:pPr>
    </w:p>
    <w:p>
      <w:pPr>
        <w:pStyle w:val="BodyText"/>
        <w:rPr>
          <w:sz w:val="22"/>
        </w:rPr>
      </w:pPr>
    </w:p>
    <w:p>
      <w:pPr>
        <w:pStyle w:val="BodyText"/>
        <w:tabs>
          <w:tab w:pos="5062" w:val="left" w:leader="none"/>
        </w:tabs>
        <w:spacing w:before="134"/>
        <w:ind w:left="101"/>
      </w:pPr>
      <w:r>
        <w:rPr/>
        <w:t>The Depositors’ and</w:t>
      </w:r>
      <w:r>
        <w:rPr>
          <w:spacing w:val="-19"/>
        </w:rPr>
        <w:t> </w:t>
      </w:r>
      <w:r>
        <w:rPr/>
        <w:t>Investors’</w:t>
      </w:r>
      <w:r>
        <w:rPr>
          <w:spacing w:val="-12"/>
        </w:rPr>
        <w:t> </w:t>
      </w:r>
      <w:r>
        <w:rPr/>
        <w:t>Guarantee</w:t>
        <w:tab/>
        <w:t>……………………………………………..</w:t>
      </w:r>
    </w:p>
    <w:p>
      <w:pPr>
        <w:pStyle w:val="BodyText"/>
        <w:spacing w:before="5"/>
        <w:rPr>
          <w:sz w:val="28"/>
        </w:rPr>
      </w:pPr>
    </w:p>
    <w:p>
      <w:pPr>
        <w:spacing w:line="585" w:lineRule="auto" w:before="0"/>
        <w:ind w:left="101" w:right="5306" w:firstLine="0"/>
        <w:jc w:val="left"/>
        <w:rPr>
          <w:sz w:val="20"/>
        </w:rPr>
      </w:pPr>
      <w:r>
        <w:rPr>
          <w:sz w:val="20"/>
        </w:rPr>
        <w:t>Fund of Iceland (</w:t>
      </w:r>
      <w:r>
        <w:rPr>
          <w:i/>
          <w:sz w:val="20"/>
        </w:rPr>
        <w:t>Tryggingarsjóður </w:t>
      </w:r>
      <w:r>
        <w:rPr>
          <w:i/>
          <w:sz w:val="20"/>
        </w:rPr>
        <w:t>Innstæðueigenda og Fjárfesta</w:t>
      </w:r>
      <w:r>
        <w:rPr>
          <w:sz w:val="20"/>
        </w:rPr>
        <w:t>) </w:t>
      </w:r>
      <w:r>
        <w:rPr>
          <w:i/>
          <w:sz w:val="20"/>
        </w:rPr>
        <w:t>Name</w:t>
      </w:r>
      <w:r>
        <w:rPr>
          <w:sz w:val="20"/>
        </w:rPr>
        <w:t>: Áslaug Árnadóttir</w:t>
      </w:r>
    </w:p>
    <w:p>
      <w:pPr>
        <w:pStyle w:val="BodyText"/>
        <w:tabs>
          <w:tab w:pos="809" w:val="left" w:leader="none"/>
        </w:tabs>
        <w:spacing w:line="227" w:lineRule="exact"/>
        <w:ind w:left="101"/>
      </w:pPr>
      <w:r>
        <w:rPr>
          <w:i/>
        </w:rPr>
        <w:t>Title</w:t>
      </w:r>
      <w:r>
        <w:rPr/>
        <w:t>:</w:t>
        <w:tab/>
        <w:t>Chairman of the Board</w:t>
      </w:r>
    </w:p>
    <w:sectPr>
      <w:pgSz w:w="11900" w:h="16840"/>
      <w:pgMar w:top="1600" w:bottom="280" w:left="1600" w:right="1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crosoft Sans Serif">
    <w:altName w:val="Microsoft Sans Serif"/>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668" w:hanging="509"/>
        <w:jc w:val="left"/>
      </w:pPr>
      <w:rPr>
        <w:rFonts w:hint="default" w:ascii="Arial" w:hAnsi="Arial" w:eastAsia="Arial" w:cs="Arial"/>
        <w:spacing w:val="-1"/>
        <w:w w:val="99"/>
        <w:sz w:val="20"/>
        <w:szCs w:val="20"/>
      </w:rPr>
    </w:lvl>
    <w:lvl w:ilvl="1">
      <w:start w:val="1"/>
      <w:numFmt w:val="decimal"/>
      <w:lvlText w:val="(%2)"/>
      <w:lvlJc w:val="left"/>
      <w:pPr>
        <w:ind w:left="2228" w:hanging="300"/>
        <w:jc w:val="left"/>
      </w:pPr>
      <w:rPr>
        <w:rFonts w:hint="default" w:ascii="Arial" w:hAnsi="Arial" w:eastAsia="Arial" w:cs="Arial"/>
        <w:spacing w:val="-1"/>
        <w:w w:val="99"/>
        <w:sz w:val="20"/>
        <w:szCs w:val="20"/>
      </w:rPr>
    </w:lvl>
    <w:lvl w:ilvl="2">
      <w:start w:val="0"/>
      <w:numFmt w:val="bullet"/>
      <w:lvlText w:val="•"/>
      <w:lvlJc w:val="left"/>
      <w:pPr>
        <w:ind w:left="2940" w:hanging="300"/>
      </w:pPr>
      <w:rPr>
        <w:rFonts w:hint="default"/>
      </w:rPr>
    </w:lvl>
    <w:lvl w:ilvl="3">
      <w:start w:val="0"/>
      <w:numFmt w:val="bullet"/>
      <w:lvlText w:val="•"/>
      <w:lvlJc w:val="left"/>
      <w:pPr>
        <w:ind w:left="3660" w:hanging="300"/>
      </w:pPr>
      <w:rPr>
        <w:rFonts w:hint="default"/>
      </w:rPr>
    </w:lvl>
    <w:lvl w:ilvl="4">
      <w:start w:val="0"/>
      <w:numFmt w:val="bullet"/>
      <w:lvlText w:val="•"/>
      <w:lvlJc w:val="left"/>
      <w:pPr>
        <w:ind w:left="4380" w:hanging="300"/>
      </w:pPr>
      <w:rPr>
        <w:rFonts w:hint="default"/>
      </w:rPr>
    </w:lvl>
    <w:lvl w:ilvl="5">
      <w:start w:val="0"/>
      <w:numFmt w:val="bullet"/>
      <w:lvlText w:val="•"/>
      <w:lvlJc w:val="left"/>
      <w:pPr>
        <w:ind w:left="5100" w:hanging="300"/>
      </w:pPr>
      <w:rPr>
        <w:rFonts w:hint="default"/>
      </w:rPr>
    </w:lvl>
    <w:lvl w:ilvl="6">
      <w:start w:val="0"/>
      <w:numFmt w:val="bullet"/>
      <w:lvlText w:val="•"/>
      <w:lvlJc w:val="left"/>
      <w:pPr>
        <w:ind w:left="5820" w:hanging="300"/>
      </w:pPr>
      <w:rPr>
        <w:rFonts w:hint="default"/>
      </w:rPr>
    </w:lvl>
    <w:lvl w:ilvl="7">
      <w:start w:val="0"/>
      <w:numFmt w:val="bullet"/>
      <w:lvlText w:val="•"/>
      <w:lvlJc w:val="left"/>
      <w:pPr>
        <w:ind w:left="6540" w:hanging="300"/>
      </w:pPr>
      <w:rPr>
        <w:rFonts w:hint="default"/>
      </w:rPr>
    </w:lvl>
    <w:lvl w:ilvl="8">
      <w:start w:val="0"/>
      <w:numFmt w:val="bullet"/>
      <w:lvlText w:val="•"/>
      <w:lvlJc w:val="left"/>
      <w:pPr>
        <w:ind w:left="7260" w:hanging="300"/>
      </w:pPr>
      <w:rPr>
        <w:rFonts w:hint="default"/>
      </w:rPr>
    </w:lvl>
  </w:abstractNum>
  <w:abstractNum w:abstractNumId="1">
    <w:multiLevelType w:val="hybridMultilevel"/>
    <w:lvl w:ilvl="0">
      <w:start w:val="1"/>
      <w:numFmt w:val="decimal"/>
      <w:lvlText w:val="%1."/>
      <w:lvlJc w:val="left"/>
      <w:pPr>
        <w:ind w:left="809" w:hanging="708"/>
        <w:jc w:val="left"/>
      </w:pPr>
      <w:rPr>
        <w:rFonts w:hint="default" w:ascii="Arial" w:hAnsi="Arial" w:eastAsia="Arial" w:cs="Arial"/>
        <w:b/>
        <w:bCs/>
        <w:spacing w:val="-1"/>
        <w:w w:val="99"/>
        <w:sz w:val="20"/>
        <w:szCs w:val="20"/>
      </w:rPr>
    </w:lvl>
    <w:lvl w:ilvl="1">
      <w:start w:val="1"/>
      <w:numFmt w:val="decimal"/>
      <w:lvlText w:val="%1.%2"/>
      <w:lvlJc w:val="left"/>
      <w:pPr>
        <w:ind w:left="809" w:hanging="708"/>
        <w:jc w:val="left"/>
      </w:pPr>
      <w:rPr>
        <w:rFonts w:hint="default" w:ascii="Arial" w:hAnsi="Arial" w:eastAsia="Arial" w:cs="Arial"/>
        <w:b/>
        <w:bCs/>
        <w:spacing w:val="-1"/>
        <w:w w:val="99"/>
        <w:sz w:val="20"/>
        <w:szCs w:val="20"/>
      </w:rPr>
    </w:lvl>
    <w:lvl w:ilvl="2">
      <w:start w:val="0"/>
      <w:numFmt w:val="bullet"/>
      <w:lvlText w:val="•"/>
      <w:lvlJc w:val="left"/>
      <w:pPr>
        <w:ind w:left="2380" w:hanging="708"/>
      </w:pPr>
      <w:rPr>
        <w:rFonts w:hint="default"/>
      </w:rPr>
    </w:lvl>
    <w:lvl w:ilvl="3">
      <w:start w:val="0"/>
      <w:numFmt w:val="bullet"/>
      <w:lvlText w:val="•"/>
      <w:lvlJc w:val="left"/>
      <w:pPr>
        <w:ind w:left="3170" w:hanging="708"/>
      </w:pPr>
      <w:rPr>
        <w:rFonts w:hint="default"/>
      </w:rPr>
    </w:lvl>
    <w:lvl w:ilvl="4">
      <w:start w:val="0"/>
      <w:numFmt w:val="bullet"/>
      <w:lvlText w:val="•"/>
      <w:lvlJc w:val="left"/>
      <w:pPr>
        <w:ind w:left="3960" w:hanging="708"/>
      </w:pPr>
      <w:rPr>
        <w:rFonts w:hint="default"/>
      </w:rPr>
    </w:lvl>
    <w:lvl w:ilvl="5">
      <w:start w:val="0"/>
      <w:numFmt w:val="bullet"/>
      <w:lvlText w:val="•"/>
      <w:lvlJc w:val="left"/>
      <w:pPr>
        <w:ind w:left="4750" w:hanging="708"/>
      </w:pPr>
      <w:rPr>
        <w:rFonts w:hint="default"/>
      </w:rPr>
    </w:lvl>
    <w:lvl w:ilvl="6">
      <w:start w:val="0"/>
      <w:numFmt w:val="bullet"/>
      <w:lvlText w:val="•"/>
      <w:lvlJc w:val="left"/>
      <w:pPr>
        <w:ind w:left="5540" w:hanging="708"/>
      </w:pPr>
      <w:rPr>
        <w:rFonts w:hint="default"/>
      </w:rPr>
    </w:lvl>
    <w:lvl w:ilvl="7">
      <w:start w:val="0"/>
      <w:numFmt w:val="bullet"/>
      <w:lvlText w:val="•"/>
      <w:lvlJc w:val="left"/>
      <w:pPr>
        <w:ind w:left="6330" w:hanging="708"/>
      </w:pPr>
      <w:rPr>
        <w:rFonts w:hint="default"/>
      </w:rPr>
    </w:lvl>
    <w:lvl w:ilvl="8">
      <w:start w:val="0"/>
      <w:numFmt w:val="bullet"/>
      <w:lvlText w:val="•"/>
      <w:lvlJc w:val="left"/>
      <w:pPr>
        <w:ind w:left="7120" w:hanging="708"/>
      </w:pPr>
      <w:rPr>
        <w:rFonts w:hint="default"/>
      </w:rPr>
    </w:lvl>
  </w:abstractNum>
  <w:abstractNum w:abstractNumId="0">
    <w:multiLevelType w:val="hybridMultilevel"/>
    <w:lvl w:ilvl="0">
      <w:start w:val="1"/>
      <w:numFmt w:val="decimal"/>
      <w:lvlText w:val="%1."/>
      <w:lvlJc w:val="left"/>
      <w:pPr>
        <w:ind w:left="461" w:hanging="360"/>
        <w:jc w:val="left"/>
      </w:pPr>
      <w:rPr>
        <w:rFonts w:hint="default" w:ascii="Arial" w:hAnsi="Arial" w:eastAsia="Arial" w:cs="Arial"/>
        <w:spacing w:val="-1"/>
        <w:w w:val="99"/>
        <w:sz w:val="20"/>
        <w:szCs w:val="20"/>
      </w:rPr>
    </w:lvl>
    <w:lvl w:ilvl="1">
      <w:start w:val="1"/>
      <w:numFmt w:val="upperLetter"/>
      <w:lvlText w:val="%2."/>
      <w:lvlJc w:val="left"/>
      <w:pPr>
        <w:ind w:left="461" w:hanging="360"/>
        <w:jc w:val="left"/>
      </w:pPr>
      <w:rPr>
        <w:rFonts w:hint="default" w:ascii="Arial" w:hAnsi="Arial" w:eastAsia="Arial" w:cs="Arial"/>
        <w:spacing w:val="-1"/>
        <w:w w:val="99"/>
        <w:sz w:val="20"/>
        <w:szCs w:val="20"/>
      </w:rPr>
    </w:lvl>
    <w:lvl w:ilvl="2">
      <w:start w:val="0"/>
      <w:numFmt w:val="bullet"/>
      <w:lvlText w:val="•"/>
      <w:lvlJc w:val="left"/>
      <w:pPr>
        <w:ind w:left="2108" w:hanging="360"/>
      </w:pPr>
      <w:rPr>
        <w:rFonts w:hint="default"/>
      </w:rPr>
    </w:lvl>
    <w:lvl w:ilvl="3">
      <w:start w:val="0"/>
      <w:numFmt w:val="bullet"/>
      <w:lvlText w:val="•"/>
      <w:lvlJc w:val="left"/>
      <w:pPr>
        <w:ind w:left="2932" w:hanging="360"/>
      </w:pPr>
      <w:rPr>
        <w:rFonts w:hint="default"/>
      </w:rPr>
    </w:lvl>
    <w:lvl w:ilvl="4">
      <w:start w:val="0"/>
      <w:numFmt w:val="bullet"/>
      <w:lvlText w:val="•"/>
      <w:lvlJc w:val="left"/>
      <w:pPr>
        <w:ind w:left="3756" w:hanging="360"/>
      </w:pPr>
      <w:rPr>
        <w:rFonts w:hint="default"/>
      </w:rPr>
    </w:lvl>
    <w:lvl w:ilvl="5">
      <w:start w:val="0"/>
      <w:numFmt w:val="bullet"/>
      <w:lvlText w:val="•"/>
      <w:lvlJc w:val="left"/>
      <w:pPr>
        <w:ind w:left="4580" w:hanging="360"/>
      </w:pPr>
      <w:rPr>
        <w:rFonts w:hint="default"/>
      </w:rPr>
    </w:lvl>
    <w:lvl w:ilvl="6">
      <w:start w:val="0"/>
      <w:numFmt w:val="bullet"/>
      <w:lvlText w:val="•"/>
      <w:lvlJc w:val="left"/>
      <w:pPr>
        <w:ind w:left="5404" w:hanging="360"/>
      </w:pPr>
      <w:rPr>
        <w:rFonts w:hint="default"/>
      </w:rPr>
    </w:lvl>
    <w:lvl w:ilvl="7">
      <w:start w:val="0"/>
      <w:numFmt w:val="bullet"/>
      <w:lvlText w:val="•"/>
      <w:lvlJc w:val="left"/>
      <w:pPr>
        <w:ind w:left="6228" w:hanging="360"/>
      </w:pPr>
      <w:rPr>
        <w:rFonts w:hint="default"/>
      </w:rPr>
    </w:lvl>
    <w:lvl w:ilvl="8">
      <w:start w:val="0"/>
      <w:numFmt w:val="bullet"/>
      <w:lvlText w:val="•"/>
      <w:lvlJc w:val="left"/>
      <w:pPr>
        <w:ind w:left="7052" w:hanging="36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1462"/>
      <w:outlineLvl w:val="1"/>
    </w:pPr>
    <w:rPr>
      <w:rFonts w:ascii="Arial" w:hAnsi="Arial" w:eastAsia="Arial" w:cs="Arial"/>
      <w:b/>
      <w:bCs/>
      <w:sz w:val="24"/>
      <w:szCs w:val="24"/>
    </w:rPr>
  </w:style>
  <w:style w:styleId="Heading2" w:type="paragraph">
    <w:name w:val="Heading 2"/>
    <w:basedOn w:val="Normal"/>
    <w:uiPriority w:val="1"/>
    <w:qFormat/>
    <w:pPr>
      <w:ind w:left="809" w:hanging="708"/>
      <w:outlineLvl w:val="2"/>
    </w:pPr>
    <w:rPr>
      <w:rFonts w:ascii="Arial" w:hAnsi="Arial" w:eastAsia="Arial" w:cs="Arial"/>
      <w:b/>
      <w:bCs/>
      <w:sz w:val="20"/>
      <w:szCs w:val="20"/>
    </w:rPr>
  </w:style>
  <w:style w:styleId="ListParagraph" w:type="paragraph">
    <w:name w:val="List Paragraph"/>
    <w:basedOn w:val="Normal"/>
    <w:uiPriority w:val="1"/>
    <w:qFormat/>
    <w:pPr>
      <w:ind w:left="809" w:hanging="708"/>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