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503BC" w14:textId="77777777" w:rsidR="00665214" w:rsidRDefault="00000000">
      <w:pPr>
        <w:pStyle w:val="Heading1"/>
        <w:spacing w:before="63"/>
        <w:ind w:left="147"/>
        <w:jc w:val="center"/>
      </w:pPr>
      <w:r>
        <w:t>ELECTRIC SUPPLIER SERVICE AGREEMENT</w:t>
      </w:r>
    </w:p>
    <w:p w14:paraId="59CD14D1" w14:textId="77777777" w:rsidR="00665214" w:rsidRDefault="00665214">
      <w:pPr>
        <w:pStyle w:val="BodyText"/>
        <w:rPr>
          <w:b/>
          <w:sz w:val="26"/>
        </w:rPr>
      </w:pPr>
    </w:p>
    <w:p w14:paraId="2BA487BE" w14:textId="77777777" w:rsidR="00665214" w:rsidRDefault="00665214">
      <w:pPr>
        <w:pStyle w:val="BodyText"/>
        <w:rPr>
          <w:b/>
          <w:sz w:val="23"/>
        </w:rPr>
      </w:pPr>
    </w:p>
    <w:p w14:paraId="61F85A7D" w14:textId="77777777" w:rsidR="00665214" w:rsidRDefault="00000000">
      <w:pPr>
        <w:pStyle w:val="BodyText"/>
        <w:tabs>
          <w:tab w:val="left" w:pos="4500"/>
          <w:tab w:val="left" w:pos="5840"/>
        </w:tabs>
        <w:spacing w:before="1"/>
        <w:ind w:left="240" w:right="222" w:firstLine="719"/>
      </w:pPr>
      <w:r>
        <w:t>This Agreement</w:t>
      </w:r>
      <w:r>
        <w:rPr>
          <w:spacing w:val="2"/>
        </w:rPr>
        <w:t xml:space="preserve"> </w:t>
      </w:r>
      <w:r>
        <w:t>made</w:t>
      </w:r>
      <w:r>
        <w:rPr>
          <w:spacing w:val="-1"/>
        </w:rPr>
        <w:t xml:space="preserve"> </w:t>
      </w:r>
      <w:r>
        <w:t>this</w:t>
      </w:r>
      <w:r>
        <w:tab/>
        <w:t>day</w:t>
      </w:r>
      <w:r>
        <w:rPr>
          <w:spacing w:val="-5"/>
        </w:rPr>
        <w:t xml:space="preserve"> </w:t>
      </w:r>
      <w:r>
        <w:t>of</w:t>
      </w:r>
      <w:r>
        <w:tab/>
        <w:t xml:space="preserve">, </w:t>
      </w:r>
      <w:proofErr w:type="gramStart"/>
      <w:r>
        <w:t>20 ,</w:t>
      </w:r>
      <w:proofErr w:type="gramEnd"/>
      <w:r>
        <w:t xml:space="preserve"> by and between The Connecticut Light and Power Company, a Connecticut corporation with a principal place of business at 107 Selden Street, Berlin, CT, doing business as Eversource Energy (“Company”)</w:t>
      </w:r>
      <w:r>
        <w:rPr>
          <w:spacing w:val="-3"/>
        </w:rPr>
        <w:t xml:space="preserve"> </w:t>
      </w:r>
      <w:r>
        <w:t>and</w:t>
      </w:r>
      <w:r>
        <w:tab/>
        <w:t>,</w:t>
      </w:r>
      <w:r>
        <w:rPr>
          <w:spacing w:val="1"/>
        </w:rPr>
        <w:t xml:space="preserve"> </w:t>
      </w:r>
      <w:r>
        <w:t>a</w:t>
      </w:r>
    </w:p>
    <w:p w14:paraId="0FB45EC8" w14:textId="77777777" w:rsidR="00665214" w:rsidRDefault="00000000">
      <w:pPr>
        <w:pStyle w:val="BodyText"/>
        <w:tabs>
          <w:tab w:val="left" w:pos="6099"/>
        </w:tabs>
        <w:ind w:left="240"/>
      </w:pPr>
      <w:r>
        <w:t>corporation with a principal place of</w:t>
      </w:r>
      <w:r>
        <w:rPr>
          <w:spacing w:val="3"/>
        </w:rPr>
        <w:t xml:space="preserve"> </w:t>
      </w:r>
      <w:r>
        <w:t>business</w:t>
      </w:r>
      <w:r>
        <w:rPr>
          <w:spacing w:val="-3"/>
        </w:rPr>
        <w:t xml:space="preserve"> </w:t>
      </w:r>
      <w:r>
        <w:t>at</w:t>
      </w:r>
      <w:r>
        <w:tab/>
        <w:t>(“Supplier”).</w:t>
      </w:r>
    </w:p>
    <w:p w14:paraId="15A4CB51" w14:textId="77777777" w:rsidR="00665214" w:rsidRDefault="00665214">
      <w:pPr>
        <w:pStyle w:val="BodyText"/>
        <w:spacing w:before="11"/>
        <w:rPr>
          <w:sz w:val="23"/>
        </w:rPr>
      </w:pPr>
    </w:p>
    <w:p w14:paraId="6E189FCA" w14:textId="77777777" w:rsidR="00665214" w:rsidRDefault="00000000">
      <w:pPr>
        <w:pStyle w:val="ListParagraph"/>
        <w:numPr>
          <w:ilvl w:val="0"/>
          <w:numId w:val="2"/>
        </w:numPr>
        <w:tabs>
          <w:tab w:val="left" w:pos="960"/>
          <w:tab w:val="left" w:pos="961"/>
        </w:tabs>
        <w:ind w:hanging="721"/>
        <w:rPr>
          <w:sz w:val="24"/>
        </w:rPr>
      </w:pPr>
      <w:r>
        <w:rPr>
          <w:sz w:val="24"/>
          <w:u w:val="single"/>
        </w:rPr>
        <w:t>Recitals</w:t>
      </w:r>
    </w:p>
    <w:p w14:paraId="41B6FF85" w14:textId="77777777" w:rsidR="00665214" w:rsidRDefault="00000000">
      <w:pPr>
        <w:pStyle w:val="BodyText"/>
        <w:ind w:left="240" w:right="507" w:firstLine="719"/>
      </w:pPr>
      <w:proofErr w:type="gramStart"/>
      <w:r>
        <w:t>WHEREAS,</w:t>
      </w:r>
      <w:proofErr w:type="gramEnd"/>
      <w:r>
        <w:t xml:space="preserve"> the Company is an electric distribution company as defined in section 16-1 of the Connecticut General Statutes, and as such is obligated by section 16-244i(d) to provide metering, billing and collection services (“Supplier Services”) to electric suppliers;</w:t>
      </w:r>
    </w:p>
    <w:p w14:paraId="247563F7" w14:textId="77777777" w:rsidR="00665214" w:rsidRDefault="00665214">
      <w:pPr>
        <w:pStyle w:val="BodyText"/>
        <w:spacing w:before="3"/>
      </w:pPr>
    </w:p>
    <w:p w14:paraId="4688BB9E" w14:textId="77777777" w:rsidR="00665214" w:rsidRDefault="00000000">
      <w:pPr>
        <w:pStyle w:val="BodyText"/>
        <w:ind w:left="240" w:right="507" w:firstLine="719"/>
      </w:pPr>
      <w:r>
        <w:t xml:space="preserve">WHEREAS, pursuant to that obligation, the Company made a filing with the Connecticut Department of Public Utility Control, now known as the Public Utilities Regulatory Authority (“PURA”) and obtained PURA approval of its Terms and Conditions for Electric Suppliers (“Terms and Conditions”), which apply to the provision of Supplier Services by the Company to licensed electric </w:t>
      </w:r>
      <w:proofErr w:type="gramStart"/>
      <w:r>
        <w:t>suppliers;</w:t>
      </w:r>
      <w:proofErr w:type="gramEnd"/>
    </w:p>
    <w:p w14:paraId="069281C8" w14:textId="77777777" w:rsidR="00665214" w:rsidRDefault="00665214">
      <w:pPr>
        <w:pStyle w:val="BodyText"/>
      </w:pPr>
    </w:p>
    <w:p w14:paraId="3D897FEB" w14:textId="77777777" w:rsidR="00665214" w:rsidRDefault="00000000">
      <w:pPr>
        <w:pStyle w:val="BodyText"/>
        <w:ind w:left="240" w:right="429" w:firstLine="719"/>
        <w:jc w:val="both"/>
      </w:pPr>
      <w:proofErr w:type="gramStart"/>
      <w:r>
        <w:t>WHEREAS,</w:t>
      </w:r>
      <w:proofErr w:type="gramEnd"/>
      <w:r>
        <w:t xml:space="preserve"> the Terms and Conditions require electric suppliers to enter into a service contract with the Company for Supplier Services prior to the electric supplier’s initiation of generation service to customers, as defined therein; and</w:t>
      </w:r>
    </w:p>
    <w:p w14:paraId="5EFD1EEE" w14:textId="77777777" w:rsidR="00665214" w:rsidRDefault="00665214">
      <w:pPr>
        <w:pStyle w:val="BodyText"/>
        <w:spacing w:before="1"/>
      </w:pPr>
    </w:p>
    <w:p w14:paraId="2F987205" w14:textId="77777777" w:rsidR="00665214" w:rsidRDefault="00000000">
      <w:pPr>
        <w:pStyle w:val="BodyText"/>
        <w:ind w:left="240" w:right="301" w:firstLine="719"/>
      </w:pPr>
      <w:r>
        <w:t>WHEREAS, the PURA has licensed the Supplier as an electric supplier in the State of Connecticut, and the Company has agreed to provide Supplier Services to the Supplier in accordance with the Terms and Conditions, incorporated herein by reference, and the terms of this Agreement, which includes Exhibits A, B and C attached hereto and incorporated herein.</w:t>
      </w:r>
    </w:p>
    <w:p w14:paraId="065AF054" w14:textId="77777777" w:rsidR="00665214" w:rsidRDefault="00665214">
      <w:pPr>
        <w:pStyle w:val="BodyText"/>
      </w:pPr>
    </w:p>
    <w:p w14:paraId="69C27711" w14:textId="77777777" w:rsidR="00665214" w:rsidRDefault="00000000">
      <w:pPr>
        <w:pStyle w:val="BodyText"/>
        <w:ind w:left="960"/>
      </w:pPr>
      <w:r>
        <w:t>NOW THEREFORE, the parties agree as follows:</w:t>
      </w:r>
    </w:p>
    <w:p w14:paraId="645EBBFD" w14:textId="77777777" w:rsidR="00665214" w:rsidRDefault="00665214">
      <w:pPr>
        <w:pStyle w:val="BodyText"/>
        <w:rPr>
          <w:sz w:val="26"/>
        </w:rPr>
      </w:pPr>
    </w:p>
    <w:p w14:paraId="215EB992" w14:textId="77777777" w:rsidR="00665214" w:rsidRDefault="00665214">
      <w:pPr>
        <w:pStyle w:val="BodyText"/>
        <w:spacing w:before="1"/>
        <w:rPr>
          <w:sz w:val="22"/>
        </w:rPr>
      </w:pPr>
    </w:p>
    <w:p w14:paraId="4A01D5A7" w14:textId="77777777" w:rsidR="00665214" w:rsidRDefault="00000000">
      <w:pPr>
        <w:pStyle w:val="ListParagraph"/>
        <w:numPr>
          <w:ilvl w:val="0"/>
          <w:numId w:val="2"/>
        </w:numPr>
        <w:tabs>
          <w:tab w:val="left" w:pos="960"/>
          <w:tab w:val="left" w:pos="961"/>
        </w:tabs>
        <w:ind w:hanging="721"/>
        <w:rPr>
          <w:sz w:val="24"/>
        </w:rPr>
      </w:pPr>
      <w:r>
        <w:rPr>
          <w:sz w:val="24"/>
          <w:u w:val="single"/>
        </w:rPr>
        <w:t>Definitions</w:t>
      </w:r>
    </w:p>
    <w:p w14:paraId="436E49AD" w14:textId="77777777" w:rsidR="00665214" w:rsidRDefault="00000000">
      <w:pPr>
        <w:pStyle w:val="BodyText"/>
        <w:ind w:left="240" w:right="301" w:firstLine="719"/>
      </w:pPr>
      <w:r>
        <w:t>Any capitalized terms used in this Agreement and not defined herein shall have the same meaning as defined in the Terms and Conditions. In the event of any conflict between a term defined herein and an alternate definition contained in the Terms and Conditions, the definition contained in the Terms and Conditions shall control.</w:t>
      </w:r>
    </w:p>
    <w:p w14:paraId="790D3BCC" w14:textId="77777777" w:rsidR="00665214" w:rsidRDefault="00665214">
      <w:pPr>
        <w:pStyle w:val="BodyText"/>
      </w:pPr>
    </w:p>
    <w:p w14:paraId="0BBC0C08" w14:textId="77777777" w:rsidR="00665214" w:rsidRDefault="00000000">
      <w:pPr>
        <w:pStyle w:val="ListParagraph"/>
        <w:numPr>
          <w:ilvl w:val="0"/>
          <w:numId w:val="2"/>
        </w:numPr>
        <w:tabs>
          <w:tab w:val="left" w:pos="960"/>
          <w:tab w:val="left" w:pos="961"/>
        </w:tabs>
        <w:ind w:hanging="721"/>
        <w:rPr>
          <w:sz w:val="24"/>
        </w:rPr>
      </w:pPr>
      <w:r>
        <w:rPr>
          <w:sz w:val="24"/>
          <w:u w:val="single"/>
        </w:rPr>
        <w:t>Term</w:t>
      </w:r>
    </w:p>
    <w:p w14:paraId="48263964" w14:textId="77777777" w:rsidR="00665214" w:rsidRDefault="00000000">
      <w:pPr>
        <w:pStyle w:val="BodyText"/>
        <w:ind w:left="240" w:right="301" w:firstLine="719"/>
      </w:pPr>
      <w:r>
        <w:t xml:space="preserve">This Agreement shall become effective as of the date hereof (“Effective Date”) and shall continue in full force and effect from month to month unless and until terminated by either party by written notice given no less than thirty (30) days prior to the desired termination date (“Termination Date”), except as provided in Sections VI and XII of this Agreement. Notwithstanding the foregoing, the parties agree to abide by all terms of this Agreement for a reasonable </w:t>
      </w:r>
      <w:proofErr w:type="gramStart"/>
      <w:r>
        <w:t>period of time</w:t>
      </w:r>
      <w:proofErr w:type="gramEnd"/>
      <w:r>
        <w:t xml:space="preserve"> until the Company</w:t>
      </w:r>
      <w:r>
        <w:rPr>
          <w:spacing w:val="7"/>
        </w:rPr>
        <w:t xml:space="preserve"> </w:t>
      </w:r>
      <w:r>
        <w:t>has</w:t>
      </w:r>
    </w:p>
    <w:p w14:paraId="7D748ACA" w14:textId="77777777" w:rsidR="00665214" w:rsidRDefault="00000000">
      <w:pPr>
        <w:tabs>
          <w:tab w:val="left" w:pos="8158"/>
        </w:tabs>
        <w:spacing w:before="129"/>
        <w:ind w:left="139"/>
        <w:rPr>
          <w:rFonts w:ascii="Calibri"/>
          <w:b/>
          <w:sz w:val="24"/>
        </w:rPr>
      </w:pPr>
      <w:r>
        <w:rPr>
          <w:rFonts w:ascii="Calibri"/>
        </w:rPr>
        <w:t xml:space="preserve">Page </w:t>
      </w:r>
      <w:r>
        <w:rPr>
          <w:rFonts w:ascii="Calibri"/>
          <w:b/>
        </w:rPr>
        <w:t>1</w:t>
      </w:r>
      <w:r>
        <w:rPr>
          <w:rFonts w:ascii="Calibri"/>
          <w:b/>
          <w:spacing w:val="-1"/>
        </w:rPr>
        <w:t xml:space="preserve"> </w:t>
      </w:r>
      <w:r>
        <w:rPr>
          <w:rFonts w:ascii="Calibri"/>
        </w:rPr>
        <w:t>of</w:t>
      </w:r>
      <w:r>
        <w:rPr>
          <w:rFonts w:ascii="Calibri"/>
          <w:spacing w:val="-2"/>
        </w:rPr>
        <w:t xml:space="preserve"> </w:t>
      </w:r>
      <w:r>
        <w:rPr>
          <w:rFonts w:ascii="Calibri"/>
          <w:b/>
        </w:rPr>
        <w:t>14</w:t>
      </w:r>
      <w:r>
        <w:rPr>
          <w:rFonts w:ascii="Calibri"/>
          <w:b/>
        </w:rPr>
        <w:tab/>
      </w:r>
      <w:r>
        <w:rPr>
          <w:rFonts w:ascii="Calibri"/>
          <w:b/>
          <w:sz w:val="24"/>
        </w:rPr>
        <w:t>May 23, 2017</w:t>
      </w:r>
    </w:p>
    <w:p w14:paraId="7AFD62F0" w14:textId="77777777" w:rsidR="00665214" w:rsidRDefault="00665214">
      <w:pPr>
        <w:rPr>
          <w:rFonts w:ascii="Calibri"/>
          <w:sz w:val="24"/>
        </w:rPr>
        <w:sectPr w:rsidR="00665214">
          <w:type w:val="continuous"/>
          <w:pgSz w:w="12240" w:h="15840"/>
          <w:pgMar w:top="1380" w:right="1220" w:bottom="280" w:left="1200" w:header="720" w:footer="720" w:gutter="0"/>
          <w:cols w:space="720"/>
        </w:sectPr>
      </w:pPr>
    </w:p>
    <w:p w14:paraId="65C97F41" w14:textId="77777777" w:rsidR="00665214" w:rsidRDefault="00000000">
      <w:pPr>
        <w:pStyle w:val="BodyText"/>
        <w:spacing w:before="76"/>
        <w:ind w:left="240" w:right="349"/>
      </w:pPr>
      <w:r>
        <w:lastRenderedPageBreak/>
        <w:t xml:space="preserve">completed processing any transactions related to enrollment, billing, </w:t>
      </w:r>
      <w:proofErr w:type="gramStart"/>
      <w:r>
        <w:t>payment</w:t>
      </w:r>
      <w:proofErr w:type="gramEnd"/>
      <w:r>
        <w:t xml:space="preserve"> or load reporting that are outstanding on the Termination Date. Notwithstanding the Effective Date, Supplier acknowledges that Company will provide Supplier Services, as more particularly set forth in Section VII of this Agreement, only upon satisfaction, or express, written waiver by the Company, of the conditions set forth in Section IV of this Agreement.</w:t>
      </w:r>
    </w:p>
    <w:p w14:paraId="7E23DA5E" w14:textId="77777777" w:rsidR="00665214" w:rsidRDefault="00665214">
      <w:pPr>
        <w:pStyle w:val="BodyText"/>
        <w:spacing w:before="9"/>
        <w:rPr>
          <w:sz w:val="23"/>
        </w:rPr>
      </w:pPr>
    </w:p>
    <w:p w14:paraId="407D4EB8" w14:textId="77777777" w:rsidR="00665214" w:rsidRDefault="00000000">
      <w:pPr>
        <w:pStyle w:val="ListParagraph"/>
        <w:numPr>
          <w:ilvl w:val="0"/>
          <w:numId w:val="2"/>
        </w:numPr>
        <w:tabs>
          <w:tab w:val="left" w:pos="960"/>
          <w:tab w:val="left" w:pos="961"/>
        </w:tabs>
        <w:ind w:hanging="721"/>
        <w:rPr>
          <w:sz w:val="24"/>
        </w:rPr>
      </w:pPr>
      <w:r>
        <w:rPr>
          <w:sz w:val="24"/>
          <w:u w:val="single"/>
        </w:rPr>
        <w:t>Conditions of Receiving Supplier</w:t>
      </w:r>
      <w:r>
        <w:rPr>
          <w:spacing w:val="3"/>
          <w:sz w:val="24"/>
          <w:u w:val="single"/>
        </w:rPr>
        <w:t xml:space="preserve"> </w:t>
      </w:r>
      <w:r>
        <w:rPr>
          <w:sz w:val="24"/>
          <w:u w:val="single"/>
        </w:rPr>
        <w:t>Services</w:t>
      </w:r>
    </w:p>
    <w:p w14:paraId="2241CB60" w14:textId="77777777" w:rsidR="00665214" w:rsidRDefault="00000000">
      <w:pPr>
        <w:pStyle w:val="BodyText"/>
        <w:ind w:left="240" w:firstLine="719"/>
      </w:pPr>
      <w:r>
        <w:t>The following requirements shall be conditions to the Company’s obligations hereunder:</w:t>
      </w:r>
    </w:p>
    <w:p w14:paraId="5123F63E" w14:textId="77777777" w:rsidR="00665214" w:rsidRDefault="00000000">
      <w:pPr>
        <w:pStyle w:val="ListParagraph"/>
        <w:numPr>
          <w:ilvl w:val="1"/>
          <w:numId w:val="2"/>
        </w:numPr>
        <w:tabs>
          <w:tab w:val="left" w:pos="1680"/>
          <w:tab w:val="left" w:pos="1681"/>
        </w:tabs>
        <w:ind w:right="391"/>
        <w:rPr>
          <w:sz w:val="24"/>
        </w:rPr>
      </w:pPr>
      <w:r>
        <w:rPr>
          <w:sz w:val="24"/>
        </w:rPr>
        <w:t>Supplier shall provide to the Company all information required in Exhibits B and</w:t>
      </w:r>
      <w:r>
        <w:rPr>
          <w:spacing w:val="1"/>
          <w:sz w:val="24"/>
        </w:rPr>
        <w:t xml:space="preserve"> </w:t>
      </w:r>
      <w:r>
        <w:rPr>
          <w:sz w:val="24"/>
        </w:rPr>
        <w:t>C.</w:t>
      </w:r>
    </w:p>
    <w:p w14:paraId="6BAA9697" w14:textId="77777777" w:rsidR="00665214" w:rsidRDefault="00000000">
      <w:pPr>
        <w:pStyle w:val="ListParagraph"/>
        <w:numPr>
          <w:ilvl w:val="1"/>
          <w:numId w:val="2"/>
        </w:numPr>
        <w:tabs>
          <w:tab w:val="left" w:pos="1680"/>
          <w:tab w:val="left" w:pos="1681"/>
        </w:tabs>
        <w:spacing w:before="1"/>
        <w:ind w:right="228"/>
        <w:rPr>
          <w:sz w:val="24"/>
        </w:rPr>
      </w:pPr>
      <w:r>
        <w:rPr>
          <w:sz w:val="24"/>
        </w:rPr>
        <w:t>Supplier shall obtain and maintain the necessary electric supplier’s license from the</w:t>
      </w:r>
      <w:r>
        <w:rPr>
          <w:spacing w:val="5"/>
          <w:sz w:val="24"/>
        </w:rPr>
        <w:t xml:space="preserve"> </w:t>
      </w:r>
      <w:r>
        <w:rPr>
          <w:sz w:val="24"/>
        </w:rPr>
        <w:t>PURA.</w:t>
      </w:r>
    </w:p>
    <w:p w14:paraId="0A60188B" w14:textId="77777777" w:rsidR="00665214" w:rsidRDefault="00000000">
      <w:pPr>
        <w:pStyle w:val="ListParagraph"/>
        <w:numPr>
          <w:ilvl w:val="1"/>
          <w:numId w:val="2"/>
        </w:numPr>
        <w:tabs>
          <w:tab w:val="left" w:pos="1680"/>
          <w:tab w:val="left" w:pos="1681"/>
        </w:tabs>
        <w:ind w:right="353"/>
        <w:rPr>
          <w:sz w:val="24"/>
        </w:rPr>
      </w:pPr>
      <w:r>
        <w:rPr>
          <w:sz w:val="24"/>
        </w:rPr>
        <w:t xml:space="preserve">Supplier shall furnish to the Company a complete schedule of its relevant rates and rate pricing options for Generation Service in written form or in an electronic format reasonably acceptable to Company, at Company’s option. Such schedule shall be provided no less than (a) </w:t>
      </w:r>
      <w:r>
        <w:rPr>
          <w:spacing w:val="3"/>
          <w:sz w:val="24"/>
        </w:rPr>
        <w:t xml:space="preserve">ten </w:t>
      </w:r>
      <w:r>
        <w:rPr>
          <w:sz w:val="24"/>
        </w:rPr>
        <w:t>(10) business days prior to initial customer enrollment for any such rate or a change in Supplier’s existing rates, or (b) five (5) business days prior to a change in rate pricing</w:t>
      </w:r>
      <w:r>
        <w:rPr>
          <w:spacing w:val="1"/>
          <w:sz w:val="24"/>
        </w:rPr>
        <w:t xml:space="preserve"> </w:t>
      </w:r>
      <w:r>
        <w:rPr>
          <w:sz w:val="24"/>
        </w:rPr>
        <w:t>options.</w:t>
      </w:r>
    </w:p>
    <w:p w14:paraId="239A3F60" w14:textId="77777777" w:rsidR="00665214" w:rsidRDefault="00000000">
      <w:pPr>
        <w:pStyle w:val="ListParagraph"/>
        <w:numPr>
          <w:ilvl w:val="1"/>
          <w:numId w:val="2"/>
        </w:numPr>
        <w:tabs>
          <w:tab w:val="left" w:pos="1680"/>
          <w:tab w:val="left" w:pos="1681"/>
        </w:tabs>
        <w:ind w:right="341"/>
        <w:rPr>
          <w:sz w:val="24"/>
        </w:rPr>
      </w:pPr>
      <w:r>
        <w:rPr>
          <w:sz w:val="24"/>
        </w:rPr>
        <w:t xml:space="preserve">Prior to customer enrollment, Supplier shall successfully complete testing with the Company of the Electronic Business Transactions (“EBT”) as specified in Section 16-245-3 of the Regulations of Connecticut State Agencies (Post Licensing Filing Requirements) and the EBT </w:t>
      </w:r>
      <w:r>
        <w:rPr>
          <w:spacing w:val="2"/>
          <w:sz w:val="24"/>
        </w:rPr>
        <w:t xml:space="preserve">Working </w:t>
      </w:r>
      <w:r>
        <w:rPr>
          <w:sz w:val="24"/>
        </w:rPr>
        <w:t xml:space="preserve">Group Report published under the direction of the EBT </w:t>
      </w:r>
      <w:r>
        <w:rPr>
          <w:spacing w:val="2"/>
          <w:sz w:val="24"/>
        </w:rPr>
        <w:t xml:space="preserve">Working </w:t>
      </w:r>
      <w:r>
        <w:rPr>
          <w:sz w:val="24"/>
        </w:rPr>
        <w:t xml:space="preserve">Group (the EBT regulations and the EBT </w:t>
      </w:r>
      <w:r>
        <w:rPr>
          <w:spacing w:val="2"/>
          <w:sz w:val="24"/>
        </w:rPr>
        <w:t xml:space="preserve">Working </w:t>
      </w:r>
      <w:r>
        <w:rPr>
          <w:sz w:val="24"/>
        </w:rPr>
        <w:t>Group Report are collectively referred to herein as “EBT</w:t>
      </w:r>
      <w:r>
        <w:rPr>
          <w:spacing w:val="7"/>
          <w:sz w:val="24"/>
        </w:rPr>
        <w:t xml:space="preserve"> </w:t>
      </w:r>
      <w:r>
        <w:rPr>
          <w:sz w:val="24"/>
        </w:rPr>
        <w:t>Standards”).</w:t>
      </w:r>
    </w:p>
    <w:p w14:paraId="6F7E0629" w14:textId="77777777" w:rsidR="00665214" w:rsidRDefault="00665214">
      <w:pPr>
        <w:pStyle w:val="BodyText"/>
      </w:pPr>
    </w:p>
    <w:p w14:paraId="50BF4D40" w14:textId="77777777" w:rsidR="00665214" w:rsidRDefault="00000000">
      <w:pPr>
        <w:pStyle w:val="ListParagraph"/>
        <w:numPr>
          <w:ilvl w:val="0"/>
          <w:numId w:val="2"/>
        </w:numPr>
        <w:tabs>
          <w:tab w:val="left" w:pos="960"/>
          <w:tab w:val="left" w:pos="961"/>
        </w:tabs>
        <w:spacing w:before="1"/>
        <w:ind w:hanging="721"/>
        <w:rPr>
          <w:sz w:val="24"/>
        </w:rPr>
      </w:pPr>
      <w:r>
        <w:rPr>
          <w:sz w:val="24"/>
          <w:u w:val="single"/>
        </w:rPr>
        <w:t xml:space="preserve">Representations </w:t>
      </w:r>
    </w:p>
    <w:p w14:paraId="560381EA" w14:textId="77777777" w:rsidR="00665214" w:rsidRDefault="00000000">
      <w:pPr>
        <w:pStyle w:val="BodyText"/>
        <w:ind w:left="240" w:right="507" w:firstLine="719"/>
      </w:pPr>
      <w:r>
        <w:t>Each party represents that it is and shall during the term of this Agreement remain in compliance with all applicable laws, regulations, tariffs, and the Terms and Conditions, as they may be amended from time to time.</w:t>
      </w:r>
    </w:p>
    <w:p w14:paraId="5F9BDCE6" w14:textId="77777777" w:rsidR="00665214" w:rsidRDefault="00000000">
      <w:pPr>
        <w:pStyle w:val="BodyText"/>
        <w:ind w:left="240" w:firstLine="719"/>
      </w:pPr>
      <w:r>
        <w:t>Each party represents and warrants that the person executing this Agreement for the respective parties has authority to bind that party.</w:t>
      </w:r>
    </w:p>
    <w:p w14:paraId="79765D29" w14:textId="77777777" w:rsidR="00665214" w:rsidRDefault="00000000">
      <w:pPr>
        <w:pStyle w:val="BodyText"/>
        <w:ind w:left="240" w:right="254" w:firstLine="719"/>
      </w:pPr>
      <w:r>
        <w:t xml:space="preserve">Each party represents that: (a) it has the full power and authority to execute, deliver, and perform this Agreement; (b) the execution, delivery, and performance of this Agreement have been duly authorized by all necessary corporate or other action by such party; and (c) this Agreement constitutes that party’s legal, </w:t>
      </w:r>
      <w:proofErr w:type="gramStart"/>
      <w:r>
        <w:t>valid</w:t>
      </w:r>
      <w:proofErr w:type="gramEnd"/>
      <w:r>
        <w:t xml:space="preserve"> and binding obligation, enforceable against such party in accordance with its terms.</w:t>
      </w:r>
    </w:p>
    <w:p w14:paraId="4CE0E687" w14:textId="77777777" w:rsidR="00665214" w:rsidRDefault="00000000">
      <w:pPr>
        <w:pStyle w:val="BodyText"/>
        <w:spacing w:before="3"/>
        <w:ind w:left="240" w:firstLine="719"/>
      </w:pPr>
      <w:r>
        <w:t xml:space="preserve">Each party shall exercise all reasonable care, diligence and good faith in the performance of its duties pursuant to this </w:t>
      </w:r>
      <w:proofErr w:type="gramStart"/>
      <w:r>
        <w:t>Agreement, and</w:t>
      </w:r>
      <w:proofErr w:type="gramEnd"/>
      <w:r>
        <w:t xml:space="preserve"> carry out its duties in accordance with applicable recognized professional standards.</w:t>
      </w:r>
    </w:p>
    <w:p w14:paraId="6AF8B3F7" w14:textId="77777777" w:rsidR="00665214" w:rsidRDefault="00665214">
      <w:pPr>
        <w:pStyle w:val="BodyText"/>
        <w:spacing w:before="9"/>
        <w:rPr>
          <w:sz w:val="23"/>
        </w:rPr>
      </w:pPr>
    </w:p>
    <w:p w14:paraId="621CEC49" w14:textId="77777777" w:rsidR="00665214" w:rsidRDefault="00000000">
      <w:pPr>
        <w:pStyle w:val="ListParagraph"/>
        <w:numPr>
          <w:ilvl w:val="0"/>
          <w:numId w:val="2"/>
        </w:numPr>
        <w:tabs>
          <w:tab w:val="left" w:pos="960"/>
          <w:tab w:val="left" w:pos="961"/>
        </w:tabs>
        <w:ind w:hanging="721"/>
        <w:rPr>
          <w:sz w:val="23"/>
        </w:rPr>
      </w:pPr>
      <w:r>
        <w:rPr>
          <w:sz w:val="23"/>
          <w:u w:val="single"/>
        </w:rPr>
        <w:t xml:space="preserve"> Supplier’s</w:t>
      </w:r>
      <w:r>
        <w:rPr>
          <w:spacing w:val="-1"/>
          <w:sz w:val="23"/>
          <w:u w:val="single"/>
        </w:rPr>
        <w:t xml:space="preserve"> </w:t>
      </w:r>
      <w:r>
        <w:rPr>
          <w:sz w:val="23"/>
          <w:u w:val="single"/>
        </w:rPr>
        <w:t>Responsibilities</w:t>
      </w:r>
      <w:r>
        <w:rPr>
          <w:spacing w:val="1"/>
          <w:sz w:val="23"/>
          <w:u w:val="single"/>
        </w:rPr>
        <w:t xml:space="preserve"> </w:t>
      </w:r>
    </w:p>
    <w:p w14:paraId="0AA1998B" w14:textId="77777777" w:rsidR="00665214" w:rsidRDefault="00000000">
      <w:pPr>
        <w:spacing w:before="5" w:line="237" w:lineRule="auto"/>
        <w:ind w:left="240" w:firstLine="719"/>
        <w:rPr>
          <w:sz w:val="23"/>
        </w:rPr>
      </w:pPr>
      <w:r>
        <w:rPr>
          <w:sz w:val="23"/>
        </w:rPr>
        <w:t>Supplier shall notify the Company within 24 hours in writing if its license to act as an electric supplier is revoked, suspended, terminated, or is amended by the PURA in such a</w:t>
      </w:r>
    </w:p>
    <w:p w14:paraId="748C27FC" w14:textId="77777777" w:rsidR="00665214" w:rsidRDefault="00665214">
      <w:pPr>
        <w:spacing w:line="237" w:lineRule="auto"/>
        <w:rPr>
          <w:sz w:val="23"/>
        </w:rPr>
        <w:sectPr w:rsidR="00665214">
          <w:footerReference w:type="default" r:id="rId7"/>
          <w:pgSz w:w="12240" w:h="15840"/>
          <w:pgMar w:top="1360" w:right="1220" w:bottom="800" w:left="1200" w:header="0" w:footer="606" w:gutter="0"/>
          <w:pgNumType w:start="2"/>
          <w:cols w:space="720"/>
        </w:sectPr>
      </w:pPr>
    </w:p>
    <w:p w14:paraId="3FE6DB1E" w14:textId="77777777" w:rsidR="00665214" w:rsidRDefault="00000000">
      <w:pPr>
        <w:spacing w:before="78" w:line="237" w:lineRule="auto"/>
        <w:ind w:left="240" w:right="470"/>
        <w:rPr>
          <w:sz w:val="23"/>
        </w:rPr>
      </w:pPr>
      <w:r>
        <w:rPr>
          <w:sz w:val="23"/>
        </w:rPr>
        <w:lastRenderedPageBreak/>
        <w:t>way that it materially affects Supplier’s performance under this Agreement. Revocation or non-renewal of Supplier’s license shall be grounds for immediate termination of this Agreement by Company.</w:t>
      </w:r>
    </w:p>
    <w:p w14:paraId="1670EF62" w14:textId="77777777" w:rsidR="00665214" w:rsidRDefault="00000000">
      <w:pPr>
        <w:spacing w:before="2"/>
        <w:ind w:left="240" w:right="254" w:firstLine="719"/>
        <w:rPr>
          <w:sz w:val="23"/>
        </w:rPr>
      </w:pPr>
      <w:r>
        <w:rPr>
          <w:sz w:val="23"/>
        </w:rPr>
        <w:t>Supplier shall notify the Company in accordance with R.C.S.A. Section 16-244c-12 (Notice by Electric Supplier on Cessation of Business) of any event that will render Supplier or its agent unable to maintain the status with NEPOOL required to serve load. Upon such notice or upon the occurrence of such an event, the Company shall have the right to immediately switch Supplier’s Customers so affected to Back-up Service.</w:t>
      </w:r>
    </w:p>
    <w:p w14:paraId="059C4225" w14:textId="77777777" w:rsidR="00665214" w:rsidRDefault="00000000">
      <w:pPr>
        <w:spacing w:before="2" w:line="235" w:lineRule="auto"/>
        <w:ind w:left="240" w:firstLine="719"/>
        <w:rPr>
          <w:sz w:val="23"/>
        </w:rPr>
      </w:pPr>
      <w:r>
        <w:rPr>
          <w:sz w:val="23"/>
        </w:rPr>
        <w:t>Supplier shall update information requested in Exhibit B and C not more than five (5) business days prior to any change in information contained in Exhibit B or C.</w:t>
      </w:r>
    </w:p>
    <w:p w14:paraId="56A23A1D" w14:textId="77777777" w:rsidR="00665214" w:rsidRDefault="00000000">
      <w:pPr>
        <w:pStyle w:val="BodyText"/>
        <w:spacing w:before="5" w:line="242" w:lineRule="auto"/>
        <w:ind w:left="240" w:right="301" w:firstLine="719"/>
      </w:pPr>
      <w:r>
        <w:t xml:space="preserve">Supplier acknowledges that Company will select and may from time to time change the </w:t>
      </w:r>
      <w:proofErr w:type="gramStart"/>
      <w:r>
        <w:t>value added</w:t>
      </w:r>
      <w:proofErr w:type="gramEnd"/>
      <w:r>
        <w:t xml:space="preserve"> network (“VAN”) or other electronic transmission vehicle, but shall use reasonable efforts to provide notice to Supplier of any changes at least seven</w:t>
      </w:r>
    </w:p>
    <w:p w14:paraId="289C5EFA" w14:textId="77777777" w:rsidR="00665214" w:rsidRDefault="00000000">
      <w:pPr>
        <w:pStyle w:val="BodyText"/>
        <w:spacing w:line="237" w:lineRule="auto"/>
        <w:ind w:left="240" w:right="301"/>
      </w:pPr>
      <w:r>
        <w:t>(7) days prior to any such change. Supplier shall be responsible for the initial testing costs of the VAN and costs of subsequent transactions as described in the Terms and Conditions.</w:t>
      </w:r>
    </w:p>
    <w:p w14:paraId="11F45AA4" w14:textId="77777777" w:rsidR="00665214" w:rsidRDefault="00000000">
      <w:pPr>
        <w:pStyle w:val="BodyText"/>
        <w:ind w:left="240" w:firstLine="719"/>
      </w:pPr>
      <w:r>
        <w:t>Supplier acknowledges that the Company will not include any customer balances previously owed to Supplier prior to enrollment of said customer.</w:t>
      </w:r>
    </w:p>
    <w:p w14:paraId="6645F36F" w14:textId="77777777" w:rsidR="00665214" w:rsidRDefault="00000000">
      <w:pPr>
        <w:pStyle w:val="BodyText"/>
        <w:ind w:left="240" w:firstLine="719"/>
      </w:pPr>
      <w:r>
        <w:t xml:space="preserve">Supplier acknowledges that the Company is authorized to deny the provision of Generation Service to Customers if the Company has terminated such Customer’s Distribution Service in accordance with the rules and regulations of the PURA, including the PURA’s billing and termination regulations, until such time as the Customer is reinstated by the Company. In order for Supplier to serve such a </w:t>
      </w:r>
      <w:proofErr w:type="gramStart"/>
      <w:r>
        <w:t>Customer</w:t>
      </w:r>
      <w:proofErr w:type="gramEnd"/>
      <w:r>
        <w:t xml:space="preserve"> after reinstatement, Supplier must re-enroll the Customer.</w:t>
      </w:r>
    </w:p>
    <w:p w14:paraId="2498C976" w14:textId="77777777" w:rsidR="00665214" w:rsidRDefault="00000000">
      <w:pPr>
        <w:pStyle w:val="BodyText"/>
        <w:ind w:left="240" w:right="254" w:firstLine="719"/>
      </w:pPr>
      <w:r>
        <w:t xml:space="preserve">During the term of this Agreement, Supplier shall be required to successfully complete additional testing of any EBT Standards implemented </w:t>
      </w:r>
      <w:proofErr w:type="gramStart"/>
      <w:r>
        <w:t>subsequent to</w:t>
      </w:r>
      <w:proofErr w:type="gramEnd"/>
      <w:r>
        <w:t xml:space="preserve"> the initial testing period referenced in Section IV D above, in accordance with the provisions of said EBT Standards.</w:t>
      </w:r>
    </w:p>
    <w:p w14:paraId="14756912" w14:textId="77777777" w:rsidR="00665214" w:rsidRDefault="00665214">
      <w:pPr>
        <w:pStyle w:val="BodyText"/>
        <w:spacing w:before="10"/>
        <w:rPr>
          <w:sz w:val="23"/>
        </w:rPr>
      </w:pPr>
    </w:p>
    <w:p w14:paraId="774C89AA" w14:textId="77777777" w:rsidR="00665214" w:rsidRDefault="00000000">
      <w:pPr>
        <w:pStyle w:val="ListParagraph"/>
        <w:numPr>
          <w:ilvl w:val="0"/>
          <w:numId w:val="2"/>
        </w:numPr>
        <w:tabs>
          <w:tab w:val="left" w:pos="960"/>
          <w:tab w:val="left" w:pos="961"/>
        </w:tabs>
        <w:spacing w:before="1"/>
        <w:ind w:hanging="721"/>
        <w:rPr>
          <w:sz w:val="24"/>
        </w:rPr>
      </w:pPr>
      <w:r>
        <w:rPr>
          <w:sz w:val="24"/>
          <w:u w:val="single"/>
        </w:rPr>
        <w:t>Company Services and</w:t>
      </w:r>
      <w:r>
        <w:rPr>
          <w:spacing w:val="-4"/>
          <w:sz w:val="24"/>
          <w:u w:val="single"/>
        </w:rPr>
        <w:t xml:space="preserve"> </w:t>
      </w:r>
      <w:r>
        <w:rPr>
          <w:sz w:val="24"/>
          <w:u w:val="single"/>
        </w:rPr>
        <w:t>Responsibilities</w:t>
      </w:r>
    </w:p>
    <w:p w14:paraId="4E4A2C74" w14:textId="77777777" w:rsidR="00665214" w:rsidRDefault="00000000">
      <w:pPr>
        <w:pStyle w:val="BodyText"/>
        <w:ind w:left="240" w:firstLine="719"/>
      </w:pPr>
      <w:r>
        <w:t>In accordance with section 16-2441(c) of Connecticut General Statutes, its approved tariffs and Terms and Conditions, PURA regulations and this Agreement, the Company shall provide the following Supplier Services:</w:t>
      </w:r>
    </w:p>
    <w:p w14:paraId="0E9834FC" w14:textId="77777777" w:rsidR="00665214" w:rsidRDefault="00000000">
      <w:pPr>
        <w:pStyle w:val="ListParagraph"/>
        <w:numPr>
          <w:ilvl w:val="1"/>
          <w:numId w:val="2"/>
        </w:numPr>
        <w:tabs>
          <w:tab w:val="left" w:pos="1680"/>
          <w:tab w:val="left" w:pos="1681"/>
        </w:tabs>
        <w:ind w:hanging="721"/>
        <w:rPr>
          <w:sz w:val="24"/>
        </w:rPr>
      </w:pPr>
      <w:r>
        <w:rPr>
          <w:sz w:val="24"/>
          <w:u w:val="single"/>
        </w:rPr>
        <w:t>Billing</w:t>
      </w:r>
      <w:r>
        <w:rPr>
          <w:spacing w:val="-2"/>
          <w:sz w:val="24"/>
          <w:u w:val="single"/>
        </w:rPr>
        <w:t xml:space="preserve"> </w:t>
      </w:r>
      <w:r>
        <w:rPr>
          <w:sz w:val="24"/>
          <w:u w:val="single"/>
        </w:rPr>
        <w:t>Services</w:t>
      </w:r>
    </w:p>
    <w:p w14:paraId="00356F08" w14:textId="77777777" w:rsidR="00665214" w:rsidRDefault="00000000">
      <w:pPr>
        <w:pStyle w:val="BodyText"/>
        <w:ind w:left="240" w:right="248" w:firstLine="719"/>
      </w:pPr>
      <w:r>
        <w:t xml:space="preserve">The Company agrees to issue a monthly bill for electric service provided to customers. The Company agrees to use the rates and pricing options supplied by Supplier to calculate the Supplier portion of Customer </w:t>
      </w:r>
      <w:proofErr w:type="gramStart"/>
      <w:r>
        <w:t>bills, and</w:t>
      </w:r>
      <w:proofErr w:type="gramEnd"/>
      <w:r>
        <w:t xml:space="preserve"> integrate this billing with Company’s billing in a single monthly mailing to the Customer. The Company agrees to provide the Supplier with Customer usage and billing information, in accordance with the EBT</w:t>
      </w:r>
      <w:r>
        <w:rPr>
          <w:spacing w:val="3"/>
        </w:rPr>
        <w:t xml:space="preserve"> </w:t>
      </w:r>
      <w:r>
        <w:t>Standards.</w:t>
      </w:r>
    </w:p>
    <w:p w14:paraId="1CF14453" w14:textId="77777777" w:rsidR="00665214" w:rsidRDefault="00000000">
      <w:pPr>
        <w:pStyle w:val="BodyText"/>
        <w:spacing w:before="1"/>
        <w:ind w:left="240" w:right="301" w:firstLine="719"/>
      </w:pPr>
      <w:r>
        <w:t xml:space="preserve">The Company shall input into its billing system, Supplier’s </w:t>
      </w:r>
      <w:proofErr w:type="gramStart"/>
      <w:r>
        <w:t>rates</w:t>
      </w:r>
      <w:proofErr w:type="gramEnd"/>
      <w:r>
        <w:t xml:space="preserve"> and pricing options for Generation Service. Supplier rates and pricing options must conform to the rate structure in use by Company for each specific rate class service and be supported by meters in place. Changes in the rate levels of Supplier charges to be billed shall be prospective only and shall be implemented for the next billed </w:t>
      </w:r>
      <w:proofErr w:type="gramStart"/>
      <w:r>
        <w:t>reading</w:t>
      </w:r>
      <w:proofErr w:type="gramEnd"/>
      <w:r>
        <w:t xml:space="preserve"> if possible, provided that: (1) Supplier notifies Company of the rate changes in accordance with Section IV.C.; (2) the notification includes the old and new rates, pricing options, and</w:t>
      </w:r>
    </w:p>
    <w:p w14:paraId="6ED6E364" w14:textId="77777777" w:rsidR="00665214" w:rsidRDefault="00665214">
      <w:pPr>
        <w:sectPr w:rsidR="00665214">
          <w:pgSz w:w="12240" w:h="15840"/>
          <w:pgMar w:top="1360" w:right="1220" w:bottom="800" w:left="1200" w:header="0" w:footer="606" w:gutter="0"/>
          <w:cols w:space="720"/>
        </w:sectPr>
      </w:pPr>
    </w:p>
    <w:p w14:paraId="44DE673E" w14:textId="77777777" w:rsidR="00665214" w:rsidRDefault="00000000">
      <w:pPr>
        <w:pStyle w:val="BodyText"/>
        <w:spacing w:before="76"/>
        <w:ind w:left="240" w:right="301"/>
      </w:pPr>
      <w:r>
        <w:lastRenderedPageBreak/>
        <w:t xml:space="preserve">effective </w:t>
      </w:r>
      <w:proofErr w:type="gramStart"/>
      <w:r>
        <w:t>date;</w:t>
      </w:r>
      <w:proofErr w:type="gramEnd"/>
      <w:r>
        <w:t xml:space="preserve"> (3) upon Company’s request, Supplier provides a sample bill calculation of a 500 kWh Customer or another sample Customer if it better fits the rate structure; and (4) Supplier consents to the implementation of the new rate once Company has tested its billing processes.</w:t>
      </w:r>
    </w:p>
    <w:p w14:paraId="232B8F5D" w14:textId="77777777" w:rsidR="00665214" w:rsidRDefault="00000000">
      <w:pPr>
        <w:pStyle w:val="BodyText"/>
        <w:ind w:left="240" w:right="420" w:firstLine="719"/>
      </w:pPr>
      <w:r>
        <w:t>All measured billing determinants provided by the Company will be based on Company-owned metering, except as provided in Exhibit A or otherwise agreed to in a subsequent agreement.</w:t>
      </w:r>
    </w:p>
    <w:p w14:paraId="5927B475" w14:textId="77777777" w:rsidR="00665214" w:rsidRDefault="00000000">
      <w:pPr>
        <w:pStyle w:val="ListParagraph"/>
        <w:numPr>
          <w:ilvl w:val="1"/>
          <w:numId w:val="2"/>
        </w:numPr>
        <w:tabs>
          <w:tab w:val="left" w:pos="1680"/>
          <w:tab w:val="left" w:pos="1681"/>
        </w:tabs>
        <w:spacing w:line="275" w:lineRule="exact"/>
        <w:ind w:hanging="721"/>
        <w:rPr>
          <w:sz w:val="24"/>
        </w:rPr>
      </w:pPr>
      <w:r>
        <w:rPr>
          <w:sz w:val="24"/>
          <w:u w:val="single"/>
        </w:rPr>
        <w:t>Payment Processing</w:t>
      </w:r>
    </w:p>
    <w:p w14:paraId="6342C5E4" w14:textId="77777777" w:rsidR="00665214" w:rsidRDefault="00000000">
      <w:pPr>
        <w:pStyle w:val="BodyText"/>
        <w:ind w:left="240" w:right="242" w:firstLine="719"/>
      </w:pPr>
      <w:r>
        <w:t xml:space="preserve">Supplier hereby authorizes the Company to process payments and apply monies in accordance with this Agreement. The Company agrees to pay the Supplier based on the terms set forth in Docket 05-08-05RE02 under section G.  Payment to the </w:t>
      </w:r>
      <w:proofErr w:type="gramStart"/>
      <w:r>
        <w:t>Supplier  is</w:t>
      </w:r>
      <w:proofErr w:type="gramEnd"/>
      <w:r>
        <w:t xml:space="preserve"> made once a month through an automated clearing house.</w:t>
      </w:r>
    </w:p>
    <w:p w14:paraId="13AEB06B" w14:textId="77777777" w:rsidR="00665214" w:rsidRDefault="00000000">
      <w:pPr>
        <w:pStyle w:val="ListParagraph"/>
        <w:numPr>
          <w:ilvl w:val="1"/>
          <w:numId w:val="2"/>
        </w:numPr>
        <w:tabs>
          <w:tab w:val="left" w:pos="1680"/>
          <w:tab w:val="left" w:pos="1681"/>
        </w:tabs>
        <w:ind w:hanging="721"/>
        <w:rPr>
          <w:sz w:val="24"/>
        </w:rPr>
      </w:pPr>
      <w:r>
        <w:rPr>
          <w:sz w:val="24"/>
          <w:u w:val="single"/>
        </w:rPr>
        <w:t>Transaction</w:t>
      </w:r>
      <w:r>
        <w:rPr>
          <w:spacing w:val="2"/>
          <w:sz w:val="24"/>
          <w:u w:val="single"/>
        </w:rPr>
        <w:t xml:space="preserve"> </w:t>
      </w:r>
      <w:r>
        <w:rPr>
          <w:sz w:val="24"/>
          <w:u w:val="single"/>
        </w:rPr>
        <w:t>Processing</w:t>
      </w:r>
    </w:p>
    <w:p w14:paraId="2FB2C4A0" w14:textId="77777777" w:rsidR="00665214" w:rsidRDefault="00000000">
      <w:pPr>
        <w:pStyle w:val="BodyText"/>
        <w:ind w:left="240" w:firstLine="719"/>
      </w:pPr>
      <w:r>
        <w:t>Customer transactions will be processed in accordance with the EBT Standards. These transactions include, but are not limited to, account administration, reporting of Customer usage and billing, and reporting of Customer payments and adjustments.</w:t>
      </w:r>
    </w:p>
    <w:p w14:paraId="782DFA19" w14:textId="77777777" w:rsidR="00665214" w:rsidRDefault="00000000">
      <w:pPr>
        <w:pStyle w:val="BodyText"/>
        <w:ind w:left="240" w:right="507"/>
      </w:pPr>
      <w:r>
        <w:t>Any changes in these standard transactions will be in accordance with the EBT Standards.</w:t>
      </w:r>
    </w:p>
    <w:p w14:paraId="16E09855" w14:textId="77777777" w:rsidR="00665214" w:rsidRDefault="00000000">
      <w:pPr>
        <w:pStyle w:val="ListParagraph"/>
        <w:numPr>
          <w:ilvl w:val="1"/>
          <w:numId w:val="2"/>
        </w:numPr>
        <w:tabs>
          <w:tab w:val="left" w:pos="1680"/>
          <w:tab w:val="left" w:pos="1681"/>
        </w:tabs>
        <w:ind w:hanging="721"/>
        <w:rPr>
          <w:sz w:val="24"/>
        </w:rPr>
      </w:pPr>
      <w:r>
        <w:rPr>
          <w:sz w:val="24"/>
          <w:u w:val="single"/>
        </w:rPr>
        <w:t>Conditions of</w:t>
      </w:r>
      <w:r>
        <w:rPr>
          <w:spacing w:val="4"/>
          <w:sz w:val="24"/>
          <w:u w:val="single"/>
        </w:rPr>
        <w:t xml:space="preserve"> </w:t>
      </w:r>
      <w:r>
        <w:rPr>
          <w:sz w:val="24"/>
          <w:u w:val="single"/>
        </w:rPr>
        <w:t>Billing</w:t>
      </w:r>
    </w:p>
    <w:p w14:paraId="4140A31C" w14:textId="77777777" w:rsidR="00665214" w:rsidRDefault="00000000">
      <w:pPr>
        <w:pStyle w:val="BodyText"/>
        <w:ind w:left="240" w:right="301" w:firstLine="719"/>
      </w:pPr>
      <w:r>
        <w:t>Customers that contact the Company concerning the billed amount for Supplier Generation Service or any other Supplier issue will be referred to Supplier’s customer service number identified in Exhibit B. The Company will not undertake bill investigations, Customer inquiries concerning Supplier charges, or the settlement of billing disputes on behalf of Supplier unless otherwise specified in Exhibit A. Supplier shall be responsible for the reporting and payment of all taxes assessed upon Generation Service.</w:t>
      </w:r>
    </w:p>
    <w:p w14:paraId="67BE45C8" w14:textId="77777777" w:rsidR="00665214" w:rsidRDefault="00665214">
      <w:pPr>
        <w:pStyle w:val="BodyText"/>
      </w:pPr>
    </w:p>
    <w:p w14:paraId="0987F6FB" w14:textId="77777777" w:rsidR="00665214" w:rsidRDefault="00000000">
      <w:pPr>
        <w:pStyle w:val="ListParagraph"/>
        <w:numPr>
          <w:ilvl w:val="1"/>
          <w:numId w:val="2"/>
        </w:numPr>
        <w:tabs>
          <w:tab w:val="left" w:pos="1681"/>
        </w:tabs>
        <w:ind w:hanging="721"/>
        <w:jc w:val="both"/>
        <w:rPr>
          <w:sz w:val="24"/>
        </w:rPr>
      </w:pPr>
      <w:r>
        <w:rPr>
          <w:sz w:val="24"/>
          <w:u w:val="single"/>
        </w:rPr>
        <w:t>Rendering of</w:t>
      </w:r>
      <w:r>
        <w:rPr>
          <w:spacing w:val="3"/>
          <w:sz w:val="24"/>
          <w:u w:val="single"/>
        </w:rPr>
        <w:t xml:space="preserve"> </w:t>
      </w:r>
      <w:r>
        <w:rPr>
          <w:sz w:val="24"/>
          <w:u w:val="single"/>
        </w:rPr>
        <w:t xml:space="preserve">Bills </w:t>
      </w:r>
    </w:p>
    <w:p w14:paraId="401AAF2F" w14:textId="77777777" w:rsidR="00665214" w:rsidRDefault="00000000">
      <w:pPr>
        <w:pStyle w:val="BodyText"/>
        <w:ind w:left="240" w:right="471" w:firstLine="719"/>
        <w:jc w:val="both"/>
      </w:pPr>
      <w:r>
        <w:t>Rendering of bills is the preparation and mailing of statements of the amounts due from the Customer. The Company will include Supplier information on the billing statement as outlined in R.C.S.A. section 16-245d-1.</w:t>
      </w:r>
    </w:p>
    <w:p w14:paraId="5ABF7A29" w14:textId="77777777" w:rsidR="00665214" w:rsidRDefault="00000000">
      <w:pPr>
        <w:pStyle w:val="BodyText"/>
        <w:ind w:left="240" w:right="337" w:firstLine="719"/>
        <w:jc w:val="both"/>
      </w:pPr>
      <w:r>
        <w:t>The Company shall not include messages or inserts containing Supplier specific information.</w:t>
      </w:r>
    </w:p>
    <w:p w14:paraId="7EBE59CC" w14:textId="77777777" w:rsidR="00665214" w:rsidRDefault="00665214">
      <w:pPr>
        <w:pStyle w:val="BodyText"/>
        <w:spacing w:before="1"/>
      </w:pPr>
    </w:p>
    <w:p w14:paraId="6787DE51" w14:textId="77777777" w:rsidR="00665214" w:rsidRDefault="00000000">
      <w:pPr>
        <w:pStyle w:val="ListParagraph"/>
        <w:numPr>
          <w:ilvl w:val="1"/>
          <w:numId w:val="2"/>
        </w:numPr>
        <w:tabs>
          <w:tab w:val="left" w:pos="1680"/>
          <w:tab w:val="left" w:pos="1681"/>
        </w:tabs>
        <w:ind w:hanging="721"/>
        <w:rPr>
          <w:sz w:val="24"/>
        </w:rPr>
      </w:pPr>
      <w:r>
        <w:rPr>
          <w:sz w:val="24"/>
          <w:u w:val="single"/>
        </w:rPr>
        <w:t>Billing</w:t>
      </w:r>
      <w:r>
        <w:rPr>
          <w:spacing w:val="-2"/>
          <w:sz w:val="24"/>
          <w:u w:val="single"/>
        </w:rPr>
        <w:t xml:space="preserve"> </w:t>
      </w:r>
      <w:r>
        <w:rPr>
          <w:sz w:val="24"/>
          <w:u w:val="single"/>
        </w:rPr>
        <w:t>Errors</w:t>
      </w:r>
    </w:p>
    <w:p w14:paraId="6268C954" w14:textId="77777777" w:rsidR="00665214" w:rsidRDefault="00000000">
      <w:pPr>
        <w:pStyle w:val="BodyText"/>
        <w:ind w:left="240" w:right="239" w:firstLine="719"/>
      </w:pPr>
      <w:r>
        <w:t xml:space="preserve">If either party finds a billing error or other miscalculation on a bill or in the usage determinants used as the basis for either the Company or the Supplier’s bill calculation, that party shall within sixty (60) days from the date of the Customers’ statement containing the error, notify the other party in writing or electronically and explain the nature of the error. Notwithstanding the foregoing, the parties acknowledge that the Company may send estimated bills to customers in accordance with PURA regulations, and such estimated bills shall not </w:t>
      </w:r>
      <w:r>
        <w:rPr>
          <w:spacing w:val="2"/>
        </w:rPr>
        <w:t xml:space="preserve">be </w:t>
      </w:r>
      <w:r>
        <w:t>considered billing errors. In the event of an error by the Company, the Company shall either</w:t>
      </w:r>
      <w:proofErr w:type="gramStart"/>
      <w:r>
        <w:t>:  (</w:t>
      </w:r>
      <w:proofErr w:type="gramEnd"/>
      <w:r>
        <w:t>1) rebill the affected Customer reflecting an appropriate adjustment in the Customer’s account; or (2) make an appropriate timely adjustment on a subsequent bill sent to Customer. In the event of an error by the Supplier, the Company will, upon Supplier’s request, and as is reasonably</w:t>
      </w:r>
      <w:r>
        <w:rPr>
          <w:spacing w:val="-16"/>
        </w:rPr>
        <w:t xml:space="preserve"> </w:t>
      </w:r>
      <w:r>
        <w:t>practicable,</w:t>
      </w:r>
    </w:p>
    <w:p w14:paraId="690077AD" w14:textId="77777777" w:rsidR="00665214" w:rsidRDefault="00665214">
      <w:pPr>
        <w:sectPr w:rsidR="00665214">
          <w:pgSz w:w="12240" w:h="15840"/>
          <w:pgMar w:top="1360" w:right="1220" w:bottom="800" w:left="1200" w:header="0" w:footer="606" w:gutter="0"/>
          <w:cols w:space="720"/>
        </w:sectPr>
      </w:pPr>
    </w:p>
    <w:p w14:paraId="51FC11B8" w14:textId="77777777" w:rsidR="00665214" w:rsidRDefault="00000000">
      <w:pPr>
        <w:pStyle w:val="BodyText"/>
        <w:spacing w:before="76"/>
        <w:ind w:left="240" w:right="301"/>
      </w:pPr>
      <w:r>
        <w:lastRenderedPageBreak/>
        <w:t xml:space="preserve">either: (1) rebill the affected Customer reflecting an appropriate adjustment in the Customer’s account; or (2) make an appropriate timely adjustment on a subsequent bill sent to Customer. If neither of the requested options is reasonably practicable, or if the Supplier affirmatively chooses, the Supplier may submit a rate pricing option correction as provided by the EBT Standards. Supplier will be responsible to pay any fees for any rebilling and/or adjustment caused by Supplier error as outlined in the Terms and Conditions.  </w:t>
      </w:r>
      <w:r>
        <w:rPr>
          <w:spacing w:val="4"/>
        </w:rPr>
        <w:t xml:space="preserve">When </w:t>
      </w:r>
      <w:r>
        <w:t>either party reasonably believes that an error related to billing activity may have occurred, either party may request the production of documents required to verify the accuracy of such billing, which the other party will provide within ten (10) business days.</w:t>
      </w:r>
    </w:p>
    <w:p w14:paraId="4E40B2EF" w14:textId="77777777" w:rsidR="00665214" w:rsidRDefault="00665214">
      <w:pPr>
        <w:pStyle w:val="BodyText"/>
        <w:spacing w:before="10"/>
        <w:rPr>
          <w:sz w:val="23"/>
        </w:rPr>
      </w:pPr>
    </w:p>
    <w:p w14:paraId="231D54AA" w14:textId="77777777" w:rsidR="00665214" w:rsidRDefault="00000000">
      <w:pPr>
        <w:pStyle w:val="ListParagraph"/>
        <w:numPr>
          <w:ilvl w:val="1"/>
          <w:numId w:val="2"/>
        </w:numPr>
        <w:tabs>
          <w:tab w:val="left" w:pos="1680"/>
          <w:tab w:val="left" w:pos="1681"/>
        </w:tabs>
        <w:ind w:hanging="721"/>
        <w:rPr>
          <w:sz w:val="24"/>
        </w:rPr>
      </w:pPr>
      <w:r>
        <w:rPr>
          <w:sz w:val="24"/>
          <w:u w:val="single"/>
        </w:rPr>
        <w:t>Load Estimating and Reporting</w:t>
      </w:r>
    </w:p>
    <w:p w14:paraId="3745CF6E" w14:textId="77777777" w:rsidR="00665214" w:rsidRDefault="00000000">
      <w:pPr>
        <w:pStyle w:val="BodyText"/>
        <w:ind w:left="240" w:right="328" w:firstLine="719"/>
      </w:pPr>
      <w:r>
        <w:t>The Company shall determine Supplier’s hourly loads and report these loads to the ISO-NE in accordance with the Terms and Conditions and within the ISO reporting deadlines. In addition, upon Supplier’s request, the Company shall provide Supplier with the following reports: (1) daily report of Supplier’s hourly loads; and (2) monthly reconciliation of Supplier’s loads (completed within the ISO reporting time frame). The Company will provide these reports to Supplier in the ISO meter reading file upload format. Upon Supplier’s request, the Company shall provide an overview of the methodology used for load determination.</w:t>
      </w:r>
    </w:p>
    <w:p w14:paraId="0C33885B" w14:textId="77777777" w:rsidR="00665214" w:rsidRDefault="00665214">
      <w:pPr>
        <w:pStyle w:val="BodyText"/>
      </w:pPr>
    </w:p>
    <w:p w14:paraId="3002B2EC" w14:textId="77777777" w:rsidR="00665214" w:rsidRDefault="00000000">
      <w:pPr>
        <w:pStyle w:val="ListParagraph"/>
        <w:numPr>
          <w:ilvl w:val="1"/>
          <w:numId w:val="2"/>
        </w:numPr>
        <w:tabs>
          <w:tab w:val="left" w:pos="1680"/>
          <w:tab w:val="left" w:pos="1681"/>
        </w:tabs>
        <w:ind w:hanging="721"/>
        <w:rPr>
          <w:sz w:val="24"/>
        </w:rPr>
      </w:pPr>
      <w:r>
        <w:rPr>
          <w:sz w:val="24"/>
          <w:u w:val="single"/>
        </w:rPr>
        <w:t>Additional</w:t>
      </w:r>
      <w:r>
        <w:rPr>
          <w:spacing w:val="-1"/>
          <w:sz w:val="24"/>
          <w:u w:val="single"/>
        </w:rPr>
        <w:t xml:space="preserve"> </w:t>
      </w:r>
      <w:r>
        <w:rPr>
          <w:sz w:val="24"/>
          <w:u w:val="single"/>
        </w:rPr>
        <w:t>Services</w:t>
      </w:r>
    </w:p>
    <w:p w14:paraId="7296D37C" w14:textId="77777777" w:rsidR="00665214" w:rsidRDefault="00000000">
      <w:pPr>
        <w:pStyle w:val="BodyText"/>
        <w:ind w:left="240" w:firstLine="719"/>
      </w:pPr>
      <w:r>
        <w:t>Additional services to be provided by Company, if any, are set forth in Exhibit A hereto.</w:t>
      </w:r>
    </w:p>
    <w:p w14:paraId="1F3C2E64" w14:textId="77777777" w:rsidR="00665214" w:rsidRDefault="00665214">
      <w:pPr>
        <w:pStyle w:val="BodyText"/>
        <w:rPr>
          <w:sz w:val="26"/>
        </w:rPr>
      </w:pPr>
    </w:p>
    <w:p w14:paraId="62CC6CFF" w14:textId="77777777" w:rsidR="00665214" w:rsidRDefault="00665214">
      <w:pPr>
        <w:pStyle w:val="BodyText"/>
        <w:rPr>
          <w:sz w:val="22"/>
        </w:rPr>
      </w:pPr>
    </w:p>
    <w:p w14:paraId="577E5517" w14:textId="77777777" w:rsidR="00665214" w:rsidRDefault="00000000">
      <w:pPr>
        <w:pStyle w:val="ListParagraph"/>
        <w:numPr>
          <w:ilvl w:val="0"/>
          <w:numId w:val="2"/>
        </w:numPr>
        <w:tabs>
          <w:tab w:val="left" w:pos="960"/>
          <w:tab w:val="left" w:pos="961"/>
        </w:tabs>
        <w:ind w:hanging="721"/>
        <w:rPr>
          <w:sz w:val="24"/>
        </w:rPr>
      </w:pPr>
      <w:r>
        <w:rPr>
          <w:sz w:val="24"/>
          <w:u w:val="single"/>
        </w:rPr>
        <w:t>Fees</w:t>
      </w:r>
    </w:p>
    <w:p w14:paraId="2493471F" w14:textId="77777777" w:rsidR="00665214" w:rsidRDefault="00000000">
      <w:pPr>
        <w:pStyle w:val="BodyText"/>
        <w:spacing w:before="1"/>
        <w:ind w:left="240" w:right="254" w:firstLine="719"/>
      </w:pPr>
      <w:r>
        <w:t>The Company shall charge fees to Supplier as set forth in the Terms and Conditions. The Company may subtract any fees that Supplier owes to Company, and that are sixty (60) days or more past due, from amounts Company collects on behalf of Supplier for reimbursement to Supplier. Amounts subject to a good faith dispute will not be subject to deduction.</w:t>
      </w:r>
    </w:p>
    <w:p w14:paraId="411C3C17" w14:textId="77777777" w:rsidR="00665214" w:rsidRDefault="00665214">
      <w:pPr>
        <w:pStyle w:val="BodyText"/>
      </w:pPr>
    </w:p>
    <w:p w14:paraId="733A114C" w14:textId="77777777" w:rsidR="00665214" w:rsidRDefault="00000000">
      <w:pPr>
        <w:pStyle w:val="ListParagraph"/>
        <w:numPr>
          <w:ilvl w:val="0"/>
          <w:numId w:val="2"/>
        </w:numPr>
        <w:tabs>
          <w:tab w:val="left" w:pos="960"/>
          <w:tab w:val="left" w:pos="961"/>
        </w:tabs>
        <w:ind w:hanging="721"/>
        <w:rPr>
          <w:sz w:val="24"/>
        </w:rPr>
      </w:pPr>
      <w:r>
        <w:rPr>
          <w:sz w:val="24"/>
          <w:u w:val="single"/>
        </w:rPr>
        <w:t>Billing and Payment for Services</w:t>
      </w:r>
    </w:p>
    <w:p w14:paraId="15B693BD" w14:textId="77777777" w:rsidR="00665214" w:rsidRDefault="00000000">
      <w:pPr>
        <w:pStyle w:val="BodyText"/>
        <w:ind w:left="240" w:right="254" w:firstLine="719"/>
      </w:pPr>
      <w:r>
        <w:t>Bills for services provided by Company under the terms of this Agreement shall be rendered to Supplier on a monthly basis and shall be due upon receipt of said bill, unless otherwise specified in Exhibit A. Failure of Supplier to pay within twenty-five (25) days of the posting date on the bill shall result in the addition of interest on any unpaid balance calculated at the rate of 1.5% per month commencing from the date said bill was posted. The posting date is the date the bill is transmitted to the Supplier. The bill may also be transmitted electronically if agreed to by the parties in Exhibit A.</w:t>
      </w:r>
    </w:p>
    <w:p w14:paraId="184E6858" w14:textId="77777777" w:rsidR="00665214" w:rsidRDefault="00665214">
      <w:pPr>
        <w:pStyle w:val="BodyText"/>
      </w:pPr>
    </w:p>
    <w:p w14:paraId="1305B1AB" w14:textId="77777777" w:rsidR="00665214" w:rsidRDefault="00000000">
      <w:pPr>
        <w:pStyle w:val="ListParagraph"/>
        <w:numPr>
          <w:ilvl w:val="0"/>
          <w:numId w:val="2"/>
        </w:numPr>
        <w:tabs>
          <w:tab w:val="left" w:pos="960"/>
          <w:tab w:val="left" w:pos="961"/>
        </w:tabs>
        <w:ind w:hanging="721"/>
        <w:rPr>
          <w:sz w:val="24"/>
        </w:rPr>
      </w:pPr>
      <w:r>
        <w:rPr>
          <w:sz w:val="24"/>
          <w:u w:val="single"/>
        </w:rPr>
        <w:t>Nondisclosure</w:t>
      </w:r>
    </w:p>
    <w:p w14:paraId="5C7D9B5A" w14:textId="77777777" w:rsidR="00665214" w:rsidRDefault="00000000">
      <w:pPr>
        <w:pStyle w:val="BodyText"/>
        <w:ind w:left="240" w:firstLine="719"/>
      </w:pPr>
      <w:r>
        <w:t>Neither party may disclose to any third party, including affiliates of such party, without the express prior written consent of the other party, any Confidential Information (as defined below) obtained pursuant to this Agreement. Supplier acknowledges that</w:t>
      </w:r>
    </w:p>
    <w:p w14:paraId="59BDA84E" w14:textId="77777777" w:rsidR="00665214" w:rsidRDefault="00665214">
      <w:pPr>
        <w:sectPr w:rsidR="00665214">
          <w:pgSz w:w="12240" w:h="15840"/>
          <w:pgMar w:top="1360" w:right="1220" w:bottom="800" w:left="1200" w:header="0" w:footer="606" w:gutter="0"/>
          <w:cols w:space="720"/>
        </w:sectPr>
      </w:pPr>
    </w:p>
    <w:p w14:paraId="5BEEA5A8" w14:textId="77777777" w:rsidR="00665214" w:rsidRDefault="00000000">
      <w:pPr>
        <w:pStyle w:val="BodyText"/>
        <w:spacing w:before="76"/>
        <w:ind w:left="240" w:right="240"/>
      </w:pPr>
      <w:r>
        <w:lastRenderedPageBreak/>
        <w:t xml:space="preserve">Company may disclose Confidential Information </w:t>
      </w:r>
      <w:r>
        <w:rPr>
          <w:spacing w:val="2"/>
        </w:rPr>
        <w:t xml:space="preserve">of </w:t>
      </w:r>
      <w:r>
        <w:t xml:space="preserve">the Supplier as it deems necessary to employees and agents of the Company and/or Northeast Utilities Service Company, to assist the Company in meeting its obligations under this </w:t>
      </w:r>
      <w:proofErr w:type="gramStart"/>
      <w:r>
        <w:t>Agreement .</w:t>
      </w:r>
      <w:proofErr w:type="gramEnd"/>
      <w:r>
        <w:t xml:space="preserve">  As used herein, the term “Confidential Information” shall include, but not be limited to, all business, financial, and commercial information pertaining to the parties, Customers of either or both parties, personnel of either party; any trade secrets; and other information of a similar nature; whether written or in intangible form, that is marked proprietary or confidential with the appropriate owner’s name. Confidential Information shall not include information known to either party prior to obtaining the same from the other party, information in the public domain, </w:t>
      </w:r>
      <w:r>
        <w:rPr>
          <w:spacing w:val="4"/>
        </w:rPr>
        <w:t xml:space="preserve">or </w:t>
      </w:r>
      <w:r>
        <w:t xml:space="preserve">information obtained by a party from a third party who did not, directly or indirectly, receive the same from the other party to this Agreement or from a party who was under an obligation of confidentiality to the other party to this Agreement, or information developed by either party independent of any Confidential Information.  The receiving party shall use the higher of the standard of care that the receiving party uses to preserve its own Confidential Information or a reasonable standard of care to prevent unauthorized use or disclosure of such Confidential Information.  Each receiving party shall, upon termination of </w:t>
      </w:r>
      <w:proofErr w:type="gramStart"/>
      <w:r>
        <w:t>this  Agreement</w:t>
      </w:r>
      <w:proofErr w:type="gramEnd"/>
      <w:r>
        <w:t xml:space="preserve"> or at any time upon the request of the disclosing party, promptly return or destroy all Confidential Information of the disclosing party then in its</w:t>
      </w:r>
      <w:r>
        <w:rPr>
          <w:spacing w:val="3"/>
        </w:rPr>
        <w:t xml:space="preserve"> </w:t>
      </w:r>
      <w:r>
        <w:t>possession.</w:t>
      </w:r>
    </w:p>
    <w:p w14:paraId="6D55F864" w14:textId="77777777" w:rsidR="00665214" w:rsidRDefault="00000000">
      <w:pPr>
        <w:pStyle w:val="BodyText"/>
        <w:ind w:left="240" w:right="254" w:firstLine="719"/>
      </w:pPr>
      <w:r>
        <w:t>Notwithstanding the preceding, Confidential Information may be disclosed to any governmental, judicial or regulatory authority requiring such Confidential Information pursuant to any applicable law, regulation, ruling, or order, provided that: (a) such Confidential Information is submitted under any applicable provision, if any, for confidential treatment by such governmental, judicial or regulatory authority; and (b) prior to such disclosure, the other party is given prompt notice of the disclosure requirement so that it may take whatever action it deems appropriate, including intervention in any proceeding and the seeking of any injunction to prohibit such disclosure.</w:t>
      </w:r>
    </w:p>
    <w:p w14:paraId="162716C8" w14:textId="77777777" w:rsidR="00665214" w:rsidRDefault="00665214">
      <w:pPr>
        <w:pStyle w:val="BodyText"/>
        <w:spacing w:before="1"/>
        <w:rPr>
          <w:sz w:val="23"/>
        </w:rPr>
      </w:pPr>
    </w:p>
    <w:p w14:paraId="74A1B345" w14:textId="77777777" w:rsidR="00665214" w:rsidRDefault="00000000">
      <w:pPr>
        <w:pStyle w:val="ListParagraph"/>
        <w:numPr>
          <w:ilvl w:val="0"/>
          <w:numId w:val="2"/>
        </w:numPr>
        <w:tabs>
          <w:tab w:val="left" w:pos="960"/>
          <w:tab w:val="left" w:pos="961"/>
        </w:tabs>
        <w:ind w:hanging="721"/>
        <w:rPr>
          <w:sz w:val="24"/>
        </w:rPr>
      </w:pPr>
      <w:r>
        <w:rPr>
          <w:sz w:val="24"/>
          <w:u w:val="single"/>
        </w:rPr>
        <w:t>Termination</w:t>
      </w:r>
    </w:p>
    <w:p w14:paraId="7A675C3E" w14:textId="77777777" w:rsidR="00665214" w:rsidRDefault="00000000">
      <w:pPr>
        <w:pStyle w:val="BodyText"/>
        <w:ind w:left="240" w:right="262" w:firstLine="719"/>
      </w:pPr>
      <w:r>
        <w:t>Notwithstanding anything to the contrary elsewhere in this Agreement, any party, by written notice to the other party (“Breaching Party”), may terminate this Agreement in whole or in part with respect to such Breaching Party or suspend further performance without terminating this Agreement upon the occurrence of any of the following: (a) the Breaching Party terminates or suspends its business operations; (b) the Breaching Party becomes subject to any bankruptcy or insolvency proceeding under federal or state law (unless removed or dismissed within sixty (60) days from the filing thereof), or becomes insolvent, becomes subject to direct control of a transferee, receiver or similar authority, or makes an assignment for the benefit of creditors; or (c) the Breaching Party commits a material breach of any of its obligations under this Agreement or the Terms and Conditions and has not cured such breach within fifteen (15) days after receipt of a written notice from the other party specifying the nature of</w:t>
      </w:r>
      <w:r>
        <w:rPr>
          <w:spacing w:val="8"/>
        </w:rPr>
        <w:t xml:space="preserve"> </w:t>
      </w:r>
      <w:r>
        <w:t>such.</w:t>
      </w:r>
    </w:p>
    <w:p w14:paraId="6A4AB23A" w14:textId="77777777" w:rsidR="00665214" w:rsidRDefault="00000000">
      <w:pPr>
        <w:pStyle w:val="BodyText"/>
        <w:spacing w:before="6"/>
        <w:ind w:left="240" w:right="301" w:firstLine="719"/>
      </w:pPr>
      <w:r>
        <w:t>No delay by either party in enforcing any of its rights hereunder shall be deemed a waiver of such rights, nor shall a waiver of one default be deemed a waiver of any other or subsequent default.</w:t>
      </w:r>
    </w:p>
    <w:p w14:paraId="4EA45713" w14:textId="77777777" w:rsidR="00665214" w:rsidRDefault="00665214">
      <w:pPr>
        <w:sectPr w:rsidR="00665214">
          <w:pgSz w:w="12240" w:h="15840"/>
          <w:pgMar w:top="1360" w:right="1220" w:bottom="800" w:left="1200" w:header="0" w:footer="606" w:gutter="0"/>
          <w:cols w:space="720"/>
        </w:sectPr>
      </w:pPr>
    </w:p>
    <w:p w14:paraId="11AD6559" w14:textId="77777777" w:rsidR="00665214" w:rsidRDefault="00000000">
      <w:pPr>
        <w:pStyle w:val="BodyText"/>
        <w:spacing w:before="78" w:line="237" w:lineRule="auto"/>
        <w:ind w:left="240" w:right="301" w:firstLine="719"/>
      </w:pPr>
      <w:r>
        <w:lastRenderedPageBreak/>
        <w:t>The enumeration of the foregoing remedies shall not be deemed a waiver of any other remedies to which either party is legally entitled. These remedies shall be in addition to any other remedies permitted under the Terms and Conditions or applicable laws or regulations.</w:t>
      </w:r>
    </w:p>
    <w:p w14:paraId="4415BAF5" w14:textId="77777777" w:rsidR="00665214" w:rsidRDefault="00665214">
      <w:pPr>
        <w:pStyle w:val="BodyText"/>
        <w:spacing w:before="8"/>
        <w:rPr>
          <w:sz w:val="23"/>
        </w:rPr>
      </w:pPr>
    </w:p>
    <w:p w14:paraId="10B2289E" w14:textId="77777777" w:rsidR="00665214" w:rsidRDefault="00000000">
      <w:pPr>
        <w:pStyle w:val="ListParagraph"/>
        <w:numPr>
          <w:ilvl w:val="0"/>
          <w:numId w:val="2"/>
        </w:numPr>
        <w:tabs>
          <w:tab w:val="left" w:pos="960"/>
          <w:tab w:val="left" w:pos="961"/>
        </w:tabs>
        <w:ind w:hanging="721"/>
        <w:rPr>
          <w:sz w:val="24"/>
        </w:rPr>
      </w:pPr>
      <w:r>
        <w:rPr>
          <w:sz w:val="24"/>
          <w:u w:val="single"/>
        </w:rPr>
        <w:t>Force Majeure</w:t>
      </w:r>
    </w:p>
    <w:p w14:paraId="1DCCE02F" w14:textId="77777777" w:rsidR="00665214" w:rsidRDefault="00000000">
      <w:pPr>
        <w:pStyle w:val="BodyText"/>
        <w:ind w:left="240" w:right="328" w:firstLine="719"/>
      </w:pPr>
      <w:r>
        <w:t>Neither party shall be considered in default under this Agreement or responsible in tort, strict liability, contract or other legal theory to the other party for damages of any description for any interruption or failure of service or deficiency in the quality or quantity of service, or any other failure to perform if such failure is caused by factors beyond the party's reasonable control and that by exercise of reasonable diligence the party is unable to prevent or overcome, including without limitation, storm, flood, lightning, earthquake, explosion, civil disturbance, labor dispute, sabotage, war, insurrection, act of God or the public enemy, action of a court, public authority or Independent System Operator. In the event of a force majeure, both parties shall take all reasonable steps to comply with this Agreement.</w:t>
      </w:r>
    </w:p>
    <w:p w14:paraId="57C13A0C" w14:textId="77777777" w:rsidR="00665214" w:rsidRDefault="00665214">
      <w:pPr>
        <w:pStyle w:val="BodyText"/>
        <w:spacing w:before="1"/>
      </w:pPr>
    </w:p>
    <w:p w14:paraId="2ADCC96F" w14:textId="77777777" w:rsidR="00665214" w:rsidRDefault="00000000">
      <w:pPr>
        <w:pStyle w:val="ListParagraph"/>
        <w:numPr>
          <w:ilvl w:val="0"/>
          <w:numId w:val="2"/>
        </w:numPr>
        <w:tabs>
          <w:tab w:val="left" w:pos="960"/>
          <w:tab w:val="left" w:pos="961"/>
        </w:tabs>
        <w:ind w:hanging="721"/>
        <w:rPr>
          <w:sz w:val="24"/>
        </w:rPr>
      </w:pPr>
      <w:r>
        <w:rPr>
          <w:sz w:val="24"/>
          <w:u w:val="single"/>
        </w:rPr>
        <w:t>Liability and</w:t>
      </w:r>
      <w:r>
        <w:rPr>
          <w:spacing w:val="-4"/>
          <w:sz w:val="24"/>
          <w:u w:val="single"/>
        </w:rPr>
        <w:t xml:space="preserve"> </w:t>
      </w:r>
      <w:r>
        <w:rPr>
          <w:sz w:val="24"/>
          <w:u w:val="single"/>
        </w:rPr>
        <w:t>Indemnification</w:t>
      </w:r>
    </w:p>
    <w:p w14:paraId="73287074" w14:textId="77777777" w:rsidR="00665214" w:rsidRDefault="00000000">
      <w:pPr>
        <w:pStyle w:val="BodyText"/>
        <w:ind w:left="240" w:right="328" w:firstLine="719"/>
      </w:pPr>
      <w:r>
        <w:t xml:space="preserve">The parties acknowledge and agree that the liability and indemnification provisions in Section 9 of the Terms and Conditions are incorporated herein by reference. For purposes of such liability and indemnification, however, the parties acknowledge and agree that nothing in such Terms and Conditions prohibits one party from impleading the other party as a third-party defendant, </w:t>
      </w:r>
      <w:proofErr w:type="gramStart"/>
      <w:r>
        <w:t>whether or not</w:t>
      </w:r>
      <w:proofErr w:type="gramEnd"/>
      <w:r>
        <w:t xml:space="preserve"> one or both parties are named as defendants in the initial claim of a third-party. The third-party claim shall be stayed pending resolution of any dispute regarding liability and indemnification under this Agreement. Such resolution shall be final and binding upon the parties only after agreement between the parties or after entry of a final judgment, after any further appeals of a court of competent jurisdiction to which any appeal may have been taken from the determination of the arbitrator(s).</w:t>
      </w:r>
    </w:p>
    <w:p w14:paraId="716EF6C4" w14:textId="77777777" w:rsidR="00665214" w:rsidRDefault="00665214">
      <w:pPr>
        <w:pStyle w:val="BodyText"/>
        <w:spacing w:before="1"/>
      </w:pPr>
    </w:p>
    <w:p w14:paraId="48FDBB4F" w14:textId="77777777" w:rsidR="00665214" w:rsidRDefault="00000000">
      <w:pPr>
        <w:pStyle w:val="BodyText"/>
        <w:ind w:left="240" w:right="301" w:firstLine="719"/>
      </w:pPr>
      <w:r>
        <w:t>The parties acknowledge and agree that for purposes of Section 9 of the Terms and Conditions, a party seeking recovery from the other party in connection with the performance of its obligations of the Terms and Conditions shall not be entitled to recovery if its conduct is deemed to be more negligent than the conduct of the other party.</w:t>
      </w:r>
    </w:p>
    <w:p w14:paraId="49079426" w14:textId="77777777" w:rsidR="00665214" w:rsidRDefault="00000000">
      <w:pPr>
        <w:pStyle w:val="BodyText"/>
        <w:spacing w:before="1"/>
        <w:ind w:left="240" w:right="220" w:firstLine="719"/>
      </w:pPr>
      <w:r>
        <w:t xml:space="preserve">The parties expressly acknowledge and agree that the dispute resolution provision in Article XVI of this Agreement shall apply to </w:t>
      </w:r>
      <w:proofErr w:type="gramStart"/>
      <w:r>
        <w:t>any and all</w:t>
      </w:r>
      <w:proofErr w:type="gramEnd"/>
      <w:r>
        <w:t xml:space="preserve"> disputes arising under this paragraph, including without limitation, those disputes that arise as a result of either of the parties being named as a defendant in the primary action or being named as a third-party defendant by a defendant in the primary action.</w:t>
      </w:r>
    </w:p>
    <w:p w14:paraId="42CB5676" w14:textId="77777777" w:rsidR="00665214" w:rsidRDefault="00000000">
      <w:pPr>
        <w:pStyle w:val="BodyText"/>
        <w:spacing w:before="2"/>
        <w:ind w:left="240" w:right="301" w:firstLine="719"/>
      </w:pPr>
      <w:r>
        <w:t>Notwithstanding anything in this Agreement or the Terms and Conditions to the contrary, in no event shall any party hereto be liable to any other party hereto for indirect, consequential, punitive, special, or exemplary damages under any theory of law that is now or may in the future be in effect, including without limitation: contract, tort, strict liability, or negligence.</w:t>
      </w:r>
    </w:p>
    <w:p w14:paraId="0DC0D2D9" w14:textId="77777777" w:rsidR="00665214" w:rsidRDefault="00665214">
      <w:pPr>
        <w:sectPr w:rsidR="00665214">
          <w:pgSz w:w="12240" w:h="15840"/>
          <w:pgMar w:top="1360" w:right="1220" w:bottom="800" w:left="1200" w:header="0" w:footer="606" w:gutter="0"/>
          <w:cols w:space="720"/>
        </w:sectPr>
      </w:pPr>
    </w:p>
    <w:p w14:paraId="39658A7A" w14:textId="77777777" w:rsidR="00665214" w:rsidRDefault="00000000">
      <w:pPr>
        <w:pStyle w:val="BodyText"/>
        <w:spacing w:before="76"/>
        <w:ind w:left="240" w:right="301" w:firstLine="719"/>
      </w:pPr>
      <w:r>
        <w:lastRenderedPageBreak/>
        <w:t>Notwithstanding the availability of other remedies at law or in equity, either party hereto shall be entitled to specific performance to remedy a breach of this Agreement by the other party.</w:t>
      </w:r>
    </w:p>
    <w:p w14:paraId="077E3447" w14:textId="77777777" w:rsidR="00665214" w:rsidRDefault="00000000">
      <w:pPr>
        <w:pStyle w:val="BodyText"/>
        <w:spacing w:line="274" w:lineRule="exact"/>
        <w:ind w:left="960"/>
      </w:pPr>
      <w:r>
        <w:t>The provisions of this Section shall survive the termination of this Agreement.</w:t>
      </w:r>
    </w:p>
    <w:p w14:paraId="0FA845FD" w14:textId="77777777" w:rsidR="00665214" w:rsidRDefault="00665214">
      <w:pPr>
        <w:pStyle w:val="BodyText"/>
      </w:pPr>
    </w:p>
    <w:p w14:paraId="4591A53F" w14:textId="77777777" w:rsidR="00665214" w:rsidRDefault="00000000">
      <w:pPr>
        <w:pStyle w:val="ListParagraph"/>
        <w:numPr>
          <w:ilvl w:val="0"/>
          <w:numId w:val="2"/>
        </w:numPr>
        <w:tabs>
          <w:tab w:val="left" w:pos="960"/>
          <w:tab w:val="left" w:pos="961"/>
        </w:tabs>
        <w:ind w:hanging="721"/>
        <w:rPr>
          <w:sz w:val="24"/>
        </w:rPr>
      </w:pPr>
      <w:r>
        <w:rPr>
          <w:sz w:val="24"/>
          <w:u w:val="single"/>
        </w:rPr>
        <w:t>Terms and</w:t>
      </w:r>
      <w:r>
        <w:rPr>
          <w:spacing w:val="1"/>
          <w:sz w:val="24"/>
          <w:u w:val="single"/>
        </w:rPr>
        <w:t xml:space="preserve"> </w:t>
      </w:r>
      <w:r>
        <w:rPr>
          <w:sz w:val="24"/>
          <w:u w:val="single"/>
        </w:rPr>
        <w:t>Conditions</w:t>
      </w:r>
    </w:p>
    <w:p w14:paraId="7F7D2D69" w14:textId="77777777" w:rsidR="00665214" w:rsidRDefault="00000000">
      <w:pPr>
        <w:pStyle w:val="BodyText"/>
        <w:ind w:left="240" w:right="301" w:firstLine="719"/>
      </w:pPr>
      <w:r>
        <w:t xml:space="preserve">The parties agree to </w:t>
      </w:r>
      <w:proofErr w:type="gramStart"/>
      <w:r>
        <w:t>act in compliance with the Terms and Conditions at all times</w:t>
      </w:r>
      <w:proofErr w:type="gramEnd"/>
      <w:r>
        <w:t>. In the event the terms of this Agreement conflict with the Terms and Conditions, the Terms and Conditions shall control.</w:t>
      </w:r>
    </w:p>
    <w:p w14:paraId="004418F3" w14:textId="77777777" w:rsidR="00665214" w:rsidRDefault="00665214">
      <w:pPr>
        <w:pStyle w:val="BodyText"/>
      </w:pPr>
    </w:p>
    <w:p w14:paraId="4F7DC2DF" w14:textId="77777777" w:rsidR="00665214" w:rsidRDefault="00000000">
      <w:pPr>
        <w:pStyle w:val="ListParagraph"/>
        <w:numPr>
          <w:ilvl w:val="0"/>
          <w:numId w:val="2"/>
        </w:numPr>
        <w:tabs>
          <w:tab w:val="left" w:pos="960"/>
          <w:tab w:val="left" w:pos="961"/>
        </w:tabs>
        <w:ind w:hanging="721"/>
        <w:rPr>
          <w:sz w:val="24"/>
        </w:rPr>
      </w:pPr>
      <w:r>
        <w:rPr>
          <w:sz w:val="24"/>
          <w:u w:val="single"/>
        </w:rPr>
        <w:t>Dispute Resolution</w:t>
      </w:r>
    </w:p>
    <w:p w14:paraId="26A9BF61" w14:textId="77777777" w:rsidR="00665214" w:rsidRDefault="00000000">
      <w:pPr>
        <w:pStyle w:val="BodyText"/>
        <w:spacing w:before="1"/>
        <w:ind w:left="240" w:right="348" w:firstLine="719"/>
      </w:pPr>
      <w:r>
        <w:t>Disputes hereunder shall be reduced to writing and referred to the parties’ representatives for resolution. The parties’ representatives shall meet and make all reasonable efforts to resolve the dispute. Pending resolution, the parties shall continue to fulfill their obligations under this Agreement in good faith, unless this Agreement has been suspended or terminated as provided in Section VII. If the parties fail to resolve the dispute within thirty (30) days, either party may pursue mediation or arbitration to resolve such issues. The parties agree that the place of mediation or arbitration shall be Hartford,</w:t>
      </w:r>
      <w:r>
        <w:rPr>
          <w:spacing w:val="1"/>
        </w:rPr>
        <w:t xml:space="preserve"> </w:t>
      </w:r>
      <w:r>
        <w:t>Connecticut.</w:t>
      </w:r>
    </w:p>
    <w:p w14:paraId="591FB059" w14:textId="77777777" w:rsidR="00665214" w:rsidRDefault="00665214">
      <w:pPr>
        <w:pStyle w:val="BodyText"/>
      </w:pPr>
    </w:p>
    <w:p w14:paraId="2FBD2471" w14:textId="77777777" w:rsidR="00665214" w:rsidRDefault="00000000">
      <w:pPr>
        <w:pStyle w:val="ListParagraph"/>
        <w:numPr>
          <w:ilvl w:val="0"/>
          <w:numId w:val="2"/>
        </w:numPr>
        <w:tabs>
          <w:tab w:val="left" w:pos="960"/>
          <w:tab w:val="left" w:pos="961"/>
        </w:tabs>
        <w:ind w:hanging="721"/>
        <w:rPr>
          <w:sz w:val="24"/>
        </w:rPr>
      </w:pPr>
      <w:r>
        <w:rPr>
          <w:sz w:val="24"/>
          <w:u w:val="single"/>
        </w:rPr>
        <w:t>Notice</w:t>
      </w:r>
    </w:p>
    <w:p w14:paraId="062BE24A" w14:textId="77777777" w:rsidR="00665214" w:rsidRDefault="00000000">
      <w:pPr>
        <w:pStyle w:val="BodyText"/>
        <w:ind w:left="240" w:right="254" w:firstLine="719"/>
      </w:pPr>
      <w:r>
        <w:t>All notices and other communications shall be to the Company contacts listed on the Company’s website except as provided in Exhibit A. Notices and other communications to Supplier shall be addressed as shown on Exhibit B and C. The parties agree that such written notice, upon confirmation of receipt, shall constitute an acceptable writing.</w:t>
      </w:r>
    </w:p>
    <w:p w14:paraId="5C94DF30" w14:textId="77777777" w:rsidR="00665214" w:rsidRDefault="00665214">
      <w:pPr>
        <w:pStyle w:val="BodyText"/>
      </w:pPr>
    </w:p>
    <w:p w14:paraId="56431804" w14:textId="77777777" w:rsidR="00665214" w:rsidRDefault="00000000">
      <w:pPr>
        <w:pStyle w:val="ListParagraph"/>
        <w:numPr>
          <w:ilvl w:val="0"/>
          <w:numId w:val="2"/>
        </w:numPr>
        <w:tabs>
          <w:tab w:val="left" w:pos="960"/>
          <w:tab w:val="left" w:pos="961"/>
        </w:tabs>
        <w:ind w:hanging="721"/>
        <w:rPr>
          <w:sz w:val="24"/>
        </w:rPr>
      </w:pPr>
      <w:r>
        <w:rPr>
          <w:sz w:val="24"/>
          <w:u w:val="single"/>
        </w:rPr>
        <w:t>Governing</w:t>
      </w:r>
      <w:r>
        <w:rPr>
          <w:spacing w:val="-2"/>
          <w:sz w:val="24"/>
          <w:u w:val="single"/>
        </w:rPr>
        <w:t xml:space="preserve"> </w:t>
      </w:r>
      <w:r>
        <w:rPr>
          <w:sz w:val="24"/>
          <w:u w:val="single"/>
        </w:rPr>
        <w:t>Law</w:t>
      </w:r>
    </w:p>
    <w:p w14:paraId="66FD3AA7" w14:textId="77777777" w:rsidR="00665214" w:rsidRDefault="00000000">
      <w:pPr>
        <w:pStyle w:val="BodyText"/>
        <w:ind w:left="240" w:right="507" w:firstLine="719"/>
      </w:pPr>
      <w:r>
        <w:t>This Agreement is governed by the laws of the State of Connecticut without regard to the conflict of laws in effect therein.</w:t>
      </w:r>
    </w:p>
    <w:p w14:paraId="1BBFF369" w14:textId="77777777" w:rsidR="00665214" w:rsidRDefault="00665214">
      <w:pPr>
        <w:pStyle w:val="BodyText"/>
      </w:pPr>
    </w:p>
    <w:p w14:paraId="2DE9B559" w14:textId="77777777" w:rsidR="00665214" w:rsidRDefault="00000000">
      <w:pPr>
        <w:pStyle w:val="ListParagraph"/>
        <w:numPr>
          <w:ilvl w:val="0"/>
          <w:numId w:val="2"/>
        </w:numPr>
        <w:tabs>
          <w:tab w:val="left" w:pos="1021"/>
        </w:tabs>
        <w:ind w:left="1020" w:hanging="781"/>
        <w:rPr>
          <w:sz w:val="24"/>
        </w:rPr>
      </w:pPr>
      <w:r>
        <w:rPr>
          <w:sz w:val="24"/>
          <w:u w:val="single"/>
        </w:rPr>
        <w:t>Enforceability</w:t>
      </w:r>
    </w:p>
    <w:p w14:paraId="79DEE5A1" w14:textId="77777777" w:rsidR="00665214" w:rsidRDefault="00000000">
      <w:pPr>
        <w:pStyle w:val="BodyText"/>
        <w:ind w:left="240" w:firstLine="719"/>
      </w:pPr>
      <w:proofErr w:type="gramStart"/>
      <w:r>
        <w:t>In the event that</w:t>
      </w:r>
      <w:proofErr w:type="gramEnd"/>
      <w:r>
        <w:t xml:space="preserve"> any portion or part of this Agreement is deemed invalid, against public policy, void or otherwise unenforceable by a court of law, the validity and enforceability of the remaining portions thereof shall otherwise be fully enforceable.</w:t>
      </w:r>
    </w:p>
    <w:p w14:paraId="771C4A92" w14:textId="77777777" w:rsidR="00665214" w:rsidRDefault="00665214">
      <w:pPr>
        <w:pStyle w:val="BodyText"/>
        <w:spacing w:before="1"/>
      </w:pPr>
    </w:p>
    <w:p w14:paraId="1365B143" w14:textId="77777777" w:rsidR="00665214" w:rsidRDefault="00000000">
      <w:pPr>
        <w:pStyle w:val="ListParagraph"/>
        <w:numPr>
          <w:ilvl w:val="0"/>
          <w:numId w:val="2"/>
        </w:numPr>
        <w:tabs>
          <w:tab w:val="left" w:pos="960"/>
          <w:tab w:val="left" w:pos="961"/>
        </w:tabs>
        <w:ind w:hanging="721"/>
        <w:rPr>
          <w:sz w:val="24"/>
        </w:rPr>
      </w:pPr>
      <w:r>
        <w:rPr>
          <w:sz w:val="24"/>
          <w:u w:val="single"/>
        </w:rPr>
        <w:t>Assignment and</w:t>
      </w:r>
      <w:r>
        <w:rPr>
          <w:spacing w:val="1"/>
          <w:sz w:val="24"/>
          <w:u w:val="single"/>
        </w:rPr>
        <w:t xml:space="preserve"> </w:t>
      </w:r>
      <w:r>
        <w:rPr>
          <w:sz w:val="24"/>
          <w:u w:val="single"/>
        </w:rPr>
        <w:t>Delegation</w:t>
      </w:r>
    </w:p>
    <w:p w14:paraId="3F4E124F" w14:textId="77777777" w:rsidR="00665214" w:rsidRDefault="00000000">
      <w:pPr>
        <w:pStyle w:val="BodyText"/>
        <w:ind w:left="240" w:right="220" w:firstLine="719"/>
      </w:pPr>
      <w:r>
        <w:t>Either party to this Agreement may assign any of its rights or obligations under this Agreement; provided however, that no assignment by Supplier shall take effect until the assignee has met the requirements of Section IV hereunder. No assignment of this Agreement shall relieve the assigning party of any of its obligations under this Agreement until such obligations have been assumed by the assignee.</w:t>
      </w:r>
    </w:p>
    <w:p w14:paraId="312138AB" w14:textId="77777777" w:rsidR="00665214" w:rsidRDefault="00000000">
      <w:pPr>
        <w:pStyle w:val="BodyText"/>
        <w:spacing w:before="3"/>
        <w:ind w:left="240" w:firstLine="719"/>
      </w:pPr>
      <w:r>
        <w:t>In addition, either party may subcontract its duties under this Agreement to a subcontractor provided that the subcontracting party shall remain fully responsible as a principal and not as a guarantor for performance of any subcontracted duties, and shall serve as the point of contact between its subcontractor and the other party, and the</w:t>
      </w:r>
    </w:p>
    <w:p w14:paraId="6287B509" w14:textId="77777777" w:rsidR="00665214" w:rsidRDefault="00665214">
      <w:pPr>
        <w:sectPr w:rsidR="00665214">
          <w:pgSz w:w="12240" w:h="15840"/>
          <w:pgMar w:top="1360" w:right="1220" w:bottom="800" w:left="1200" w:header="0" w:footer="606" w:gutter="0"/>
          <w:cols w:space="720"/>
        </w:sectPr>
      </w:pPr>
    </w:p>
    <w:p w14:paraId="0B390DF6" w14:textId="77777777" w:rsidR="00665214" w:rsidRDefault="00000000">
      <w:pPr>
        <w:pStyle w:val="BodyText"/>
        <w:spacing w:before="76"/>
        <w:ind w:left="240" w:right="272"/>
      </w:pPr>
      <w:r>
        <w:lastRenderedPageBreak/>
        <w:t>subcontractor shall meet the requirements of any applicable laws, rules, regulations, and Terms and Conditions. The assigning or subcontracting party shall provide the other party with thirty (30) calendar days’ prior written notice of any such subcontracting or assignment, which notice shall include such information about the subcontractor as the other party shall reasonably require.</w:t>
      </w:r>
    </w:p>
    <w:p w14:paraId="26D95B3A" w14:textId="77777777" w:rsidR="00665214" w:rsidRDefault="00665214">
      <w:pPr>
        <w:pStyle w:val="BodyText"/>
        <w:spacing w:before="9"/>
        <w:rPr>
          <w:sz w:val="23"/>
        </w:rPr>
      </w:pPr>
    </w:p>
    <w:p w14:paraId="7B8D9722" w14:textId="77777777" w:rsidR="00665214" w:rsidRDefault="00000000">
      <w:pPr>
        <w:pStyle w:val="ListParagraph"/>
        <w:numPr>
          <w:ilvl w:val="0"/>
          <w:numId w:val="2"/>
        </w:numPr>
        <w:tabs>
          <w:tab w:val="left" w:pos="960"/>
          <w:tab w:val="left" w:pos="961"/>
        </w:tabs>
        <w:ind w:hanging="721"/>
        <w:rPr>
          <w:sz w:val="24"/>
        </w:rPr>
      </w:pPr>
      <w:r>
        <w:rPr>
          <w:sz w:val="24"/>
          <w:u w:val="single"/>
        </w:rPr>
        <w:t>Miscellaneous</w:t>
      </w:r>
    </w:p>
    <w:p w14:paraId="01EBF61B" w14:textId="77777777" w:rsidR="00665214" w:rsidRDefault="00000000">
      <w:pPr>
        <w:pStyle w:val="BodyText"/>
        <w:ind w:left="240" w:firstLine="719"/>
      </w:pPr>
      <w:r>
        <w:t xml:space="preserve">This Agreement is the entire agreement between the parties and supersedes all other agreements, </w:t>
      </w:r>
      <w:proofErr w:type="gramStart"/>
      <w:r>
        <w:t>communications</w:t>
      </w:r>
      <w:proofErr w:type="gramEnd"/>
      <w:r>
        <w:t xml:space="preserve"> and representations.</w:t>
      </w:r>
    </w:p>
    <w:p w14:paraId="544D1BEF" w14:textId="77777777" w:rsidR="00665214" w:rsidRDefault="00000000">
      <w:pPr>
        <w:pStyle w:val="BodyText"/>
        <w:ind w:left="240" w:right="507" w:firstLine="719"/>
      </w:pPr>
      <w:r>
        <w:t>Paragraph headings are for convenience only and are not to be construed as part of this Agreement.</w:t>
      </w:r>
    </w:p>
    <w:p w14:paraId="2D358D86" w14:textId="77777777" w:rsidR="00665214" w:rsidRDefault="00000000">
      <w:pPr>
        <w:pStyle w:val="BodyText"/>
        <w:spacing w:before="1"/>
        <w:ind w:left="240" w:right="220" w:firstLine="719"/>
      </w:pPr>
      <w:r>
        <w:t>This Agreement may be executed simultaneously in two or more counterparts, each of which shall be deemed to be an original but all of which shall constitute one and the same document.</w:t>
      </w:r>
    </w:p>
    <w:p w14:paraId="7A831528" w14:textId="77777777" w:rsidR="00665214" w:rsidRDefault="00000000">
      <w:pPr>
        <w:pStyle w:val="BodyText"/>
        <w:spacing w:before="2"/>
        <w:ind w:left="240" w:firstLine="719"/>
      </w:pPr>
      <w:r>
        <w:t>This form of Agreement has been developed for use between the Company and electric suppliers, and may not be waived, altered, amended, or modified, except as provided herein.</w:t>
      </w:r>
    </w:p>
    <w:p w14:paraId="11CFAAAD" w14:textId="77777777" w:rsidR="00665214" w:rsidRDefault="00665214">
      <w:pPr>
        <w:pStyle w:val="BodyText"/>
        <w:rPr>
          <w:sz w:val="20"/>
        </w:rPr>
      </w:pPr>
    </w:p>
    <w:p w14:paraId="66D36E29" w14:textId="77777777" w:rsidR="00665214" w:rsidRDefault="00665214">
      <w:pPr>
        <w:pStyle w:val="BodyText"/>
        <w:rPr>
          <w:sz w:val="20"/>
        </w:rPr>
      </w:pPr>
    </w:p>
    <w:p w14:paraId="58360764" w14:textId="77777777" w:rsidR="00665214" w:rsidRDefault="00665214">
      <w:pPr>
        <w:pStyle w:val="BodyText"/>
        <w:rPr>
          <w:sz w:val="20"/>
        </w:rPr>
      </w:pPr>
    </w:p>
    <w:p w14:paraId="2BC661C5" w14:textId="77777777" w:rsidR="00665214" w:rsidRDefault="00665214">
      <w:pPr>
        <w:pStyle w:val="BodyText"/>
        <w:rPr>
          <w:sz w:val="20"/>
        </w:rPr>
      </w:pPr>
    </w:p>
    <w:p w14:paraId="74A17F41" w14:textId="77777777" w:rsidR="00665214" w:rsidRDefault="00665214">
      <w:pPr>
        <w:pStyle w:val="BodyText"/>
        <w:rPr>
          <w:sz w:val="20"/>
        </w:rPr>
      </w:pPr>
    </w:p>
    <w:p w14:paraId="729BE5C2" w14:textId="77777777" w:rsidR="00665214" w:rsidRDefault="00665214">
      <w:pPr>
        <w:pStyle w:val="BodyText"/>
        <w:rPr>
          <w:sz w:val="20"/>
        </w:rPr>
      </w:pPr>
    </w:p>
    <w:p w14:paraId="61CA3B23" w14:textId="77777777" w:rsidR="00665214" w:rsidRDefault="00665214">
      <w:pPr>
        <w:pStyle w:val="BodyText"/>
        <w:rPr>
          <w:sz w:val="20"/>
        </w:rPr>
      </w:pPr>
    </w:p>
    <w:p w14:paraId="264B8AB4" w14:textId="77777777" w:rsidR="00665214" w:rsidRDefault="00665214">
      <w:pPr>
        <w:pStyle w:val="BodyText"/>
        <w:rPr>
          <w:sz w:val="20"/>
        </w:rPr>
      </w:pPr>
    </w:p>
    <w:p w14:paraId="3B14DED4" w14:textId="77777777" w:rsidR="00665214" w:rsidRDefault="00665214">
      <w:pPr>
        <w:pStyle w:val="BodyText"/>
        <w:rPr>
          <w:sz w:val="20"/>
        </w:rPr>
      </w:pPr>
    </w:p>
    <w:p w14:paraId="2AB530C7" w14:textId="77777777" w:rsidR="00665214" w:rsidRDefault="00665214">
      <w:pPr>
        <w:pStyle w:val="BodyText"/>
        <w:rPr>
          <w:sz w:val="20"/>
        </w:rPr>
      </w:pPr>
    </w:p>
    <w:p w14:paraId="041CF9E5" w14:textId="77777777" w:rsidR="00665214" w:rsidRDefault="00665214">
      <w:pPr>
        <w:pStyle w:val="BodyText"/>
        <w:rPr>
          <w:sz w:val="20"/>
        </w:rPr>
      </w:pPr>
    </w:p>
    <w:p w14:paraId="66AB7120" w14:textId="77777777" w:rsidR="00665214" w:rsidRDefault="00665214">
      <w:pPr>
        <w:pStyle w:val="BodyText"/>
        <w:rPr>
          <w:sz w:val="20"/>
        </w:rPr>
      </w:pPr>
    </w:p>
    <w:p w14:paraId="5A1FB589" w14:textId="77777777" w:rsidR="00665214" w:rsidRDefault="00665214">
      <w:pPr>
        <w:pStyle w:val="BodyText"/>
        <w:rPr>
          <w:sz w:val="20"/>
        </w:rPr>
      </w:pPr>
    </w:p>
    <w:p w14:paraId="0D842B9A" w14:textId="77777777" w:rsidR="00665214" w:rsidRDefault="00665214">
      <w:pPr>
        <w:pStyle w:val="BodyText"/>
        <w:rPr>
          <w:sz w:val="20"/>
        </w:rPr>
      </w:pPr>
    </w:p>
    <w:p w14:paraId="22897CD4" w14:textId="77777777" w:rsidR="00665214" w:rsidRDefault="00665214">
      <w:pPr>
        <w:pStyle w:val="BodyText"/>
        <w:rPr>
          <w:sz w:val="20"/>
        </w:rPr>
      </w:pPr>
    </w:p>
    <w:p w14:paraId="0F86883E" w14:textId="77777777" w:rsidR="00665214" w:rsidRDefault="00665214">
      <w:pPr>
        <w:pStyle w:val="BodyText"/>
        <w:rPr>
          <w:sz w:val="20"/>
        </w:rPr>
      </w:pPr>
    </w:p>
    <w:p w14:paraId="372560FB" w14:textId="77777777" w:rsidR="00665214" w:rsidRDefault="00665214">
      <w:pPr>
        <w:pStyle w:val="BodyText"/>
        <w:rPr>
          <w:sz w:val="20"/>
        </w:rPr>
      </w:pPr>
    </w:p>
    <w:p w14:paraId="30064857" w14:textId="77777777" w:rsidR="00665214" w:rsidRDefault="00665214">
      <w:pPr>
        <w:pStyle w:val="BodyText"/>
        <w:rPr>
          <w:sz w:val="20"/>
        </w:rPr>
      </w:pPr>
    </w:p>
    <w:p w14:paraId="7C11EC32" w14:textId="77777777" w:rsidR="00665214" w:rsidRDefault="00665214">
      <w:pPr>
        <w:pStyle w:val="BodyText"/>
        <w:rPr>
          <w:sz w:val="20"/>
        </w:rPr>
      </w:pPr>
    </w:p>
    <w:p w14:paraId="569F3C04" w14:textId="77777777" w:rsidR="00665214" w:rsidRDefault="00665214">
      <w:pPr>
        <w:pStyle w:val="BodyText"/>
        <w:rPr>
          <w:sz w:val="20"/>
        </w:rPr>
      </w:pPr>
    </w:p>
    <w:p w14:paraId="35CE370D" w14:textId="77777777" w:rsidR="00665214" w:rsidRDefault="00665214">
      <w:pPr>
        <w:pStyle w:val="BodyText"/>
        <w:rPr>
          <w:sz w:val="20"/>
        </w:rPr>
      </w:pPr>
    </w:p>
    <w:p w14:paraId="4322C025" w14:textId="77777777" w:rsidR="00665214" w:rsidRDefault="00665214">
      <w:pPr>
        <w:pStyle w:val="BodyText"/>
        <w:rPr>
          <w:sz w:val="20"/>
        </w:rPr>
      </w:pPr>
    </w:p>
    <w:p w14:paraId="27321DCA" w14:textId="77777777" w:rsidR="00665214" w:rsidRDefault="00665214">
      <w:pPr>
        <w:pStyle w:val="BodyText"/>
        <w:rPr>
          <w:sz w:val="20"/>
        </w:rPr>
      </w:pPr>
    </w:p>
    <w:p w14:paraId="48AD99C3" w14:textId="77777777" w:rsidR="00665214" w:rsidRDefault="00665214">
      <w:pPr>
        <w:pStyle w:val="BodyText"/>
        <w:rPr>
          <w:sz w:val="20"/>
        </w:rPr>
      </w:pPr>
    </w:p>
    <w:p w14:paraId="46F09D57" w14:textId="77777777" w:rsidR="00665214" w:rsidRDefault="00665214">
      <w:pPr>
        <w:pStyle w:val="BodyText"/>
        <w:rPr>
          <w:sz w:val="20"/>
        </w:rPr>
      </w:pPr>
    </w:p>
    <w:p w14:paraId="17D0E1BC" w14:textId="77777777" w:rsidR="00665214" w:rsidRDefault="00665214">
      <w:pPr>
        <w:pStyle w:val="BodyText"/>
        <w:rPr>
          <w:sz w:val="20"/>
        </w:rPr>
      </w:pPr>
    </w:p>
    <w:p w14:paraId="43709594" w14:textId="77777777" w:rsidR="00665214" w:rsidRDefault="00665214">
      <w:pPr>
        <w:pStyle w:val="BodyText"/>
        <w:rPr>
          <w:sz w:val="20"/>
        </w:rPr>
      </w:pPr>
    </w:p>
    <w:p w14:paraId="51273604" w14:textId="77777777" w:rsidR="00665214" w:rsidRDefault="00665214">
      <w:pPr>
        <w:pStyle w:val="BodyText"/>
        <w:rPr>
          <w:sz w:val="20"/>
        </w:rPr>
      </w:pPr>
    </w:p>
    <w:p w14:paraId="68501CD4" w14:textId="77777777" w:rsidR="00665214" w:rsidRDefault="00665214">
      <w:pPr>
        <w:pStyle w:val="BodyText"/>
        <w:rPr>
          <w:sz w:val="20"/>
        </w:rPr>
      </w:pPr>
    </w:p>
    <w:p w14:paraId="646EE800" w14:textId="77777777" w:rsidR="00665214" w:rsidRDefault="00665214">
      <w:pPr>
        <w:pStyle w:val="BodyText"/>
        <w:rPr>
          <w:sz w:val="20"/>
        </w:rPr>
      </w:pPr>
    </w:p>
    <w:p w14:paraId="0DC732ED" w14:textId="77777777" w:rsidR="00665214" w:rsidRDefault="00665214">
      <w:pPr>
        <w:pStyle w:val="BodyText"/>
        <w:rPr>
          <w:sz w:val="20"/>
        </w:rPr>
      </w:pPr>
    </w:p>
    <w:p w14:paraId="2DF9694B" w14:textId="77777777" w:rsidR="00665214" w:rsidRDefault="00665214">
      <w:pPr>
        <w:pStyle w:val="BodyText"/>
        <w:rPr>
          <w:sz w:val="20"/>
        </w:rPr>
      </w:pPr>
    </w:p>
    <w:p w14:paraId="544928C1" w14:textId="77777777" w:rsidR="00665214" w:rsidRDefault="00665214">
      <w:pPr>
        <w:pStyle w:val="BodyText"/>
        <w:rPr>
          <w:sz w:val="20"/>
        </w:rPr>
      </w:pPr>
    </w:p>
    <w:p w14:paraId="15AD4B08" w14:textId="77777777" w:rsidR="00665214" w:rsidRDefault="00665214">
      <w:pPr>
        <w:pStyle w:val="BodyText"/>
        <w:rPr>
          <w:sz w:val="20"/>
        </w:rPr>
      </w:pPr>
    </w:p>
    <w:p w14:paraId="3424405B" w14:textId="77777777" w:rsidR="00665214" w:rsidRDefault="00665214">
      <w:pPr>
        <w:pStyle w:val="BodyText"/>
        <w:rPr>
          <w:sz w:val="20"/>
        </w:rPr>
      </w:pPr>
    </w:p>
    <w:p w14:paraId="6DC5C3B7" w14:textId="77777777" w:rsidR="00665214" w:rsidRDefault="00665214">
      <w:pPr>
        <w:pStyle w:val="BodyText"/>
        <w:rPr>
          <w:sz w:val="20"/>
        </w:rPr>
      </w:pPr>
    </w:p>
    <w:p w14:paraId="56F22975" w14:textId="77777777" w:rsidR="00665214" w:rsidRDefault="00665214">
      <w:pPr>
        <w:pStyle w:val="BodyText"/>
        <w:spacing w:before="10"/>
        <w:rPr>
          <w:sz w:val="18"/>
        </w:rPr>
      </w:pPr>
    </w:p>
    <w:p w14:paraId="232D4F96" w14:textId="77777777" w:rsidR="00665214" w:rsidRDefault="00000000">
      <w:pPr>
        <w:tabs>
          <w:tab w:val="left" w:pos="8158"/>
        </w:tabs>
        <w:ind w:left="139"/>
        <w:rPr>
          <w:rFonts w:ascii="Calibri"/>
          <w:b/>
          <w:sz w:val="24"/>
        </w:rPr>
      </w:pPr>
      <w:r>
        <w:rPr>
          <w:rFonts w:ascii="Calibri"/>
        </w:rPr>
        <w:t xml:space="preserve">Page </w:t>
      </w:r>
      <w:r>
        <w:rPr>
          <w:rFonts w:ascii="Calibri"/>
          <w:b/>
        </w:rPr>
        <w:t>9</w:t>
      </w:r>
      <w:r>
        <w:rPr>
          <w:rFonts w:ascii="Calibri"/>
          <w:b/>
          <w:spacing w:val="-1"/>
        </w:rPr>
        <w:t xml:space="preserve"> </w:t>
      </w:r>
      <w:r>
        <w:rPr>
          <w:rFonts w:ascii="Calibri"/>
        </w:rPr>
        <w:t>of</w:t>
      </w:r>
      <w:r>
        <w:rPr>
          <w:rFonts w:ascii="Calibri"/>
          <w:spacing w:val="-2"/>
        </w:rPr>
        <w:t xml:space="preserve"> </w:t>
      </w:r>
      <w:r>
        <w:rPr>
          <w:rFonts w:ascii="Calibri"/>
          <w:b/>
        </w:rPr>
        <w:t>14</w:t>
      </w:r>
      <w:r>
        <w:rPr>
          <w:rFonts w:ascii="Calibri"/>
          <w:b/>
        </w:rPr>
        <w:tab/>
      </w:r>
      <w:r>
        <w:rPr>
          <w:rFonts w:ascii="Calibri"/>
          <w:b/>
          <w:sz w:val="24"/>
        </w:rPr>
        <w:t>May 23, 2017</w:t>
      </w:r>
    </w:p>
    <w:p w14:paraId="1C52FE6B" w14:textId="77777777" w:rsidR="00665214" w:rsidRDefault="00665214">
      <w:pPr>
        <w:rPr>
          <w:rFonts w:ascii="Calibri"/>
          <w:sz w:val="24"/>
        </w:rPr>
        <w:sectPr w:rsidR="00665214">
          <w:footerReference w:type="default" r:id="rId8"/>
          <w:pgSz w:w="12240" w:h="15840"/>
          <w:pgMar w:top="1360" w:right="1220" w:bottom="280" w:left="1200" w:header="0" w:footer="0" w:gutter="0"/>
          <w:cols w:space="720"/>
        </w:sectPr>
      </w:pPr>
    </w:p>
    <w:p w14:paraId="36F708F1" w14:textId="77777777" w:rsidR="00665214" w:rsidRDefault="00665214">
      <w:pPr>
        <w:pStyle w:val="BodyText"/>
        <w:rPr>
          <w:rFonts w:ascii="Calibri"/>
          <w:b/>
          <w:sz w:val="20"/>
        </w:rPr>
      </w:pPr>
    </w:p>
    <w:p w14:paraId="3E1ED6A0" w14:textId="77777777" w:rsidR="00665214" w:rsidRDefault="00665214">
      <w:pPr>
        <w:pStyle w:val="BodyText"/>
        <w:spacing w:before="2"/>
        <w:rPr>
          <w:rFonts w:ascii="Calibri"/>
          <w:b/>
          <w:sz w:val="20"/>
        </w:rPr>
      </w:pPr>
    </w:p>
    <w:p w14:paraId="401C8022" w14:textId="77777777" w:rsidR="00665214" w:rsidRDefault="00000000">
      <w:pPr>
        <w:pStyle w:val="BodyText"/>
        <w:spacing w:line="237" w:lineRule="auto"/>
        <w:ind w:left="240" w:right="507" w:firstLine="719"/>
      </w:pPr>
      <w:r>
        <w:t>IN WITNESS WHEREOF, the parties have caused this Agreement to be executed by their duly authorized representatives.</w:t>
      </w:r>
    </w:p>
    <w:p w14:paraId="206C612F" w14:textId="77777777" w:rsidR="00665214" w:rsidRDefault="00665214">
      <w:pPr>
        <w:pStyle w:val="BodyText"/>
        <w:rPr>
          <w:sz w:val="26"/>
        </w:rPr>
      </w:pPr>
    </w:p>
    <w:p w14:paraId="78D910D4" w14:textId="77777777" w:rsidR="00665214" w:rsidRDefault="00665214">
      <w:pPr>
        <w:pStyle w:val="BodyText"/>
        <w:rPr>
          <w:sz w:val="26"/>
        </w:rPr>
      </w:pPr>
    </w:p>
    <w:p w14:paraId="3A677D2B" w14:textId="77777777" w:rsidR="00665214" w:rsidRDefault="00000000">
      <w:pPr>
        <w:pStyle w:val="BodyText"/>
        <w:spacing w:before="233"/>
        <w:ind w:left="2400"/>
      </w:pPr>
      <w:r>
        <w:t>THE CONNECTICUT LIGHT AND POWER COMPANY, d/b/a EVERSOURCE ENERGY</w:t>
      </w:r>
    </w:p>
    <w:p w14:paraId="2F39A0AE" w14:textId="77777777" w:rsidR="00665214" w:rsidRDefault="00665214">
      <w:pPr>
        <w:pStyle w:val="BodyText"/>
        <w:rPr>
          <w:sz w:val="26"/>
        </w:rPr>
      </w:pPr>
    </w:p>
    <w:p w14:paraId="50D606AE" w14:textId="77777777" w:rsidR="00665214" w:rsidRDefault="00665214">
      <w:pPr>
        <w:pStyle w:val="BodyText"/>
        <w:rPr>
          <w:sz w:val="26"/>
        </w:rPr>
      </w:pPr>
    </w:p>
    <w:p w14:paraId="3DCB2863" w14:textId="77777777" w:rsidR="00665214" w:rsidRDefault="00665214">
      <w:pPr>
        <w:pStyle w:val="BodyText"/>
        <w:spacing w:before="4"/>
        <w:rPr>
          <w:sz w:val="32"/>
        </w:rPr>
      </w:pPr>
    </w:p>
    <w:p w14:paraId="35D93C60" w14:textId="77777777" w:rsidR="00665214" w:rsidRDefault="00000000">
      <w:pPr>
        <w:pStyle w:val="BodyText"/>
        <w:tabs>
          <w:tab w:val="left" w:pos="8981"/>
        </w:tabs>
        <w:ind w:left="2400"/>
      </w:pPr>
      <w:r>
        <w:t xml:space="preserve">By: </w:t>
      </w:r>
      <w:r>
        <w:rPr>
          <w:spacing w:val="1"/>
        </w:rPr>
        <w:t xml:space="preserve"> </w:t>
      </w:r>
      <w:r>
        <w:rPr>
          <w:u w:val="single"/>
        </w:rPr>
        <w:t xml:space="preserve"> </w:t>
      </w:r>
      <w:r>
        <w:rPr>
          <w:u w:val="single"/>
        </w:rPr>
        <w:tab/>
      </w:r>
    </w:p>
    <w:p w14:paraId="69EE039E" w14:textId="77777777" w:rsidR="00665214" w:rsidRDefault="00665214">
      <w:pPr>
        <w:pStyle w:val="BodyText"/>
        <w:rPr>
          <w:sz w:val="20"/>
        </w:rPr>
      </w:pPr>
    </w:p>
    <w:p w14:paraId="6B0DAEF2" w14:textId="77777777" w:rsidR="00665214" w:rsidRDefault="00665214">
      <w:pPr>
        <w:pStyle w:val="BodyText"/>
        <w:spacing w:before="3"/>
        <w:rPr>
          <w:sz w:val="20"/>
        </w:rPr>
      </w:pPr>
    </w:p>
    <w:p w14:paraId="06FD5EFF" w14:textId="77777777" w:rsidR="00665214" w:rsidRDefault="00000000">
      <w:pPr>
        <w:pStyle w:val="BodyText"/>
        <w:tabs>
          <w:tab w:val="left" w:pos="8902"/>
        </w:tabs>
        <w:spacing w:before="92"/>
        <w:ind w:left="2400"/>
      </w:pPr>
      <w:r>
        <w:t xml:space="preserve">Name: </w:t>
      </w:r>
      <w:r>
        <w:rPr>
          <w:spacing w:val="-2"/>
        </w:rPr>
        <w:t xml:space="preserve"> </w:t>
      </w:r>
      <w:r>
        <w:rPr>
          <w:u w:val="single"/>
        </w:rPr>
        <w:t xml:space="preserve"> </w:t>
      </w:r>
      <w:r>
        <w:rPr>
          <w:u w:val="single"/>
        </w:rPr>
        <w:tab/>
      </w:r>
    </w:p>
    <w:p w14:paraId="41321176" w14:textId="77777777" w:rsidR="00665214" w:rsidRDefault="00665214">
      <w:pPr>
        <w:pStyle w:val="BodyText"/>
        <w:rPr>
          <w:sz w:val="20"/>
        </w:rPr>
      </w:pPr>
    </w:p>
    <w:p w14:paraId="38D4B7E1" w14:textId="77777777" w:rsidR="00665214" w:rsidRDefault="00665214">
      <w:pPr>
        <w:pStyle w:val="BodyText"/>
        <w:spacing w:before="7"/>
        <w:rPr>
          <w:sz w:val="20"/>
        </w:rPr>
      </w:pPr>
    </w:p>
    <w:p w14:paraId="539F0EAD" w14:textId="77777777" w:rsidR="00665214" w:rsidRDefault="00000000">
      <w:pPr>
        <w:pStyle w:val="BodyText"/>
        <w:tabs>
          <w:tab w:val="left" w:pos="5077"/>
        </w:tabs>
        <w:spacing w:before="92"/>
        <w:ind w:left="29"/>
        <w:jc w:val="center"/>
      </w:pPr>
      <w:r>
        <w:t xml:space="preserve">Title:  </w:t>
      </w:r>
      <w:r>
        <w:rPr>
          <w:spacing w:val="-2"/>
        </w:rPr>
        <w:t xml:space="preserve"> </w:t>
      </w:r>
      <w:r>
        <w:rPr>
          <w:u w:val="single"/>
        </w:rPr>
        <w:t xml:space="preserve"> </w:t>
      </w:r>
      <w:r>
        <w:rPr>
          <w:u w:val="single"/>
        </w:rPr>
        <w:tab/>
      </w:r>
    </w:p>
    <w:p w14:paraId="1802D7D2" w14:textId="77777777" w:rsidR="00665214" w:rsidRDefault="00665214">
      <w:pPr>
        <w:pStyle w:val="BodyText"/>
        <w:rPr>
          <w:sz w:val="20"/>
        </w:rPr>
      </w:pPr>
    </w:p>
    <w:p w14:paraId="401E4604" w14:textId="77777777" w:rsidR="00665214" w:rsidRDefault="00665214">
      <w:pPr>
        <w:pStyle w:val="BodyText"/>
        <w:spacing w:before="3"/>
        <w:rPr>
          <w:sz w:val="21"/>
        </w:rPr>
      </w:pPr>
    </w:p>
    <w:p w14:paraId="6470E02B" w14:textId="77777777" w:rsidR="00665214" w:rsidRDefault="00000000">
      <w:pPr>
        <w:pStyle w:val="BodyText"/>
        <w:tabs>
          <w:tab w:val="left" w:pos="5103"/>
        </w:tabs>
        <w:spacing w:before="93"/>
        <w:ind w:left="42"/>
        <w:jc w:val="center"/>
      </w:pPr>
      <w:r>
        <w:t xml:space="preserve">Date: </w:t>
      </w:r>
      <w:r>
        <w:rPr>
          <w:spacing w:val="2"/>
        </w:rPr>
        <w:t xml:space="preserve"> </w:t>
      </w:r>
      <w:r>
        <w:rPr>
          <w:u w:val="single"/>
        </w:rPr>
        <w:t xml:space="preserve"> </w:t>
      </w:r>
      <w:r>
        <w:rPr>
          <w:u w:val="single"/>
        </w:rPr>
        <w:tab/>
      </w:r>
    </w:p>
    <w:p w14:paraId="5954ADDB" w14:textId="77777777" w:rsidR="00665214" w:rsidRDefault="00665214">
      <w:pPr>
        <w:pStyle w:val="BodyText"/>
        <w:rPr>
          <w:sz w:val="20"/>
        </w:rPr>
      </w:pPr>
    </w:p>
    <w:p w14:paraId="209E9B67" w14:textId="77777777" w:rsidR="00665214" w:rsidRDefault="00665214">
      <w:pPr>
        <w:pStyle w:val="BodyText"/>
        <w:rPr>
          <w:sz w:val="20"/>
        </w:rPr>
      </w:pPr>
    </w:p>
    <w:p w14:paraId="7FBC8705" w14:textId="77777777" w:rsidR="00665214" w:rsidRDefault="00665214">
      <w:pPr>
        <w:pStyle w:val="BodyText"/>
        <w:rPr>
          <w:sz w:val="20"/>
        </w:rPr>
      </w:pPr>
    </w:p>
    <w:p w14:paraId="7E94CB64" w14:textId="77777777" w:rsidR="00665214" w:rsidRDefault="00665214">
      <w:pPr>
        <w:pStyle w:val="BodyText"/>
        <w:rPr>
          <w:sz w:val="20"/>
        </w:rPr>
      </w:pPr>
    </w:p>
    <w:p w14:paraId="2D4BAFD8" w14:textId="77777777" w:rsidR="00665214" w:rsidRDefault="00665214">
      <w:pPr>
        <w:pStyle w:val="BodyText"/>
        <w:rPr>
          <w:sz w:val="20"/>
        </w:rPr>
      </w:pPr>
    </w:p>
    <w:p w14:paraId="4BA5B654" w14:textId="77777777" w:rsidR="00665214" w:rsidRDefault="00000000">
      <w:pPr>
        <w:pStyle w:val="BodyText"/>
        <w:spacing w:before="232"/>
        <w:ind w:left="2400"/>
      </w:pPr>
      <w:r>
        <w:t>SUPPLIER</w:t>
      </w:r>
    </w:p>
    <w:p w14:paraId="2F508B95" w14:textId="77777777" w:rsidR="00665214" w:rsidRDefault="00665214">
      <w:pPr>
        <w:pStyle w:val="BodyText"/>
        <w:rPr>
          <w:sz w:val="26"/>
        </w:rPr>
      </w:pPr>
    </w:p>
    <w:p w14:paraId="4007AF84" w14:textId="77777777" w:rsidR="00665214" w:rsidRDefault="00665214">
      <w:pPr>
        <w:pStyle w:val="BodyText"/>
        <w:spacing w:before="7"/>
        <w:rPr>
          <w:sz w:val="22"/>
        </w:rPr>
      </w:pPr>
    </w:p>
    <w:p w14:paraId="01E5335F" w14:textId="77777777" w:rsidR="00665214" w:rsidRDefault="00000000">
      <w:pPr>
        <w:pStyle w:val="BodyText"/>
        <w:tabs>
          <w:tab w:val="left" w:pos="8921"/>
        </w:tabs>
        <w:ind w:left="2400"/>
      </w:pPr>
      <w:r>
        <w:t>By:</w:t>
      </w:r>
      <w:r>
        <w:rPr>
          <w:spacing w:val="1"/>
        </w:rPr>
        <w:t xml:space="preserve"> </w:t>
      </w:r>
      <w:r>
        <w:rPr>
          <w:u w:val="single"/>
        </w:rPr>
        <w:t xml:space="preserve"> </w:t>
      </w:r>
      <w:r>
        <w:rPr>
          <w:u w:val="single"/>
        </w:rPr>
        <w:tab/>
      </w:r>
    </w:p>
    <w:p w14:paraId="50F083E0" w14:textId="77777777" w:rsidR="00665214" w:rsidRDefault="00665214">
      <w:pPr>
        <w:pStyle w:val="BodyText"/>
        <w:rPr>
          <w:sz w:val="20"/>
        </w:rPr>
      </w:pPr>
    </w:p>
    <w:p w14:paraId="36000357" w14:textId="77777777" w:rsidR="00665214" w:rsidRDefault="00665214">
      <w:pPr>
        <w:pStyle w:val="BodyText"/>
        <w:spacing w:before="3"/>
        <w:rPr>
          <w:sz w:val="20"/>
        </w:rPr>
      </w:pPr>
    </w:p>
    <w:p w14:paraId="398CFEB7" w14:textId="77777777" w:rsidR="00665214" w:rsidRDefault="00000000">
      <w:pPr>
        <w:pStyle w:val="BodyText"/>
        <w:tabs>
          <w:tab w:val="left" w:pos="4521"/>
        </w:tabs>
        <w:spacing w:before="92"/>
        <w:ind w:right="495"/>
        <w:jc w:val="center"/>
      </w:pPr>
      <w:r>
        <w:t xml:space="preserve">Name: </w:t>
      </w:r>
      <w:r>
        <w:rPr>
          <w:spacing w:val="1"/>
        </w:rPr>
        <w:t xml:space="preserve"> </w:t>
      </w:r>
      <w:r>
        <w:rPr>
          <w:u w:val="single"/>
        </w:rPr>
        <w:t xml:space="preserve"> </w:t>
      </w:r>
      <w:r>
        <w:rPr>
          <w:u w:val="single"/>
        </w:rPr>
        <w:tab/>
      </w:r>
    </w:p>
    <w:p w14:paraId="711491B6" w14:textId="77777777" w:rsidR="00665214" w:rsidRDefault="00665214">
      <w:pPr>
        <w:pStyle w:val="BodyText"/>
        <w:rPr>
          <w:sz w:val="20"/>
        </w:rPr>
      </w:pPr>
    </w:p>
    <w:p w14:paraId="3D26EE26" w14:textId="77777777" w:rsidR="00665214" w:rsidRDefault="00665214">
      <w:pPr>
        <w:pStyle w:val="BodyText"/>
        <w:spacing w:before="3"/>
        <w:rPr>
          <w:sz w:val="20"/>
        </w:rPr>
      </w:pPr>
    </w:p>
    <w:p w14:paraId="198B0B89" w14:textId="77777777" w:rsidR="00665214" w:rsidRDefault="00000000">
      <w:pPr>
        <w:pStyle w:val="BodyText"/>
        <w:tabs>
          <w:tab w:val="left" w:pos="9022"/>
        </w:tabs>
        <w:spacing w:before="92"/>
        <w:ind w:left="2400"/>
      </w:pPr>
      <w:r>
        <w:t xml:space="preserve">Title: </w:t>
      </w:r>
      <w:r>
        <w:rPr>
          <w:spacing w:val="2"/>
        </w:rPr>
        <w:t xml:space="preserve"> </w:t>
      </w:r>
      <w:r>
        <w:rPr>
          <w:u w:val="single"/>
        </w:rPr>
        <w:t xml:space="preserve"> </w:t>
      </w:r>
      <w:r>
        <w:rPr>
          <w:u w:val="single"/>
        </w:rPr>
        <w:tab/>
      </w:r>
    </w:p>
    <w:p w14:paraId="0646578C" w14:textId="77777777" w:rsidR="00665214" w:rsidRDefault="00665214">
      <w:pPr>
        <w:pStyle w:val="BodyText"/>
        <w:rPr>
          <w:sz w:val="20"/>
        </w:rPr>
      </w:pPr>
    </w:p>
    <w:p w14:paraId="539941FE" w14:textId="77777777" w:rsidR="00665214" w:rsidRDefault="00665214">
      <w:pPr>
        <w:pStyle w:val="BodyText"/>
        <w:spacing w:before="9"/>
        <w:rPr>
          <w:sz w:val="19"/>
        </w:rPr>
      </w:pPr>
    </w:p>
    <w:p w14:paraId="39858697" w14:textId="77777777" w:rsidR="00665214" w:rsidRDefault="00000000">
      <w:pPr>
        <w:pStyle w:val="BodyText"/>
        <w:tabs>
          <w:tab w:val="left" w:pos="5343"/>
        </w:tabs>
        <w:spacing w:before="92"/>
        <w:ind w:left="162"/>
        <w:jc w:val="center"/>
      </w:pPr>
      <w:r>
        <w:t xml:space="preserve">Date: </w:t>
      </w:r>
      <w:r>
        <w:rPr>
          <w:spacing w:val="2"/>
        </w:rPr>
        <w:t xml:space="preserve"> </w:t>
      </w:r>
      <w:r>
        <w:rPr>
          <w:u w:val="single"/>
        </w:rPr>
        <w:t xml:space="preserve"> </w:t>
      </w:r>
      <w:r>
        <w:rPr>
          <w:u w:val="single"/>
        </w:rPr>
        <w:tab/>
      </w:r>
    </w:p>
    <w:p w14:paraId="5289161D" w14:textId="77777777" w:rsidR="00665214" w:rsidRDefault="00665214">
      <w:pPr>
        <w:pStyle w:val="BodyText"/>
        <w:rPr>
          <w:sz w:val="20"/>
        </w:rPr>
      </w:pPr>
    </w:p>
    <w:p w14:paraId="70222668" w14:textId="77777777" w:rsidR="00665214" w:rsidRDefault="00665214">
      <w:pPr>
        <w:pStyle w:val="BodyText"/>
        <w:rPr>
          <w:sz w:val="20"/>
        </w:rPr>
      </w:pPr>
    </w:p>
    <w:p w14:paraId="692855BF" w14:textId="77777777" w:rsidR="00665214" w:rsidRDefault="00665214">
      <w:pPr>
        <w:pStyle w:val="BodyText"/>
        <w:rPr>
          <w:sz w:val="20"/>
        </w:rPr>
      </w:pPr>
    </w:p>
    <w:p w14:paraId="4B6E64DD" w14:textId="77777777" w:rsidR="00665214" w:rsidRDefault="00665214">
      <w:pPr>
        <w:pStyle w:val="BodyText"/>
        <w:rPr>
          <w:sz w:val="20"/>
        </w:rPr>
      </w:pPr>
    </w:p>
    <w:p w14:paraId="65206260" w14:textId="77777777" w:rsidR="00665214" w:rsidRDefault="00665214">
      <w:pPr>
        <w:pStyle w:val="BodyText"/>
        <w:rPr>
          <w:sz w:val="20"/>
        </w:rPr>
      </w:pPr>
    </w:p>
    <w:p w14:paraId="266AF2E4" w14:textId="77777777" w:rsidR="00665214" w:rsidRDefault="00665214">
      <w:pPr>
        <w:pStyle w:val="BodyText"/>
        <w:rPr>
          <w:sz w:val="20"/>
        </w:rPr>
      </w:pPr>
    </w:p>
    <w:p w14:paraId="6FF4CB86" w14:textId="77777777" w:rsidR="00665214" w:rsidRDefault="00665214">
      <w:pPr>
        <w:pStyle w:val="BodyText"/>
        <w:rPr>
          <w:sz w:val="20"/>
        </w:rPr>
      </w:pPr>
    </w:p>
    <w:p w14:paraId="1D30C473" w14:textId="77777777" w:rsidR="00665214" w:rsidRDefault="00665214">
      <w:pPr>
        <w:pStyle w:val="BodyText"/>
        <w:rPr>
          <w:sz w:val="20"/>
        </w:rPr>
      </w:pPr>
    </w:p>
    <w:p w14:paraId="72ED317D" w14:textId="77777777" w:rsidR="00665214" w:rsidRDefault="00665214">
      <w:pPr>
        <w:pStyle w:val="BodyText"/>
        <w:spacing w:before="5"/>
        <w:rPr>
          <w:sz w:val="26"/>
        </w:rPr>
      </w:pPr>
    </w:p>
    <w:p w14:paraId="10906DB7" w14:textId="77777777" w:rsidR="00665214" w:rsidRDefault="00000000">
      <w:pPr>
        <w:tabs>
          <w:tab w:val="left" w:pos="7340"/>
        </w:tabs>
        <w:spacing w:before="52"/>
        <w:ind w:left="139"/>
        <w:rPr>
          <w:rFonts w:ascii="Calibri"/>
          <w:b/>
          <w:sz w:val="24"/>
        </w:rPr>
      </w:pPr>
      <w:r>
        <w:rPr>
          <w:rFonts w:ascii="Calibri"/>
          <w:sz w:val="20"/>
        </w:rPr>
        <w:t xml:space="preserve">Page </w:t>
      </w:r>
      <w:r>
        <w:rPr>
          <w:rFonts w:ascii="Calibri"/>
          <w:b/>
          <w:sz w:val="20"/>
        </w:rPr>
        <w:t>10</w:t>
      </w:r>
      <w:r>
        <w:rPr>
          <w:rFonts w:ascii="Calibri"/>
          <w:b/>
          <w:spacing w:val="-1"/>
          <w:sz w:val="20"/>
        </w:rPr>
        <w:t xml:space="preserve"> </w:t>
      </w:r>
      <w:r>
        <w:rPr>
          <w:rFonts w:ascii="Calibri"/>
          <w:sz w:val="20"/>
        </w:rPr>
        <w:t>of</w:t>
      </w:r>
      <w:r>
        <w:rPr>
          <w:rFonts w:ascii="Calibri"/>
          <w:spacing w:val="-2"/>
          <w:sz w:val="20"/>
        </w:rPr>
        <w:t xml:space="preserve"> </w:t>
      </w:r>
      <w:r>
        <w:rPr>
          <w:rFonts w:ascii="Calibri"/>
          <w:b/>
          <w:sz w:val="20"/>
        </w:rPr>
        <w:t>14</w:t>
      </w:r>
      <w:r>
        <w:rPr>
          <w:rFonts w:ascii="Calibri"/>
          <w:b/>
          <w:sz w:val="20"/>
        </w:rPr>
        <w:tab/>
      </w:r>
      <w:r>
        <w:rPr>
          <w:rFonts w:ascii="Calibri"/>
          <w:b/>
          <w:sz w:val="24"/>
        </w:rPr>
        <w:t>May 23, 2017</w:t>
      </w:r>
    </w:p>
    <w:p w14:paraId="0FCDCF23" w14:textId="77777777" w:rsidR="00665214" w:rsidRDefault="00665214">
      <w:pPr>
        <w:rPr>
          <w:rFonts w:ascii="Calibri"/>
          <w:sz w:val="24"/>
        </w:rPr>
        <w:sectPr w:rsidR="00665214">
          <w:footerReference w:type="default" r:id="rId9"/>
          <w:pgSz w:w="12240" w:h="15840"/>
          <w:pgMar w:top="1500" w:right="1220" w:bottom="280" w:left="1200" w:header="0" w:footer="0" w:gutter="0"/>
          <w:cols w:space="720"/>
        </w:sectPr>
      </w:pPr>
    </w:p>
    <w:p w14:paraId="65903A65" w14:textId="77777777" w:rsidR="00665214" w:rsidRDefault="00665214">
      <w:pPr>
        <w:pStyle w:val="BodyText"/>
        <w:spacing w:before="9"/>
        <w:rPr>
          <w:rFonts w:ascii="Calibri"/>
          <w:b/>
          <w:sz w:val="21"/>
        </w:rPr>
      </w:pPr>
    </w:p>
    <w:p w14:paraId="691D15DF" w14:textId="77777777" w:rsidR="00665214" w:rsidRDefault="00000000">
      <w:pPr>
        <w:pStyle w:val="Heading1"/>
        <w:spacing w:before="93"/>
        <w:ind w:left="50"/>
        <w:jc w:val="center"/>
      </w:pPr>
      <w:r>
        <w:t>EXHIBIT A</w:t>
      </w:r>
    </w:p>
    <w:p w14:paraId="1BDCFC68" w14:textId="77777777" w:rsidR="00665214" w:rsidRDefault="00000000">
      <w:pPr>
        <w:spacing w:before="146"/>
        <w:ind w:left="35"/>
        <w:jc w:val="center"/>
        <w:rPr>
          <w:b/>
          <w:sz w:val="24"/>
        </w:rPr>
      </w:pPr>
      <w:r>
        <w:rPr>
          <w:b/>
          <w:sz w:val="24"/>
        </w:rPr>
        <w:t>COMPANY SPECIFIC PROVISIONS</w:t>
      </w:r>
    </w:p>
    <w:p w14:paraId="07CBE6F2" w14:textId="77777777" w:rsidR="00665214" w:rsidRDefault="00665214">
      <w:pPr>
        <w:pStyle w:val="BodyText"/>
        <w:rPr>
          <w:b/>
          <w:sz w:val="26"/>
        </w:rPr>
      </w:pPr>
    </w:p>
    <w:p w14:paraId="34677821" w14:textId="77777777" w:rsidR="00665214" w:rsidRDefault="00665214">
      <w:pPr>
        <w:pStyle w:val="BodyText"/>
        <w:spacing w:before="7"/>
        <w:rPr>
          <w:b/>
          <w:sz w:val="22"/>
        </w:rPr>
      </w:pPr>
    </w:p>
    <w:p w14:paraId="007855E5" w14:textId="77777777" w:rsidR="00665214" w:rsidRDefault="00000000">
      <w:pPr>
        <w:pStyle w:val="ListParagraph"/>
        <w:numPr>
          <w:ilvl w:val="0"/>
          <w:numId w:val="1"/>
        </w:numPr>
        <w:tabs>
          <w:tab w:val="left" w:pos="579"/>
        </w:tabs>
        <w:spacing w:before="1"/>
        <w:rPr>
          <w:sz w:val="24"/>
        </w:rPr>
      </w:pPr>
      <w:r>
        <w:rPr>
          <w:sz w:val="24"/>
          <w:u w:val="single"/>
        </w:rPr>
        <w:t>Budget Options</w:t>
      </w:r>
    </w:p>
    <w:p w14:paraId="2383E5BE" w14:textId="77777777" w:rsidR="00665214" w:rsidRDefault="00000000">
      <w:pPr>
        <w:pStyle w:val="BodyText"/>
        <w:ind w:left="240" w:right="507"/>
      </w:pPr>
      <w:r>
        <w:t>For those customers who are enrolled under the Company budget plan, Supplier charges will be estimated and included in the monthly budget figure paid by the customer. Upon receipt of payment by the customer, the actual monthly Supplier charges will be remitted to the Supplier.</w:t>
      </w:r>
    </w:p>
    <w:p w14:paraId="161182AB" w14:textId="77777777" w:rsidR="00665214" w:rsidRDefault="00665214">
      <w:pPr>
        <w:pStyle w:val="BodyText"/>
      </w:pPr>
    </w:p>
    <w:p w14:paraId="38CE9487" w14:textId="77777777" w:rsidR="00665214" w:rsidRDefault="00000000">
      <w:pPr>
        <w:pStyle w:val="ListParagraph"/>
        <w:numPr>
          <w:ilvl w:val="0"/>
          <w:numId w:val="1"/>
        </w:numPr>
        <w:tabs>
          <w:tab w:val="left" w:pos="579"/>
        </w:tabs>
        <w:rPr>
          <w:sz w:val="24"/>
        </w:rPr>
      </w:pPr>
      <w:r>
        <w:rPr>
          <w:sz w:val="24"/>
          <w:u w:val="single"/>
        </w:rPr>
        <w:t>Summary</w:t>
      </w:r>
      <w:r>
        <w:rPr>
          <w:spacing w:val="-6"/>
          <w:sz w:val="24"/>
          <w:u w:val="single"/>
        </w:rPr>
        <w:t xml:space="preserve"> </w:t>
      </w:r>
      <w:r>
        <w:rPr>
          <w:sz w:val="24"/>
          <w:u w:val="single"/>
        </w:rPr>
        <w:t>Billing</w:t>
      </w:r>
    </w:p>
    <w:p w14:paraId="6824DC4A" w14:textId="77777777" w:rsidR="00665214" w:rsidRDefault="00000000">
      <w:pPr>
        <w:pStyle w:val="BodyText"/>
        <w:ind w:left="240" w:right="301"/>
      </w:pPr>
      <w:r>
        <w:t>Summary Billing will not be available to customers who choose competitive generation. Customers who enroll with a Supplier will be removed from the Summary Billing Program.</w:t>
      </w:r>
    </w:p>
    <w:p w14:paraId="6923F1ED" w14:textId="77777777" w:rsidR="00665214" w:rsidRDefault="00665214">
      <w:pPr>
        <w:pStyle w:val="BodyText"/>
        <w:spacing w:before="9"/>
        <w:rPr>
          <w:sz w:val="23"/>
        </w:rPr>
      </w:pPr>
    </w:p>
    <w:p w14:paraId="2304F248" w14:textId="77777777" w:rsidR="00665214" w:rsidRDefault="00000000">
      <w:pPr>
        <w:pStyle w:val="ListParagraph"/>
        <w:numPr>
          <w:ilvl w:val="0"/>
          <w:numId w:val="1"/>
        </w:numPr>
        <w:tabs>
          <w:tab w:val="left" w:pos="579"/>
        </w:tabs>
        <w:rPr>
          <w:sz w:val="24"/>
        </w:rPr>
      </w:pPr>
      <w:r>
        <w:rPr>
          <w:sz w:val="24"/>
          <w:u w:val="single"/>
        </w:rPr>
        <w:t>Holidays and Time</w:t>
      </w:r>
    </w:p>
    <w:p w14:paraId="0FCF7E30" w14:textId="77777777" w:rsidR="00665214" w:rsidRDefault="00000000">
      <w:pPr>
        <w:pStyle w:val="BodyText"/>
        <w:spacing w:before="1"/>
        <w:ind w:left="240" w:right="254"/>
      </w:pPr>
      <w:r>
        <w:t>Any reference made with respect to time either in this Agreement or the EBT Standards is understood to be Eastern Standard Time.</w:t>
      </w:r>
    </w:p>
    <w:p w14:paraId="2628BC99" w14:textId="77777777" w:rsidR="00665214" w:rsidRDefault="00665214">
      <w:pPr>
        <w:pStyle w:val="BodyText"/>
        <w:spacing w:before="11"/>
        <w:rPr>
          <w:sz w:val="23"/>
        </w:rPr>
      </w:pPr>
    </w:p>
    <w:p w14:paraId="03D8062A" w14:textId="77777777" w:rsidR="00665214" w:rsidRDefault="00000000">
      <w:pPr>
        <w:pStyle w:val="BodyText"/>
        <w:ind w:left="240" w:right="507"/>
      </w:pPr>
      <w:r>
        <w:t>Further, Supplier hourly load determination and reporting is done consistent with the ISO deadlines, observing ISO Holidays.</w:t>
      </w:r>
    </w:p>
    <w:p w14:paraId="11711ECD" w14:textId="77777777" w:rsidR="00665214" w:rsidRDefault="00665214">
      <w:pPr>
        <w:pStyle w:val="BodyText"/>
      </w:pPr>
    </w:p>
    <w:p w14:paraId="3BB75206" w14:textId="77777777" w:rsidR="00665214" w:rsidRDefault="00000000">
      <w:pPr>
        <w:pStyle w:val="BodyText"/>
        <w:spacing w:before="1"/>
        <w:ind w:left="240"/>
      </w:pPr>
      <w:r>
        <w:t>The Company observes the following holidays and will not receive or process electronic transaction on the following days:</w:t>
      </w:r>
    </w:p>
    <w:p w14:paraId="02D288D3" w14:textId="77777777" w:rsidR="00665214" w:rsidRDefault="00665214">
      <w:pPr>
        <w:pStyle w:val="BodyText"/>
        <w:spacing w:before="11"/>
        <w:rPr>
          <w:sz w:val="23"/>
        </w:rPr>
      </w:pPr>
    </w:p>
    <w:p w14:paraId="61D7B58E" w14:textId="77777777" w:rsidR="00665214" w:rsidRDefault="00000000">
      <w:pPr>
        <w:pStyle w:val="BodyText"/>
        <w:tabs>
          <w:tab w:val="left" w:pos="3920"/>
        </w:tabs>
        <w:ind w:left="960" w:right="4318"/>
      </w:pPr>
      <w:r>
        <w:t>New</w:t>
      </w:r>
      <w:r>
        <w:rPr>
          <w:spacing w:val="-5"/>
        </w:rPr>
        <w:t xml:space="preserve"> </w:t>
      </w:r>
      <w:r>
        <w:t>Years’ Day</w:t>
      </w:r>
      <w:r>
        <w:tab/>
        <w:t>Labor Day Martin Luther</w:t>
      </w:r>
      <w:r>
        <w:rPr>
          <w:spacing w:val="-2"/>
        </w:rPr>
        <w:t xml:space="preserve"> </w:t>
      </w:r>
      <w:r>
        <w:t>King</w:t>
      </w:r>
      <w:r>
        <w:rPr>
          <w:spacing w:val="-2"/>
        </w:rPr>
        <w:t xml:space="preserve"> </w:t>
      </w:r>
      <w:r>
        <w:t>Day</w:t>
      </w:r>
      <w:r>
        <w:tab/>
        <w:t xml:space="preserve">Columbus </w:t>
      </w:r>
      <w:r>
        <w:rPr>
          <w:spacing w:val="-5"/>
        </w:rPr>
        <w:t xml:space="preserve">Day </w:t>
      </w:r>
      <w:r>
        <w:t>President’s</w:t>
      </w:r>
      <w:r>
        <w:rPr>
          <w:spacing w:val="-1"/>
        </w:rPr>
        <w:t xml:space="preserve"> </w:t>
      </w:r>
      <w:r>
        <w:t>Day</w:t>
      </w:r>
      <w:r>
        <w:tab/>
        <w:t>Veteran’s</w:t>
      </w:r>
      <w:r>
        <w:rPr>
          <w:spacing w:val="-3"/>
        </w:rPr>
        <w:t xml:space="preserve"> </w:t>
      </w:r>
      <w:r>
        <w:t>Day</w:t>
      </w:r>
    </w:p>
    <w:p w14:paraId="2B5CFD8E" w14:textId="77777777" w:rsidR="00665214" w:rsidRDefault="00000000">
      <w:pPr>
        <w:pStyle w:val="BodyText"/>
        <w:tabs>
          <w:tab w:val="left" w:pos="3920"/>
        </w:tabs>
        <w:ind w:left="960"/>
      </w:pPr>
      <w:r>
        <w:t>Memorial</w:t>
      </w:r>
      <w:r>
        <w:rPr>
          <w:spacing w:val="-1"/>
        </w:rPr>
        <w:t xml:space="preserve"> </w:t>
      </w:r>
      <w:r>
        <w:t>Day</w:t>
      </w:r>
      <w:r>
        <w:tab/>
        <w:t>Thanksgiving</w:t>
      </w:r>
      <w:r>
        <w:rPr>
          <w:spacing w:val="-1"/>
        </w:rPr>
        <w:t xml:space="preserve"> </w:t>
      </w:r>
      <w:r>
        <w:t>Day</w:t>
      </w:r>
    </w:p>
    <w:p w14:paraId="2977E975" w14:textId="77777777" w:rsidR="00665214" w:rsidRDefault="00000000">
      <w:pPr>
        <w:pStyle w:val="BodyText"/>
        <w:tabs>
          <w:tab w:val="left" w:pos="3920"/>
        </w:tabs>
        <w:ind w:left="960"/>
      </w:pPr>
      <w:r>
        <w:t>Independence</w:t>
      </w:r>
      <w:r>
        <w:rPr>
          <w:spacing w:val="-2"/>
        </w:rPr>
        <w:t xml:space="preserve"> </w:t>
      </w:r>
      <w:r>
        <w:t>Day</w:t>
      </w:r>
      <w:r>
        <w:tab/>
        <w:t>Christmas Day</w:t>
      </w:r>
    </w:p>
    <w:p w14:paraId="7844022B" w14:textId="77777777" w:rsidR="00665214" w:rsidRDefault="00665214">
      <w:pPr>
        <w:pStyle w:val="BodyText"/>
        <w:rPr>
          <w:sz w:val="26"/>
        </w:rPr>
      </w:pPr>
    </w:p>
    <w:p w14:paraId="64143590" w14:textId="77777777" w:rsidR="00665214" w:rsidRDefault="00665214">
      <w:pPr>
        <w:pStyle w:val="BodyText"/>
        <w:spacing w:before="1"/>
        <w:rPr>
          <w:sz w:val="22"/>
        </w:rPr>
      </w:pPr>
    </w:p>
    <w:p w14:paraId="7657BE95" w14:textId="77777777" w:rsidR="00665214" w:rsidRDefault="00000000">
      <w:pPr>
        <w:pStyle w:val="ListParagraph"/>
        <w:numPr>
          <w:ilvl w:val="0"/>
          <w:numId w:val="1"/>
        </w:numPr>
        <w:tabs>
          <w:tab w:val="left" w:pos="579"/>
        </w:tabs>
        <w:rPr>
          <w:sz w:val="24"/>
        </w:rPr>
      </w:pPr>
      <w:r>
        <w:rPr>
          <w:sz w:val="24"/>
          <w:u w:val="single"/>
        </w:rPr>
        <w:t>Sales and other</w:t>
      </w:r>
      <w:r>
        <w:rPr>
          <w:spacing w:val="-2"/>
          <w:sz w:val="24"/>
          <w:u w:val="single"/>
        </w:rPr>
        <w:t xml:space="preserve"> </w:t>
      </w:r>
      <w:r>
        <w:rPr>
          <w:sz w:val="24"/>
          <w:u w:val="single"/>
        </w:rPr>
        <w:t>Taxes</w:t>
      </w:r>
    </w:p>
    <w:p w14:paraId="1F376233" w14:textId="77777777" w:rsidR="00665214" w:rsidRDefault="00000000">
      <w:pPr>
        <w:pStyle w:val="BodyText"/>
        <w:ind w:left="240" w:right="301"/>
      </w:pPr>
      <w:r>
        <w:t>The Company will apply taxes on the Supplier’s charges in the same manner as taxes are applied on the Company’s portion of the customer’s bill.</w:t>
      </w:r>
    </w:p>
    <w:p w14:paraId="2ABF12F9" w14:textId="77777777" w:rsidR="00665214" w:rsidRDefault="00665214">
      <w:pPr>
        <w:pStyle w:val="BodyText"/>
        <w:spacing w:before="2"/>
      </w:pPr>
    </w:p>
    <w:p w14:paraId="7F47A921" w14:textId="77777777" w:rsidR="00665214" w:rsidRDefault="00000000">
      <w:pPr>
        <w:pStyle w:val="ListParagraph"/>
        <w:numPr>
          <w:ilvl w:val="0"/>
          <w:numId w:val="1"/>
        </w:numPr>
        <w:tabs>
          <w:tab w:val="left" w:pos="577"/>
        </w:tabs>
        <w:ind w:left="576" w:hanging="337"/>
        <w:rPr>
          <w:sz w:val="24"/>
        </w:rPr>
      </w:pPr>
      <w:r>
        <w:rPr>
          <w:sz w:val="24"/>
          <w:u w:val="single"/>
        </w:rPr>
        <w:t>Money</w:t>
      </w:r>
      <w:r>
        <w:rPr>
          <w:spacing w:val="-5"/>
          <w:sz w:val="24"/>
          <w:u w:val="single"/>
        </w:rPr>
        <w:t xml:space="preserve"> </w:t>
      </w:r>
      <w:r>
        <w:rPr>
          <w:sz w:val="24"/>
          <w:u w:val="single"/>
        </w:rPr>
        <w:t>Transfers</w:t>
      </w:r>
    </w:p>
    <w:p w14:paraId="7B304C8C" w14:textId="77777777" w:rsidR="00665214" w:rsidRDefault="00000000">
      <w:pPr>
        <w:pStyle w:val="BodyText"/>
        <w:ind w:left="240" w:right="507"/>
      </w:pPr>
      <w:r>
        <w:t>The Company will transfer payments to the Supplier by way of Automatic Clearing House within three business days of the Company’s receipt of payment from the Customer.</w:t>
      </w:r>
    </w:p>
    <w:p w14:paraId="06F596EA" w14:textId="77777777" w:rsidR="00665214" w:rsidRDefault="00665214">
      <w:pPr>
        <w:pStyle w:val="BodyText"/>
      </w:pPr>
    </w:p>
    <w:p w14:paraId="16AB52D2" w14:textId="77777777" w:rsidR="00665214" w:rsidRDefault="00000000">
      <w:pPr>
        <w:pStyle w:val="ListParagraph"/>
        <w:numPr>
          <w:ilvl w:val="0"/>
          <w:numId w:val="1"/>
        </w:numPr>
        <w:tabs>
          <w:tab w:val="left" w:pos="601"/>
        </w:tabs>
        <w:ind w:left="600" w:hanging="361"/>
        <w:rPr>
          <w:sz w:val="24"/>
        </w:rPr>
      </w:pPr>
      <w:r>
        <w:rPr>
          <w:sz w:val="24"/>
          <w:u w:val="single"/>
        </w:rPr>
        <w:t>Amendments</w:t>
      </w:r>
    </w:p>
    <w:p w14:paraId="45950487" w14:textId="77777777" w:rsidR="00665214" w:rsidRDefault="00000000">
      <w:pPr>
        <w:pStyle w:val="BodyText"/>
        <w:spacing w:before="1"/>
        <w:ind w:left="240"/>
      </w:pPr>
      <w:r>
        <w:t>The Parties agree that this Agreement is modified as follows:</w:t>
      </w:r>
    </w:p>
    <w:p w14:paraId="00DB7867" w14:textId="77777777" w:rsidR="00665214" w:rsidRDefault="00665214">
      <w:pPr>
        <w:sectPr w:rsidR="00665214">
          <w:footerReference w:type="default" r:id="rId10"/>
          <w:pgSz w:w="12240" w:h="15840"/>
          <w:pgMar w:top="1500" w:right="1220" w:bottom="1160" w:left="1200" w:header="0" w:footer="966" w:gutter="0"/>
          <w:pgNumType w:start="11"/>
          <w:cols w:space="720"/>
        </w:sectPr>
      </w:pPr>
    </w:p>
    <w:p w14:paraId="7EA6B439" w14:textId="77777777" w:rsidR="00665214" w:rsidRDefault="00665214">
      <w:pPr>
        <w:pStyle w:val="BodyText"/>
        <w:spacing w:before="1"/>
        <w:rPr>
          <w:sz w:val="23"/>
        </w:rPr>
      </w:pPr>
    </w:p>
    <w:p w14:paraId="5C5CE05F" w14:textId="77777777" w:rsidR="00665214" w:rsidRDefault="00000000">
      <w:pPr>
        <w:pStyle w:val="Heading1"/>
        <w:spacing w:before="93"/>
        <w:ind w:left="43"/>
        <w:jc w:val="center"/>
      </w:pPr>
      <w:r>
        <w:t>EXHIBIT B</w:t>
      </w:r>
    </w:p>
    <w:p w14:paraId="72189704" w14:textId="77777777" w:rsidR="00665214" w:rsidRDefault="00000000">
      <w:pPr>
        <w:spacing w:before="146"/>
        <w:ind w:left="35"/>
        <w:jc w:val="center"/>
        <w:rPr>
          <w:b/>
          <w:sz w:val="24"/>
        </w:rPr>
      </w:pPr>
      <w:r>
        <w:rPr>
          <w:b/>
          <w:sz w:val="24"/>
        </w:rPr>
        <w:t>ELECTRIC SUPPLIER INFORMATION</w:t>
      </w:r>
    </w:p>
    <w:p w14:paraId="346673FB" w14:textId="77777777" w:rsidR="00665214" w:rsidRDefault="00665214">
      <w:pPr>
        <w:pStyle w:val="BodyText"/>
        <w:rPr>
          <w:b/>
          <w:sz w:val="26"/>
        </w:rPr>
      </w:pPr>
    </w:p>
    <w:p w14:paraId="597C4404" w14:textId="77777777" w:rsidR="00665214" w:rsidRDefault="00665214">
      <w:pPr>
        <w:pStyle w:val="BodyText"/>
        <w:spacing w:before="1"/>
        <w:rPr>
          <w:b/>
        </w:rPr>
      </w:pPr>
    </w:p>
    <w:p w14:paraId="0F4A3382" w14:textId="77777777" w:rsidR="00665214" w:rsidRDefault="00000000">
      <w:pPr>
        <w:pStyle w:val="Heading1"/>
        <w:spacing w:line="367" w:lineRule="auto"/>
        <w:ind w:left="240" w:right="507"/>
      </w:pPr>
      <w:r>
        <w:t xml:space="preserve">Supplier must fill this form out completely and return it to Company prior to </w:t>
      </w:r>
      <w:proofErr w:type="gramStart"/>
      <w:r>
        <w:t>entering into</w:t>
      </w:r>
      <w:proofErr w:type="gramEnd"/>
      <w:r>
        <w:t xml:space="preserve"> a contract for services with Company. Failure to fill out this form completely will render Company unable to provide services for Supplier.</w:t>
      </w:r>
    </w:p>
    <w:p w14:paraId="2CA6C4D7" w14:textId="77777777" w:rsidR="00665214" w:rsidRDefault="00665214">
      <w:pPr>
        <w:pStyle w:val="BodyText"/>
        <w:rPr>
          <w:b/>
          <w:sz w:val="20"/>
        </w:rPr>
      </w:pPr>
    </w:p>
    <w:p w14:paraId="14DA31F1" w14:textId="77777777" w:rsidR="00665214" w:rsidRDefault="00665214">
      <w:pPr>
        <w:pStyle w:val="BodyText"/>
        <w:spacing w:before="9"/>
        <w:rPr>
          <w:b/>
          <w:sz w:val="16"/>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5"/>
        <w:gridCol w:w="5768"/>
      </w:tblGrid>
      <w:tr w:rsidR="00665214" w14:paraId="52F40330" w14:textId="77777777">
        <w:trPr>
          <w:trHeight w:val="357"/>
        </w:trPr>
        <w:tc>
          <w:tcPr>
            <w:tcW w:w="3795" w:type="dxa"/>
          </w:tcPr>
          <w:p w14:paraId="11BAA91E" w14:textId="77777777" w:rsidR="00665214" w:rsidRDefault="00000000">
            <w:pPr>
              <w:pStyle w:val="TableParagraph"/>
              <w:spacing w:line="229" w:lineRule="exact"/>
              <w:rPr>
                <w:b/>
                <w:sz w:val="20"/>
              </w:rPr>
            </w:pPr>
            <w:r>
              <w:rPr>
                <w:b/>
                <w:sz w:val="20"/>
              </w:rPr>
              <w:t>A. General Information</w:t>
            </w:r>
          </w:p>
        </w:tc>
        <w:tc>
          <w:tcPr>
            <w:tcW w:w="5768" w:type="dxa"/>
          </w:tcPr>
          <w:p w14:paraId="40F6B113" w14:textId="77777777" w:rsidR="00665214" w:rsidRDefault="00665214">
            <w:pPr>
              <w:pStyle w:val="TableParagraph"/>
              <w:ind w:left="0"/>
              <w:rPr>
                <w:rFonts w:ascii="Times New Roman"/>
                <w:sz w:val="20"/>
              </w:rPr>
            </w:pPr>
          </w:p>
        </w:tc>
      </w:tr>
      <w:tr w:rsidR="00665214" w14:paraId="5E0E13B6" w14:textId="77777777">
        <w:trPr>
          <w:trHeight w:val="342"/>
        </w:trPr>
        <w:tc>
          <w:tcPr>
            <w:tcW w:w="3795" w:type="dxa"/>
          </w:tcPr>
          <w:p w14:paraId="762B27BE" w14:textId="77777777" w:rsidR="00665214" w:rsidRDefault="00000000">
            <w:pPr>
              <w:pStyle w:val="TableParagraph"/>
              <w:spacing w:line="224" w:lineRule="exact"/>
              <w:rPr>
                <w:sz w:val="20"/>
              </w:rPr>
            </w:pPr>
            <w:r>
              <w:rPr>
                <w:sz w:val="20"/>
              </w:rPr>
              <w:t>Legal name of Supplier:</w:t>
            </w:r>
          </w:p>
        </w:tc>
        <w:tc>
          <w:tcPr>
            <w:tcW w:w="5768" w:type="dxa"/>
          </w:tcPr>
          <w:p w14:paraId="70A0A605" w14:textId="77777777" w:rsidR="00665214" w:rsidRDefault="00665214">
            <w:pPr>
              <w:pStyle w:val="TableParagraph"/>
              <w:ind w:left="0"/>
              <w:rPr>
                <w:rFonts w:ascii="Times New Roman"/>
                <w:sz w:val="20"/>
              </w:rPr>
            </w:pPr>
          </w:p>
        </w:tc>
      </w:tr>
      <w:tr w:rsidR="00665214" w14:paraId="5A74A2FF" w14:textId="77777777">
        <w:trPr>
          <w:trHeight w:val="342"/>
        </w:trPr>
        <w:tc>
          <w:tcPr>
            <w:tcW w:w="3795" w:type="dxa"/>
          </w:tcPr>
          <w:p w14:paraId="5D171DBC" w14:textId="77777777" w:rsidR="00665214" w:rsidRDefault="00000000">
            <w:pPr>
              <w:pStyle w:val="TableParagraph"/>
              <w:spacing w:line="227" w:lineRule="exact"/>
              <w:rPr>
                <w:sz w:val="20"/>
              </w:rPr>
            </w:pPr>
            <w:proofErr w:type="spellStart"/>
            <w:r>
              <w:rPr>
                <w:sz w:val="20"/>
              </w:rPr>
              <w:t>d.b.a</w:t>
            </w:r>
            <w:proofErr w:type="spellEnd"/>
            <w:r>
              <w:rPr>
                <w:sz w:val="20"/>
              </w:rPr>
              <w:t xml:space="preserve"> name, if applicable:</w:t>
            </w:r>
          </w:p>
        </w:tc>
        <w:tc>
          <w:tcPr>
            <w:tcW w:w="5768" w:type="dxa"/>
          </w:tcPr>
          <w:p w14:paraId="5ADC8F5C" w14:textId="77777777" w:rsidR="00665214" w:rsidRDefault="00665214">
            <w:pPr>
              <w:pStyle w:val="TableParagraph"/>
              <w:ind w:left="0"/>
              <w:rPr>
                <w:rFonts w:ascii="Times New Roman"/>
                <w:sz w:val="20"/>
              </w:rPr>
            </w:pPr>
          </w:p>
        </w:tc>
      </w:tr>
      <w:tr w:rsidR="00665214" w14:paraId="5DBEC561" w14:textId="77777777">
        <w:trPr>
          <w:trHeight w:val="345"/>
        </w:trPr>
        <w:tc>
          <w:tcPr>
            <w:tcW w:w="3795" w:type="dxa"/>
          </w:tcPr>
          <w:p w14:paraId="479E0407" w14:textId="77777777" w:rsidR="00665214" w:rsidRDefault="00000000">
            <w:pPr>
              <w:pStyle w:val="TableParagraph"/>
              <w:spacing w:line="227" w:lineRule="exact"/>
              <w:rPr>
                <w:sz w:val="20"/>
              </w:rPr>
            </w:pPr>
            <w:r>
              <w:rPr>
                <w:sz w:val="20"/>
              </w:rPr>
              <w:t>Supplier Address:</w:t>
            </w:r>
          </w:p>
        </w:tc>
        <w:tc>
          <w:tcPr>
            <w:tcW w:w="5768" w:type="dxa"/>
          </w:tcPr>
          <w:p w14:paraId="140D4FE5" w14:textId="77777777" w:rsidR="00665214" w:rsidRDefault="00665214">
            <w:pPr>
              <w:pStyle w:val="TableParagraph"/>
              <w:ind w:left="0"/>
              <w:rPr>
                <w:rFonts w:ascii="Times New Roman"/>
                <w:sz w:val="20"/>
              </w:rPr>
            </w:pPr>
          </w:p>
        </w:tc>
      </w:tr>
      <w:tr w:rsidR="00665214" w14:paraId="6BE2BF0B" w14:textId="77777777">
        <w:trPr>
          <w:trHeight w:val="342"/>
        </w:trPr>
        <w:tc>
          <w:tcPr>
            <w:tcW w:w="3795" w:type="dxa"/>
          </w:tcPr>
          <w:p w14:paraId="7AA6F51F" w14:textId="77777777" w:rsidR="00665214" w:rsidRDefault="00000000">
            <w:pPr>
              <w:pStyle w:val="TableParagraph"/>
              <w:spacing w:line="224" w:lineRule="exact"/>
              <w:rPr>
                <w:sz w:val="20"/>
              </w:rPr>
            </w:pPr>
            <w:r>
              <w:rPr>
                <w:sz w:val="20"/>
              </w:rPr>
              <w:t>Type of Business Entity:</w:t>
            </w:r>
          </w:p>
        </w:tc>
        <w:tc>
          <w:tcPr>
            <w:tcW w:w="5768" w:type="dxa"/>
          </w:tcPr>
          <w:p w14:paraId="7216B320" w14:textId="77777777" w:rsidR="00665214" w:rsidRDefault="00665214">
            <w:pPr>
              <w:pStyle w:val="TableParagraph"/>
              <w:ind w:left="0"/>
              <w:rPr>
                <w:rFonts w:ascii="Times New Roman"/>
                <w:sz w:val="20"/>
              </w:rPr>
            </w:pPr>
          </w:p>
        </w:tc>
      </w:tr>
      <w:tr w:rsidR="00665214" w14:paraId="378D3A53" w14:textId="77777777">
        <w:trPr>
          <w:trHeight w:val="685"/>
        </w:trPr>
        <w:tc>
          <w:tcPr>
            <w:tcW w:w="3795" w:type="dxa"/>
          </w:tcPr>
          <w:p w14:paraId="74C802E7" w14:textId="77777777" w:rsidR="00665214" w:rsidRDefault="00000000">
            <w:pPr>
              <w:pStyle w:val="TableParagraph"/>
              <w:spacing w:line="224" w:lineRule="exact"/>
              <w:rPr>
                <w:sz w:val="20"/>
              </w:rPr>
            </w:pPr>
            <w:r>
              <w:rPr>
                <w:sz w:val="20"/>
              </w:rPr>
              <w:t>Supplier Customer Service</w:t>
            </w:r>
          </w:p>
          <w:p w14:paraId="38244623" w14:textId="77777777" w:rsidR="00665214" w:rsidRDefault="00000000">
            <w:pPr>
              <w:pStyle w:val="TableParagraph"/>
              <w:spacing w:before="111"/>
              <w:rPr>
                <w:sz w:val="20"/>
              </w:rPr>
            </w:pPr>
            <w:r>
              <w:rPr>
                <w:sz w:val="20"/>
              </w:rPr>
              <w:t>phone number:</w:t>
            </w:r>
          </w:p>
        </w:tc>
        <w:tc>
          <w:tcPr>
            <w:tcW w:w="5768" w:type="dxa"/>
          </w:tcPr>
          <w:p w14:paraId="62A38E0B" w14:textId="77777777" w:rsidR="00665214" w:rsidRDefault="00665214">
            <w:pPr>
              <w:pStyle w:val="TableParagraph"/>
              <w:ind w:left="0"/>
              <w:rPr>
                <w:rFonts w:ascii="Times New Roman"/>
                <w:sz w:val="20"/>
              </w:rPr>
            </w:pPr>
          </w:p>
        </w:tc>
      </w:tr>
      <w:tr w:rsidR="00665214" w14:paraId="728C6B86" w14:textId="77777777">
        <w:trPr>
          <w:trHeight w:val="342"/>
        </w:trPr>
        <w:tc>
          <w:tcPr>
            <w:tcW w:w="3795" w:type="dxa"/>
          </w:tcPr>
          <w:p w14:paraId="4003656F" w14:textId="77777777" w:rsidR="00665214" w:rsidRDefault="00000000">
            <w:pPr>
              <w:pStyle w:val="TableParagraph"/>
              <w:spacing w:line="224" w:lineRule="exact"/>
              <w:rPr>
                <w:sz w:val="20"/>
              </w:rPr>
            </w:pPr>
            <w:r>
              <w:rPr>
                <w:sz w:val="20"/>
              </w:rPr>
              <w:t>Tax identification number:</w:t>
            </w:r>
          </w:p>
        </w:tc>
        <w:tc>
          <w:tcPr>
            <w:tcW w:w="5768" w:type="dxa"/>
          </w:tcPr>
          <w:p w14:paraId="5D5720A6" w14:textId="77777777" w:rsidR="00665214" w:rsidRDefault="00665214">
            <w:pPr>
              <w:pStyle w:val="TableParagraph"/>
              <w:ind w:left="0"/>
              <w:rPr>
                <w:rFonts w:ascii="Times New Roman"/>
                <w:sz w:val="20"/>
              </w:rPr>
            </w:pPr>
          </w:p>
        </w:tc>
      </w:tr>
      <w:tr w:rsidR="00665214" w14:paraId="3F05551B" w14:textId="77777777">
        <w:trPr>
          <w:trHeight w:val="342"/>
        </w:trPr>
        <w:tc>
          <w:tcPr>
            <w:tcW w:w="3795" w:type="dxa"/>
          </w:tcPr>
          <w:p w14:paraId="1005F11D" w14:textId="77777777" w:rsidR="00665214" w:rsidRDefault="00000000">
            <w:pPr>
              <w:pStyle w:val="TableParagraph"/>
              <w:spacing w:line="224" w:lineRule="exact"/>
              <w:rPr>
                <w:sz w:val="20"/>
              </w:rPr>
            </w:pPr>
            <w:r>
              <w:rPr>
                <w:sz w:val="20"/>
              </w:rPr>
              <w:t>Dun &amp; Bradstreet number:</w:t>
            </w:r>
          </w:p>
        </w:tc>
        <w:tc>
          <w:tcPr>
            <w:tcW w:w="5768" w:type="dxa"/>
          </w:tcPr>
          <w:p w14:paraId="4EFF9BB5" w14:textId="77777777" w:rsidR="00665214" w:rsidRDefault="00665214">
            <w:pPr>
              <w:pStyle w:val="TableParagraph"/>
              <w:ind w:left="0"/>
              <w:rPr>
                <w:rFonts w:ascii="Times New Roman"/>
                <w:sz w:val="20"/>
              </w:rPr>
            </w:pPr>
          </w:p>
        </w:tc>
      </w:tr>
      <w:tr w:rsidR="00665214" w14:paraId="4E0EB86E" w14:textId="77777777">
        <w:trPr>
          <w:trHeight w:val="342"/>
        </w:trPr>
        <w:tc>
          <w:tcPr>
            <w:tcW w:w="3795" w:type="dxa"/>
          </w:tcPr>
          <w:p w14:paraId="4A9ECB4B" w14:textId="77777777" w:rsidR="00665214" w:rsidRDefault="00000000">
            <w:pPr>
              <w:pStyle w:val="TableParagraph"/>
              <w:spacing w:line="224" w:lineRule="exact"/>
              <w:rPr>
                <w:sz w:val="20"/>
              </w:rPr>
            </w:pPr>
            <w:r>
              <w:rPr>
                <w:sz w:val="20"/>
              </w:rPr>
              <w:t>PURA License number:</w:t>
            </w:r>
          </w:p>
        </w:tc>
        <w:tc>
          <w:tcPr>
            <w:tcW w:w="5768" w:type="dxa"/>
          </w:tcPr>
          <w:p w14:paraId="48E9D7F5" w14:textId="77777777" w:rsidR="00665214" w:rsidRDefault="00665214">
            <w:pPr>
              <w:pStyle w:val="TableParagraph"/>
              <w:ind w:left="0"/>
              <w:rPr>
                <w:rFonts w:ascii="Times New Roman"/>
                <w:sz w:val="20"/>
              </w:rPr>
            </w:pPr>
          </w:p>
        </w:tc>
      </w:tr>
      <w:tr w:rsidR="00665214" w14:paraId="3FD3F8E2" w14:textId="77777777">
        <w:trPr>
          <w:trHeight w:val="356"/>
        </w:trPr>
        <w:tc>
          <w:tcPr>
            <w:tcW w:w="3795" w:type="dxa"/>
          </w:tcPr>
          <w:p w14:paraId="25C6396A" w14:textId="77777777" w:rsidR="00665214" w:rsidRDefault="00000000">
            <w:pPr>
              <w:pStyle w:val="TableParagraph"/>
              <w:spacing w:before="1"/>
              <w:rPr>
                <w:b/>
                <w:sz w:val="20"/>
              </w:rPr>
            </w:pPr>
            <w:r>
              <w:rPr>
                <w:b/>
                <w:sz w:val="20"/>
              </w:rPr>
              <w:t>B. Contact Information</w:t>
            </w:r>
          </w:p>
        </w:tc>
        <w:tc>
          <w:tcPr>
            <w:tcW w:w="5768" w:type="dxa"/>
          </w:tcPr>
          <w:p w14:paraId="40956F19" w14:textId="77777777" w:rsidR="00665214" w:rsidRDefault="00665214">
            <w:pPr>
              <w:pStyle w:val="TableParagraph"/>
              <w:ind w:left="0"/>
              <w:rPr>
                <w:rFonts w:ascii="Times New Roman"/>
                <w:sz w:val="20"/>
              </w:rPr>
            </w:pPr>
          </w:p>
        </w:tc>
      </w:tr>
      <w:tr w:rsidR="00665214" w14:paraId="63B76A49" w14:textId="77777777">
        <w:trPr>
          <w:trHeight w:val="345"/>
        </w:trPr>
        <w:tc>
          <w:tcPr>
            <w:tcW w:w="3795" w:type="dxa"/>
          </w:tcPr>
          <w:p w14:paraId="41FFD808" w14:textId="77777777" w:rsidR="00665214" w:rsidRDefault="00000000">
            <w:pPr>
              <w:pStyle w:val="TableParagraph"/>
              <w:spacing w:line="227" w:lineRule="exact"/>
              <w:rPr>
                <w:sz w:val="20"/>
              </w:rPr>
            </w:pPr>
            <w:r>
              <w:rPr>
                <w:sz w:val="20"/>
              </w:rPr>
              <w:t>Business Contact Name:</w:t>
            </w:r>
          </w:p>
        </w:tc>
        <w:tc>
          <w:tcPr>
            <w:tcW w:w="5768" w:type="dxa"/>
          </w:tcPr>
          <w:p w14:paraId="0F0F9442" w14:textId="77777777" w:rsidR="00665214" w:rsidRDefault="00665214">
            <w:pPr>
              <w:pStyle w:val="TableParagraph"/>
              <w:ind w:left="0"/>
              <w:rPr>
                <w:rFonts w:ascii="Times New Roman"/>
                <w:sz w:val="20"/>
              </w:rPr>
            </w:pPr>
          </w:p>
        </w:tc>
      </w:tr>
      <w:tr w:rsidR="00665214" w14:paraId="65D6AD03" w14:textId="77777777">
        <w:trPr>
          <w:trHeight w:val="342"/>
        </w:trPr>
        <w:tc>
          <w:tcPr>
            <w:tcW w:w="3795" w:type="dxa"/>
          </w:tcPr>
          <w:p w14:paraId="0E756936" w14:textId="77777777" w:rsidR="00665214" w:rsidRDefault="00000000">
            <w:pPr>
              <w:pStyle w:val="TableParagraph"/>
              <w:spacing w:line="224" w:lineRule="exact"/>
              <w:rPr>
                <w:sz w:val="20"/>
              </w:rPr>
            </w:pPr>
            <w:r>
              <w:rPr>
                <w:sz w:val="20"/>
              </w:rPr>
              <w:t>Business Contact Phone:</w:t>
            </w:r>
          </w:p>
        </w:tc>
        <w:tc>
          <w:tcPr>
            <w:tcW w:w="5768" w:type="dxa"/>
          </w:tcPr>
          <w:p w14:paraId="4951E54E" w14:textId="77777777" w:rsidR="00665214" w:rsidRDefault="00665214">
            <w:pPr>
              <w:pStyle w:val="TableParagraph"/>
              <w:ind w:left="0"/>
              <w:rPr>
                <w:rFonts w:ascii="Times New Roman"/>
                <w:sz w:val="20"/>
              </w:rPr>
            </w:pPr>
          </w:p>
        </w:tc>
      </w:tr>
      <w:tr w:rsidR="00665214" w14:paraId="0859D529" w14:textId="77777777">
        <w:trPr>
          <w:trHeight w:val="342"/>
        </w:trPr>
        <w:tc>
          <w:tcPr>
            <w:tcW w:w="3795" w:type="dxa"/>
          </w:tcPr>
          <w:p w14:paraId="77B83776" w14:textId="77777777" w:rsidR="00665214" w:rsidRDefault="00000000">
            <w:pPr>
              <w:pStyle w:val="TableParagraph"/>
              <w:spacing w:line="224" w:lineRule="exact"/>
              <w:rPr>
                <w:sz w:val="20"/>
              </w:rPr>
            </w:pPr>
            <w:r>
              <w:rPr>
                <w:sz w:val="20"/>
              </w:rPr>
              <w:t>Business Contact Fax:</w:t>
            </w:r>
          </w:p>
        </w:tc>
        <w:tc>
          <w:tcPr>
            <w:tcW w:w="5768" w:type="dxa"/>
          </w:tcPr>
          <w:p w14:paraId="71348EDE" w14:textId="77777777" w:rsidR="00665214" w:rsidRDefault="00665214">
            <w:pPr>
              <w:pStyle w:val="TableParagraph"/>
              <w:ind w:left="0"/>
              <w:rPr>
                <w:rFonts w:ascii="Times New Roman"/>
                <w:sz w:val="20"/>
              </w:rPr>
            </w:pPr>
          </w:p>
        </w:tc>
      </w:tr>
      <w:tr w:rsidR="00665214" w14:paraId="40356C7D" w14:textId="77777777">
        <w:trPr>
          <w:trHeight w:val="342"/>
        </w:trPr>
        <w:tc>
          <w:tcPr>
            <w:tcW w:w="3795" w:type="dxa"/>
          </w:tcPr>
          <w:p w14:paraId="795338C5" w14:textId="77777777" w:rsidR="00665214" w:rsidRDefault="00000000">
            <w:pPr>
              <w:pStyle w:val="TableParagraph"/>
              <w:spacing w:line="224" w:lineRule="exact"/>
              <w:rPr>
                <w:sz w:val="20"/>
              </w:rPr>
            </w:pPr>
            <w:r>
              <w:rPr>
                <w:sz w:val="20"/>
              </w:rPr>
              <w:t>Business Contact e-mail:</w:t>
            </w:r>
          </w:p>
        </w:tc>
        <w:tc>
          <w:tcPr>
            <w:tcW w:w="5768" w:type="dxa"/>
          </w:tcPr>
          <w:p w14:paraId="08B5C439" w14:textId="77777777" w:rsidR="00665214" w:rsidRDefault="00665214">
            <w:pPr>
              <w:pStyle w:val="TableParagraph"/>
              <w:ind w:left="0"/>
              <w:rPr>
                <w:rFonts w:ascii="Times New Roman"/>
                <w:sz w:val="20"/>
              </w:rPr>
            </w:pPr>
          </w:p>
        </w:tc>
      </w:tr>
      <w:tr w:rsidR="00665214" w14:paraId="2E825F1C" w14:textId="77777777">
        <w:trPr>
          <w:trHeight w:val="342"/>
        </w:trPr>
        <w:tc>
          <w:tcPr>
            <w:tcW w:w="3795" w:type="dxa"/>
          </w:tcPr>
          <w:p w14:paraId="5C8FD093" w14:textId="77777777" w:rsidR="00665214" w:rsidRDefault="00000000">
            <w:pPr>
              <w:pStyle w:val="TableParagraph"/>
              <w:spacing w:line="224" w:lineRule="exact"/>
              <w:rPr>
                <w:sz w:val="20"/>
              </w:rPr>
            </w:pPr>
            <w:r>
              <w:rPr>
                <w:sz w:val="20"/>
              </w:rPr>
              <w:t>Technical Contact Name:</w:t>
            </w:r>
          </w:p>
        </w:tc>
        <w:tc>
          <w:tcPr>
            <w:tcW w:w="5768" w:type="dxa"/>
          </w:tcPr>
          <w:p w14:paraId="14417717" w14:textId="77777777" w:rsidR="00665214" w:rsidRDefault="00665214">
            <w:pPr>
              <w:pStyle w:val="TableParagraph"/>
              <w:ind w:left="0"/>
              <w:rPr>
                <w:rFonts w:ascii="Times New Roman"/>
                <w:sz w:val="20"/>
              </w:rPr>
            </w:pPr>
          </w:p>
        </w:tc>
      </w:tr>
      <w:tr w:rsidR="00665214" w14:paraId="1A135319" w14:textId="77777777">
        <w:trPr>
          <w:trHeight w:val="343"/>
        </w:trPr>
        <w:tc>
          <w:tcPr>
            <w:tcW w:w="3795" w:type="dxa"/>
          </w:tcPr>
          <w:p w14:paraId="5A878006" w14:textId="77777777" w:rsidR="00665214" w:rsidRDefault="00000000">
            <w:pPr>
              <w:pStyle w:val="TableParagraph"/>
              <w:spacing w:line="225" w:lineRule="exact"/>
              <w:rPr>
                <w:sz w:val="20"/>
              </w:rPr>
            </w:pPr>
            <w:r>
              <w:rPr>
                <w:sz w:val="20"/>
              </w:rPr>
              <w:t>Technical Contact Phone:</w:t>
            </w:r>
          </w:p>
        </w:tc>
        <w:tc>
          <w:tcPr>
            <w:tcW w:w="5768" w:type="dxa"/>
          </w:tcPr>
          <w:p w14:paraId="1B4751A1" w14:textId="77777777" w:rsidR="00665214" w:rsidRDefault="00665214">
            <w:pPr>
              <w:pStyle w:val="TableParagraph"/>
              <w:ind w:left="0"/>
              <w:rPr>
                <w:rFonts w:ascii="Times New Roman"/>
                <w:sz w:val="20"/>
              </w:rPr>
            </w:pPr>
          </w:p>
        </w:tc>
      </w:tr>
      <w:tr w:rsidR="00665214" w14:paraId="21074992" w14:textId="77777777">
        <w:trPr>
          <w:trHeight w:val="345"/>
        </w:trPr>
        <w:tc>
          <w:tcPr>
            <w:tcW w:w="3795" w:type="dxa"/>
          </w:tcPr>
          <w:p w14:paraId="7267B61A" w14:textId="77777777" w:rsidR="00665214" w:rsidRDefault="00000000">
            <w:pPr>
              <w:pStyle w:val="TableParagraph"/>
              <w:spacing w:line="227" w:lineRule="exact"/>
              <w:rPr>
                <w:sz w:val="20"/>
              </w:rPr>
            </w:pPr>
            <w:r>
              <w:rPr>
                <w:sz w:val="20"/>
              </w:rPr>
              <w:t>Technical Contact Fax:</w:t>
            </w:r>
          </w:p>
        </w:tc>
        <w:tc>
          <w:tcPr>
            <w:tcW w:w="5768" w:type="dxa"/>
          </w:tcPr>
          <w:p w14:paraId="0FC2035A" w14:textId="77777777" w:rsidR="00665214" w:rsidRDefault="00665214">
            <w:pPr>
              <w:pStyle w:val="TableParagraph"/>
              <w:ind w:left="0"/>
              <w:rPr>
                <w:rFonts w:ascii="Times New Roman"/>
                <w:sz w:val="20"/>
              </w:rPr>
            </w:pPr>
          </w:p>
        </w:tc>
      </w:tr>
      <w:tr w:rsidR="00665214" w14:paraId="4DBA05F3" w14:textId="77777777">
        <w:trPr>
          <w:trHeight w:val="342"/>
        </w:trPr>
        <w:tc>
          <w:tcPr>
            <w:tcW w:w="3795" w:type="dxa"/>
          </w:tcPr>
          <w:p w14:paraId="2F9E3085" w14:textId="77777777" w:rsidR="00665214" w:rsidRDefault="00000000">
            <w:pPr>
              <w:pStyle w:val="TableParagraph"/>
              <w:spacing w:line="224" w:lineRule="exact"/>
              <w:rPr>
                <w:sz w:val="20"/>
              </w:rPr>
            </w:pPr>
            <w:r>
              <w:rPr>
                <w:sz w:val="20"/>
              </w:rPr>
              <w:t>Technical Contact e-mail:</w:t>
            </w:r>
          </w:p>
        </w:tc>
        <w:tc>
          <w:tcPr>
            <w:tcW w:w="5768" w:type="dxa"/>
          </w:tcPr>
          <w:p w14:paraId="62B826EC" w14:textId="77777777" w:rsidR="00665214" w:rsidRDefault="00665214">
            <w:pPr>
              <w:pStyle w:val="TableParagraph"/>
              <w:ind w:left="0"/>
              <w:rPr>
                <w:rFonts w:ascii="Times New Roman"/>
                <w:sz w:val="20"/>
              </w:rPr>
            </w:pPr>
          </w:p>
        </w:tc>
      </w:tr>
      <w:tr w:rsidR="00665214" w14:paraId="527AF54C" w14:textId="77777777">
        <w:trPr>
          <w:trHeight w:val="685"/>
        </w:trPr>
        <w:tc>
          <w:tcPr>
            <w:tcW w:w="3795" w:type="dxa"/>
          </w:tcPr>
          <w:p w14:paraId="7483096D" w14:textId="77777777" w:rsidR="00665214" w:rsidRDefault="00000000">
            <w:pPr>
              <w:pStyle w:val="TableParagraph"/>
              <w:spacing w:line="224" w:lineRule="exact"/>
              <w:rPr>
                <w:sz w:val="20"/>
              </w:rPr>
            </w:pPr>
            <w:r>
              <w:rPr>
                <w:sz w:val="20"/>
              </w:rPr>
              <w:t>Notices to Supplier shall go to (name,</w:t>
            </w:r>
          </w:p>
          <w:p w14:paraId="620D85BE" w14:textId="77777777" w:rsidR="00665214" w:rsidRDefault="00000000">
            <w:pPr>
              <w:pStyle w:val="TableParagraph"/>
              <w:spacing w:before="113"/>
              <w:rPr>
                <w:sz w:val="20"/>
              </w:rPr>
            </w:pPr>
            <w:r>
              <w:rPr>
                <w:sz w:val="20"/>
              </w:rPr>
              <w:t>address, e-mail):</w:t>
            </w:r>
          </w:p>
        </w:tc>
        <w:tc>
          <w:tcPr>
            <w:tcW w:w="5768" w:type="dxa"/>
          </w:tcPr>
          <w:p w14:paraId="3BD0C0A3" w14:textId="77777777" w:rsidR="00665214" w:rsidRDefault="00665214">
            <w:pPr>
              <w:pStyle w:val="TableParagraph"/>
              <w:ind w:left="0"/>
              <w:rPr>
                <w:rFonts w:ascii="Times New Roman"/>
                <w:sz w:val="20"/>
              </w:rPr>
            </w:pPr>
          </w:p>
        </w:tc>
      </w:tr>
      <w:tr w:rsidR="00665214" w14:paraId="7AFB0ED1" w14:textId="77777777">
        <w:trPr>
          <w:trHeight w:val="357"/>
        </w:trPr>
        <w:tc>
          <w:tcPr>
            <w:tcW w:w="3795" w:type="dxa"/>
          </w:tcPr>
          <w:p w14:paraId="52213468" w14:textId="77777777" w:rsidR="00665214" w:rsidRDefault="00000000">
            <w:pPr>
              <w:pStyle w:val="TableParagraph"/>
              <w:spacing w:line="229" w:lineRule="exact"/>
              <w:rPr>
                <w:b/>
                <w:sz w:val="20"/>
              </w:rPr>
            </w:pPr>
            <w:r>
              <w:rPr>
                <w:b/>
                <w:sz w:val="20"/>
              </w:rPr>
              <w:t>C. Invoice Information</w:t>
            </w:r>
          </w:p>
        </w:tc>
        <w:tc>
          <w:tcPr>
            <w:tcW w:w="5768" w:type="dxa"/>
          </w:tcPr>
          <w:p w14:paraId="5EE464C7" w14:textId="77777777" w:rsidR="00665214" w:rsidRDefault="00665214">
            <w:pPr>
              <w:pStyle w:val="TableParagraph"/>
              <w:ind w:left="0"/>
              <w:rPr>
                <w:rFonts w:ascii="Times New Roman"/>
                <w:sz w:val="20"/>
              </w:rPr>
            </w:pPr>
          </w:p>
        </w:tc>
      </w:tr>
      <w:tr w:rsidR="00665214" w14:paraId="0FA7F3C0" w14:textId="77777777">
        <w:trPr>
          <w:trHeight w:val="342"/>
        </w:trPr>
        <w:tc>
          <w:tcPr>
            <w:tcW w:w="3795" w:type="dxa"/>
          </w:tcPr>
          <w:p w14:paraId="0C7450AE" w14:textId="77777777" w:rsidR="00665214" w:rsidRDefault="00000000">
            <w:pPr>
              <w:pStyle w:val="TableParagraph"/>
              <w:spacing w:line="224" w:lineRule="exact"/>
              <w:rPr>
                <w:sz w:val="20"/>
              </w:rPr>
            </w:pPr>
            <w:r>
              <w:rPr>
                <w:sz w:val="20"/>
              </w:rPr>
              <w:t>Invoicing Name</w:t>
            </w:r>
          </w:p>
        </w:tc>
        <w:tc>
          <w:tcPr>
            <w:tcW w:w="5768" w:type="dxa"/>
          </w:tcPr>
          <w:p w14:paraId="6547D449" w14:textId="77777777" w:rsidR="00665214" w:rsidRDefault="00665214">
            <w:pPr>
              <w:pStyle w:val="TableParagraph"/>
              <w:ind w:left="0"/>
              <w:rPr>
                <w:rFonts w:ascii="Times New Roman"/>
                <w:sz w:val="20"/>
              </w:rPr>
            </w:pPr>
          </w:p>
        </w:tc>
      </w:tr>
      <w:tr w:rsidR="00665214" w14:paraId="11407895" w14:textId="77777777">
        <w:trPr>
          <w:trHeight w:val="342"/>
        </w:trPr>
        <w:tc>
          <w:tcPr>
            <w:tcW w:w="3795" w:type="dxa"/>
          </w:tcPr>
          <w:p w14:paraId="393ED090" w14:textId="77777777" w:rsidR="00665214" w:rsidRDefault="00000000">
            <w:pPr>
              <w:pStyle w:val="TableParagraph"/>
              <w:spacing w:line="224" w:lineRule="exact"/>
              <w:rPr>
                <w:sz w:val="20"/>
              </w:rPr>
            </w:pPr>
            <w:r>
              <w:rPr>
                <w:sz w:val="20"/>
              </w:rPr>
              <w:t>Invoicing Address</w:t>
            </w:r>
          </w:p>
        </w:tc>
        <w:tc>
          <w:tcPr>
            <w:tcW w:w="5768" w:type="dxa"/>
          </w:tcPr>
          <w:p w14:paraId="39D3E68D" w14:textId="77777777" w:rsidR="00665214" w:rsidRDefault="00665214">
            <w:pPr>
              <w:pStyle w:val="TableParagraph"/>
              <w:ind w:left="0"/>
              <w:rPr>
                <w:rFonts w:ascii="Times New Roman"/>
                <w:sz w:val="20"/>
              </w:rPr>
            </w:pPr>
          </w:p>
        </w:tc>
      </w:tr>
      <w:tr w:rsidR="00665214" w14:paraId="7A1F7C60" w14:textId="77777777">
        <w:trPr>
          <w:trHeight w:val="357"/>
        </w:trPr>
        <w:tc>
          <w:tcPr>
            <w:tcW w:w="3795" w:type="dxa"/>
          </w:tcPr>
          <w:p w14:paraId="715E98EF" w14:textId="77777777" w:rsidR="00665214" w:rsidRDefault="00000000">
            <w:pPr>
              <w:pStyle w:val="TableParagraph"/>
              <w:spacing w:line="229" w:lineRule="exact"/>
              <w:rPr>
                <w:b/>
                <w:sz w:val="20"/>
              </w:rPr>
            </w:pPr>
            <w:r>
              <w:rPr>
                <w:b/>
                <w:sz w:val="20"/>
              </w:rPr>
              <w:t>D. Billing/Banking Information</w:t>
            </w:r>
          </w:p>
        </w:tc>
        <w:tc>
          <w:tcPr>
            <w:tcW w:w="5768" w:type="dxa"/>
          </w:tcPr>
          <w:p w14:paraId="551DFA7D" w14:textId="77777777" w:rsidR="00665214" w:rsidRDefault="00665214">
            <w:pPr>
              <w:pStyle w:val="TableParagraph"/>
              <w:ind w:left="0"/>
              <w:rPr>
                <w:rFonts w:ascii="Times New Roman"/>
                <w:sz w:val="20"/>
              </w:rPr>
            </w:pPr>
          </w:p>
        </w:tc>
      </w:tr>
      <w:tr w:rsidR="00665214" w14:paraId="7D449907" w14:textId="77777777">
        <w:trPr>
          <w:trHeight w:val="345"/>
        </w:trPr>
        <w:tc>
          <w:tcPr>
            <w:tcW w:w="3795" w:type="dxa"/>
          </w:tcPr>
          <w:p w14:paraId="24F36F74" w14:textId="77777777" w:rsidR="00665214" w:rsidRDefault="00000000">
            <w:pPr>
              <w:pStyle w:val="TableParagraph"/>
              <w:spacing w:line="224" w:lineRule="exact"/>
              <w:rPr>
                <w:sz w:val="20"/>
              </w:rPr>
            </w:pPr>
            <w:r>
              <w:rPr>
                <w:sz w:val="20"/>
              </w:rPr>
              <w:t>Name of receiving bank:</w:t>
            </w:r>
          </w:p>
        </w:tc>
        <w:tc>
          <w:tcPr>
            <w:tcW w:w="5768" w:type="dxa"/>
          </w:tcPr>
          <w:p w14:paraId="2A07834B" w14:textId="77777777" w:rsidR="00665214" w:rsidRDefault="00665214">
            <w:pPr>
              <w:pStyle w:val="TableParagraph"/>
              <w:ind w:left="0"/>
              <w:rPr>
                <w:rFonts w:ascii="Times New Roman"/>
                <w:sz w:val="20"/>
              </w:rPr>
            </w:pPr>
          </w:p>
        </w:tc>
      </w:tr>
    </w:tbl>
    <w:p w14:paraId="4BAF9801" w14:textId="77777777" w:rsidR="00665214" w:rsidRDefault="00665214">
      <w:pPr>
        <w:rPr>
          <w:rFonts w:ascii="Times New Roman"/>
          <w:sz w:val="20"/>
        </w:rPr>
        <w:sectPr w:rsidR="00665214">
          <w:pgSz w:w="12240" w:h="15840"/>
          <w:pgMar w:top="1500" w:right="1220" w:bottom="1160" w:left="1200" w:header="0" w:footer="966" w:gutter="0"/>
          <w:cols w:space="72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5"/>
        <w:gridCol w:w="5768"/>
      </w:tblGrid>
      <w:tr w:rsidR="00665214" w14:paraId="0CEB4BDD" w14:textId="77777777">
        <w:trPr>
          <w:trHeight w:val="342"/>
        </w:trPr>
        <w:tc>
          <w:tcPr>
            <w:tcW w:w="3795" w:type="dxa"/>
          </w:tcPr>
          <w:p w14:paraId="2A673EF3" w14:textId="77777777" w:rsidR="00665214" w:rsidRDefault="00000000">
            <w:pPr>
              <w:pStyle w:val="TableParagraph"/>
              <w:spacing w:line="225" w:lineRule="exact"/>
              <w:rPr>
                <w:sz w:val="20"/>
              </w:rPr>
            </w:pPr>
            <w:r>
              <w:rPr>
                <w:sz w:val="20"/>
              </w:rPr>
              <w:lastRenderedPageBreak/>
              <w:t>Address of bank:</w:t>
            </w:r>
          </w:p>
        </w:tc>
        <w:tc>
          <w:tcPr>
            <w:tcW w:w="5768" w:type="dxa"/>
          </w:tcPr>
          <w:p w14:paraId="55E6A8EC" w14:textId="77777777" w:rsidR="00665214" w:rsidRDefault="00665214">
            <w:pPr>
              <w:pStyle w:val="TableParagraph"/>
              <w:ind w:left="0"/>
              <w:rPr>
                <w:rFonts w:ascii="Times New Roman"/>
                <w:sz w:val="20"/>
              </w:rPr>
            </w:pPr>
          </w:p>
        </w:tc>
      </w:tr>
      <w:tr w:rsidR="00665214" w14:paraId="15E1533A" w14:textId="77777777">
        <w:trPr>
          <w:trHeight w:val="685"/>
        </w:trPr>
        <w:tc>
          <w:tcPr>
            <w:tcW w:w="3795" w:type="dxa"/>
          </w:tcPr>
          <w:p w14:paraId="39CA26DE" w14:textId="77777777" w:rsidR="00665214" w:rsidRDefault="00000000">
            <w:pPr>
              <w:pStyle w:val="TableParagraph"/>
              <w:spacing w:line="224" w:lineRule="exact"/>
              <w:rPr>
                <w:sz w:val="20"/>
              </w:rPr>
            </w:pPr>
            <w:r>
              <w:rPr>
                <w:sz w:val="20"/>
              </w:rPr>
              <w:t>Routing and Transit number (ABA</w:t>
            </w:r>
          </w:p>
          <w:p w14:paraId="1B41D45D" w14:textId="77777777" w:rsidR="00665214" w:rsidRDefault="00000000">
            <w:pPr>
              <w:pStyle w:val="TableParagraph"/>
              <w:spacing w:before="111"/>
              <w:rPr>
                <w:sz w:val="20"/>
              </w:rPr>
            </w:pPr>
            <w:r>
              <w:rPr>
                <w:sz w:val="20"/>
              </w:rPr>
              <w:t>number:</w:t>
            </w:r>
          </w:p>
        </w:tc>
        <w:tc>
          <w:tcPr>
            <w:tcW w:w="5768" w:type="dxa"/>
          </w:tcPr>
          <w:p w14:paraId="477CB2BA" w14:textId="77777777" w:rsidR="00665214" w:rsidRDefault="00665214">
            <w:pPr>
              <w:pStyle w:val="TableParagraph"/>
              <w:ind w:left="0"/>
              <w:rPr>
                <w:rFonts w:ascii="Times New Roman"/>
                <w:sz w:val="20"/>
              </w:rPr>
            </w:pPr>
          </w:p>
        </w:tc>
      </w:tr>
      <w:tr w:rsidR="00665214" w14:paraId="6C6588DA" w14:textId="77777777">
        <w:trPr>
          <w:trHeight w:val="342"/>
        </w:trPr>
        <w:tc>
          <w:tcPr>
            <w:tcW w:w="3795" w:type="dxa"/>
          </w:tcPr>
          <w:p w14:paraId="0042A0C1" w14:textId="77777777" w:rsidR="00665214" w:rsidRDefault="00000000">
            <w:pPr>
              <w:pStyle w:val="TableParagraph"/>
              <w:spacing w:line="224" w:lineRule="exact"/>
              <w:rPr>
                <w:sz w:val="20"/>
              </w:rPr>
            </w:pPr>
            <w:r>
              <w:rPr>
                <w:sz w:val="20"/>
              </w:rPr>
              <w:t>Bank Account Number:</w:t>
            </w:r>
          </w:p>
        </w:tc>
        <w:tc>
          <w:tcPr>
            <w:tcW w:w="5768" w:type="dxa"/>
          </w:tcPr>
          <w:p w14:paraId="171DC6EF" w14:textId="77777777" w:rsidR="00665214" w:rsidRDefault="00665214">
            <w:pPr>
              <w:pStyle w:val="TableParagraph"/>
              <w:ind w:left="0"/>
              <w:rPr>
                <w:rFonts w:ascii="Times New Roman"/>
                <w:sz w:val="20"/>
              </w:rPr>
            </w:pPr>
          </w:p>
        </w:tc>
      </w:tr>
      <w:tr w:rsidR="00665214" w14:paraId="00E474A5" w14:textId="77777777">
        <w:trPr>
          <w:trHeight w:val="342"/>
        </w:trPr>
        <w:tc>
          <w:tcPr>
            <w:tcW w:w="3795" w:type="dxa"/>
          </w:tcPr>
          <w:p w14:paraId="0E400D17" w14:textId="77777777" w:rsidR="00665214" w:rsidRDefault="00000000">
            <w:pPr>
              <w:pStyle w:val="TableParagraph"/>
              <w:spacing w:line="224" w:lineRule="exact"/>
              <w:rPr>
                <w:sz w:val="20"/>
              </w:rPr>
            </w:pPr>
            <w:r>
              <w:rPr>
                <w:sz w:val="20"/>
              </w:rPr>
              <w:t>Checking or Savings account:</w:t>
            </w:r>
          </w:p>
        </w:tc>
        <w:tc>
          <w:tcPr>
            <w:tcW w:w="5768" w:type="dxa"/>
          </w:tcPr>
          <w:p w14:paraId="4A42D4A4" w14:textId="77777777" w:rsidR="00665214" w:rsidRDefault="00665214">
            <w:pPr>
              <w:pStyle w:val="TableParagraph"/>
              <w:ind w:left="0"/>
              <w:rPr>
                <w:rFonts w:ascii="Times New Roman"/>
                <w:sz w:val="20"/>
              </w:rPr>
            </w:pPr>
          </w:p>
        </w:tc>
      </w:tr>
      <w:tr w:rsidR="00665214" w14:paraId="60418EDF" w14:textId="77777777">
        <w:trPr>
          <w:trHeight w:val="357"/>
        </w:trPr>
        <w:tc>
          <w:tcPr>
            <w:tcW w:w="3795" w:type="dxa"/>
          </w:tcPr>
          <w:p w14:paraId="575B81FB" w14:textId="77777777" w:rsidR="00665214" w:rsidRDefault="00000000">
            <w:pPr>
              <w:pStyle w:val="TableParagraph"/>
              <w:spacing w:line="229" w:lineRule="exact"/>
              <w:rPr>
                <w:b/>
                <w:sz w:val="20"/>
              </w:rPr>
            </w:pPr>
            <w:r>
              <w:rPr>
                <w:b/>
                <w:sz w:val="20"/>
              </w:rPr>
              <w:t>E. Value Added Network (VAN)</w:t>
            </w:r>
          </w:p>
        </w:tc>
        <w:tc>
          <w:tcPr>
            <w:tcW w:w="5768" w:type="dxa"/>
          </w:tcPr>
          <w:p w14:paraId="6C96622F" w14:textId="77777777" w:rsidR="00665214" w:rsidRDefault="00665214">
            <w:pPr>
              <w:pStyle w:val="TableParagraph"/>
              <w:ind w:left="0"/>
              <w:rPr>
                <w:rFonts w:ascii="Times New Roman"/>
                <w:sz w:val="20"/>
              </w:rPr>
            </w:pPr>
          </w:p>
        </w:tc>
      </w:tr>
      <w:tr w:rsidR="00665214" w14:paraId="33F8415C" w14:textId="77777777">
        <w:trPr>
          <w:trHeight w:val="342"/>
        </w:trPr>
        <w:tc>
          <w:tcPr>
            <w:tcW w:w="3795" w:type="dxa"/>
          </w:tcPr>
          <w:p w14:paraId="4E12ED22" w14:textId="77777777" w:rsidR="00665214" w:rsidRDefault="00000000">
            <w:pPr>
              <w:pStyle w:val="TableParagraph"/>
              <w:spacing w:line="224" w:lineRule="exact"/>
              <w:rPr>
                <w:sz w:val="20"/>
              </w:rPr>
            </w:pPr>
            <w:r>
              <w:rPr>
                <w:sz w:val="20"/>
              </w:rPr>
              <w:t>Name of VAN provider:</w:t>
            </w:r>
          </w:p>
        </w:tc>
        <w:tc>
          <w:tcPr>
            <w:tcW w:w="5768" w:type="dxa"/>
          </w:tcPr>
          <w:p w14:paraId="47200F50" w14:textId="77777777" w:rsidR="00665214" w:rsidRDefault="00665214">
            <w:pPr>
              <w:pStyle w:val="TableParagraph"/>
              <w:ind w:left="0"/>
              <w:rPr>
                <w:rFonts w:ascii="Times New Roman"/>
                <w:sz w:val="20"/>
              </w:rPr>
            </w:pPr>
          </w:p>
        </w:tc>
      </w:tr>
      <w:tr w:rsidR="00665214" w14:paraId="192C6E00" w14:textId="77777777">
        <w:trPr>
          <w:trHeight w:val="342"/>
        </w:trPr>
        <w:tc>
          <w:tcPr>
            <w:tcW w:w="3795" w:type="dxa"/>
          </w:tcPr>
          <w:p w14:paraId="55F04355" w14:textId="77777777" w:rsidR="00665214" w:rsidRDefault="00000000">
            <w:pPr>
              <w:pStyle w:val="TableParagraph"/>
              <w:spacing w:line="227" w:lineRule="exact"/>
              <w:rPr>
                <w:sz w:val="20"/>
              </w:rPr>
            </w:pPr>
            <w:r>
              <w:rPr>
                <w:sz w:val="20"/>
              </w:rPr>
              <w:t>ISA Qualifier:</w:t>
            </w:r>
          </w:p>
        </w:tc>
        <w:tc>
          <w:tcPr>
            <w:tcW w:w="5768" w:type="dxa"/>
          </w:tcPr>
          <w:p w14:paraId="7D53F6B5" w14:textId="77777777" w:rsidR="00665214" w:rsidRDefault="00665214">
            <w:pPr>
              <w:pStyle w:val="TableParagraph"/>
              <w:ind w:left="0"/>
              <w:rPr>
                <w:rFonts w:ascii="Times New Roman"/>
                <w:sz w:val="20"/>
              </w:rPr>
            </w:pPr>
          </w:p>
        </w:tc>
      </w:tr>
      <w:tr w:rsidR="00665214" w14:paraId="017031FB" w14:textId="77777777">
        <w:trPr>
          <w:trHeight w:val="345"/>
        </w:trPr>
        <w:tc>
          <w:tcPr>
            <w:tcW w:w="3795" w:type="dxa"/>
          </w:tcPr>
          <w:p w14:paraId="5884AD5F" w14:textId="77777777" w:rsidR="00665214" w:rsidRDefault="00000000">
            <w:pPr>
              <w:pStyle w:val="TableParagraph"/>
              <w:spacing w:line="227" w:lineRule="exact"/>
              <w:rPr>
                <w:sz w:val="20"/>
              </w:rPr>
            </w:pPr>
            <w:r>
              <w:rPr>
                <w:sz w:val="20"/>
              </w:rPr>
              <w:t>ISA ID:</w:t>
            </w:r>
          </w:p>
        </w:tc>
        <w:tc>
          <w:tcPr>
            <w:tcW w:w="5768" w:type="dxa"/>
          </w:tcPr>
          <w:p w14:paraId="74FBF844" w14:textId="77777777" w:rsidR="00665214" w:rsidRDefault="00665214">
            <w:pPr>
              <w:pStyle w:val="TableParagraph"/>
              <w:ind w:left="0"/>
              <w:rPr>
                <w:rFonts w:ascii="Times New Roman"/>
                <w:sz w:val="20"/>
              </w:rPr>
            </w:pPr>
          </w:p>
        </w:tc>
      </w:tr>
    </w:tbl>
    <w:p w14:paraId="483A259A" w14:textId="77777777" w:rsidR="00665214" w:rsidRDefault="00665214">
      <w:pPr>
        <w:rPr>
          <w:rFonts w:ascii="Times New Roman"/>
          <w:sz w:val="20"/>
        </w:rPr>
        <w:sectPr w:rsidR="00665214">
          <w:footerReference w:type="default" r:id="rId11"/>
          <w:pgSz w:w="12240" w:h="15840"/>
          <w:pgMar w:top="1440" w:right="1220" w:bottom="880" w:left="1200" w:header="0" w:footer="687" w:gutter="0"/>
          <w:cols w:space="720"/>
        </w:sectPr>
      </w:pPr>
    </w:p>
    <w:p w14:paraId="79C1605B" w14:textId="77777777" w:rsidR="00665214" w:rsidRDefault="00000000">
      <w:pPr>
        <w:spacing w:before="63" w:line="372" w:lineRule="auto"/>
        <w:ind w:left="3512" w:right="3302" w:firstLine="825"/>
        <w:rPr>
          <w:b/>
          <w:sz w:val="24"/>
        </w:rPr>
      </w:pPr>
      <w:r>
        <w:rPr>
          <w:b/>
          <w:sz w:val="24"/>
        </w:rPr>
        <w:lastRenderedPageBreak/>
        <w:t>EXHIBIT C NEPOOL INFORMATION</w:t>
      </w:r>
    </w:p>
    <w:p w14:paraId="0A9A7F71" w14:textId="77777777" w:rsidR="00665214" w:rsidRDefault="00665214">
      <w:pPr>
        <w:pStyle w:val="BodyText"/>
        <w:spacing w:before="3"/>
        <w:rPr>
          <w:b/>
          <w:sz w:val="23"/>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5"/>
        <w:gridCol w:w="5768"/>
      </w:tblGrid>
      <w:tr w:rsidR="00665214" w14:paraId="6DC32991" w14:textId="77777777">
        <w:trPr>
          <w:trHeight w:val="424"/>
        </w:trPr>
        <w:tc>
          <w:tcPr>
            <w:tcW w:w="3795" w:type="dxa"/>
          </w:tcPr>
          <w:p w14:paraId="6417D99B" w14:textId="77777777" w:rsidR="00665214" w:rsidRDefault="00000000">
            <w:pPr>
              <w:pStyle w:val="TableParagraph"/>
              <w:rPr>
                <w:b/>
                <w:sz w:val="24"/>
              </w:rPr>
            </w:pPr>
            <w:r>
              <w:rPr>
                <w:b/>
                <w:sz w:val="24"/>
              </w:rPr>
              <w:t>ISO-NE Load Asset Information</w:t>
            </w:r>
          </w:p>
        </w:tc>
        <w:tc>
          <w:tcPr>
            <w:tcW w:w="5768" w:type="dxa"/>
          </w:tcPr>
          <w:p w14:paraId="0203FB0F" w14:textId="77777777" w:rsidR="00665214" w:rsidRDefault="00665214">
            <w:pPr>
              <w:pStyle w:val="TableParagraph"/>
              <w:ind w:left="0"/>
              <w:rPr>
                <w:rFonts w:ascii="Times New Roman"/>
                <w:sz w:val="20"/>
              </w:rPr>
            </w:pPr>
          </w:p>
        </w:tc>
      </w:tr>
      <w:tr w:rsidR="00665214" w14:paraId="53B25A27" w14:textId="77777777">
        <w:trPr>
          <w:trHeight w:val="342"/>
        </w:trPr>
        <w:tc>
          <w:tcPr>
            <w:tcW w:w="3795" w:type="dxa"/>
          </w:tcPr>
          <w:p w14:paraId="731E8594" w14:textId="77777777" w:rsidR="00665214" w:rsidRDefault="00000000">
            <w:pPr>
              <w:pStyle w:val="TableParagraph"/>
              <w:tabs>
                <w:tab w:val="left" w:pos="2215"/>
                <w:tab w:val="left" w:pos="2796"/>
              </w:tabs>
              <w:spacing w:line="224" w:lineRule="exact"/>
              <w:rPr>
                <w:sz w:val="20"/>
              </w:rPr>
            </w:pPr>
            <w:r>
              <w:rPr>
                <w:sz w:val="20"/>
              </w:rPr>
              <w:t>Pool</w:t>
            </w:r>
            <w:r>
              <w:rPr>
                <w:spacing w:val="-7"/>
                <w:sz w:val="20"/>
              </w:rPr>
              <w:t xml:space="preserve"> </w:t>
            </w:r>
            <w:r>
              <w:rPr>
                <w:sz w:val="20"/>
              </w:rPr>
              <w:t xml:space="preserve">Participant: </w:t>
            </w:r>
            <w:r>
              <w:rPr>
                <w:spacing w:val="40"/>
                <w:sz w:val="20"/>
              </w:rPr>
              <w:t xml:space="preserve"> </w:t>
            </w:r>
            <w:r>
              <w:rPr>
                <w:spacing w:val="-5"/>
                <w:sz w:val="20"/>
              </w:rPr>
              <w:t>Y</w:t>
            </w:r>
            <w:r>
              <w:rPr>
                <w:spacing w:val="-5"/>
                <w:sz w:val="20"/>
                <w:u w:val="single"/>
              </w:rPr>
              <w:t xml:space="preserve"> </w:t>
            </w:r>
            <w:r>
              <w:rPr>
                <w:spacing w:val="-5"/>
                <w:sz w:val="20"/>
                <w:u w:val="single"/>
              </w:rPr>
              <w:tab/>
            </w:r>
            <w:r>
              <w:rPr>
                <w:sz w:val="20"/>
              </w:rPr>
              <w:t>N</w:t>
            </w:r>
            <w:r>
              <w:rPr>
                <w:w w:val="96"/>
                <w:sz w:val="20"/>
                <w:u w:val="single"/>
              </w:rPr>
              <w:t xml:space="preserve"> </w:t>
            </w:r>
            <w:r>
              <w:rPr>
                <w:sz w:val="20"/>
                <w:u w:val="single"/>
              </w:rPr>
              <w:tab/>
            </w:r>
          </w:p>
        </w:tc>
        <w:tc>
          <w:tcPr>
            <w:tcW w:w="5768" w:type="dxa"/>
          </w:tcPr>
          <w:p w14:paraId="74F770E1" w14:textId="77777777" w:rsidR="00665214" w:rsidRDefault="00665214">
            <w:pPr>
              <w:pStyle w:val="TableParagraph"/>
              <w:ind w:left="0"/>
              <w:rPr>
                <w:rFonts w:ascii="Times New Roman"/>
                <w:sz w:val="20"/>
              </w:rPr>
            </w:pPr>
          </w:p>
        </w:tc>
      </w:tr>
      <w:tr w:rsidR="00665214" w14:paraId="0B246581" w14:textId="77777777">
        <w:trPr>
          <w:trHeight w:val="685"/>
        </w:trPr>
        <w:tc>
          <w:tcPr>
            <w:tcW w:w="3795" w:type="dxa"/>
          </w:tcPr>
          <w:p w14:paraId="7C397217" w14:textId="77777777" w:rsidR="00665214" w:rsidRDefault="00000000">
            <w:pPr>
              <w:pStyle w:val="TableParagraph"/>
              <w:spacing w:line="224" w:lineRule="exact"/>
              <w:rPr>
                <w:sz w:val="20"/>
              </w:rPr>
            </w:pPr>
            <w:r>
              <w:rPr>
                <w:sz w:val="20"/>
              </w:rPr>
              <w:t>If no, provide the name of Pool</w:t>
            </w:r>
          </w:p>
          <w:p w14:paraId="42DADA16" w14:textId="77777777" w:rsidR="00665214" w:rsidRDefault="00000000">
            <w:pPr>
              <w:pStyle w:val="TableParagraph"/>
              <w:spacing w:before="111"/>
              <w:rPr>
                <w:sz w:val="20"/>
              </w:rPr>
            </w:pPr>
            <w:r>
              <w:rPr>
                <w:sz w:val="20"/>
              </w:rPr>
              <w:t>Participant holding the load:</w:t>
            </w:r>
          </w:p>
        </w:tc>
        <w:tc>
          <w:tcPr>
            <w:tcW w:w="5768" w:type="dxa"/>
          </w:tcPr>
          <w:p w14:paraId="60ED5009" w14:textId="77777777" w:rsidR="00665214" w:rsidRDefault="00665214">
            <w:pPr>
              <w:pStyle w:val="TableParagraph"/>
              <w:ind w:left="0"/>
              <w:rPr>
                <w:rFonts w:ascii="Times New Roman"/>
                <w:sz w:val="20"/>
              </w:rPr>
            </w:pPr>
          </w:p>
        </w:tc>
      </w:tr>
      <w:tr w:rsidR="00665214" w14:paraId="6C383837" w14:textId="77777777">
        <w:trPr>
          <w:trHeight w:val="342"/>
        </w:trPr>
        <w:tc>
          <w:tcPr>
            <w:tcW w:w="3795" w:type="dxa"/>
          </w:tcPr>
          <w:p w14:paraId="0E56BF7D" w14:textId="77777777" w:rsidR="00665214" w:rsidRDefault="00000000">
            <w:pPr>
              <w:pStyle w:val="TableParagraph"/>
              <w:spacing w:line="224" w:lineRule="exact"/>
              <w:rPr>
                <w:sz w:val="20"/>
              </w:rPr>
            </w:pPr>
            <w:r>
              <w:rPr>
                <w:sz w:val="20"/>
              </w:rPr>
              <w:t>Asset Number (if available):</w:t>
            </w:r>
          </w:p>
        </w:tc>
        <w:tc>
          <w:tcPr>
            <w:tcW w:w="5768" w:type="dxa"/>
          </w:tcPr>
          <w:p w14:paraId="30FCC5AD" w14:textId="77777777" w:rsidR="00665214" w:rsidRDefault="00665214">
            <w:pPr>
              <w:pStyle w:val="TableParagraph"/>
              <w:ind w:left="0"/>
              <w:rPr>
                <w:rFonts w:ascii="Times New Roman"/>
                <w:sz w:val="20"/>
              </w:rPr>
            </w:pPr>
          </w:p>
        </w:tc>
      </w:tr>
      <w:tr w:rsidR="00665214" w14:paraId="14AA9C9F" w14:textId="77777777">
        <w:trPr>
          <w:trHeight w:val="343"/>
        </w:trPr>
        <w:tc>
          <w:tcPr>
            <w:tcW w:w="3795" w:type="dxa"/>
          </w:tcPr>
          <w:p w14:paraId="43D182ED" w14:textId="77777777" w:rsidR="00665214" w:rsidRDefault="00000000">
            <w:pPr>
              <w:pStyle w:val="TableParagraph"/>
              <w:spacing w:line="225" w:lineRule="exact"/>
              <w:rPr>
                <w:sz w:val="20"/>
              </w:rPr>
            </w:pPr>
            <w:r>
              <w:rPr>
                <w:sz w:val="20"/>
              </w:rPr>
              <w:t>Asset Name (if available):</w:t>
            </w:r>
          </w:p>
        </w:tc>
        <w:tc>
          <w:tcPr>
            <w:tcW w:w="5768" w:type="dxa"/>
          </w:tcPr>
          <w:p w14:paraId="57989C22" w14:textId="77777777" w:rsidR="00665214" w:rsidRDefault="00665214">
            <w:pPr>
              <w:pStyle w:val="TableParagraph"/>
              <w:ind w:left="0"/>
              <w:rPr>
                <w:rFonts w:ascii="Times New Roman"/>
                <w:sz w:val="20"/>
              </w:rPr>
            </w:pPr>
          </w:p>
        </w:tc>
      </w:tr>
      <w:tr w:rsidR="00665214" w14:paraId="7239064C" w14:textId="77777777">
        <w:trPr>
          <w:trHeight w:val="342"/>
        </w:trPr>
        <w:tc>
          <w:tcPr>
            <w:tcW w:w="3795" w:type="dxa"/>
          </w:tcPr>
          <w:p w14:paraId="70473230" w14:textId="77777777" w:rsidR="00665214" w:rsidRDefault="00000000">
            <w:pPr>
              <w:pStyle w:val="TableParagraph"/>
              <w:spacing w:line="224" w:lineRule="exact"/>
              <w:rPr>
                <w:sz w:val="20"/>
              </w:rPr>
            </w:pPr>
            <w:r>
              <w:rPr>
                <w:sz w:val="20"/>
              </w:rPr>
              <w:t>Asset Registration Contact Name:</w:t>
            </w:r>
          </w:p>
        </w:tc>
        <w:tc>
          <w:tcPr>
            <w:tcW w:w="5768" w:type="dxa"/>
          </w:tcPr>
          <w:p w14:paraId="765D3EA4" w14:textId="77777777" w:rsidR="00665214" w:rsidRDefault="00665214">
            <w:pPr>
              <w:pStyle w:val="TableParagraph"/>
              <w:ind w:left="0"/>
              <w:rPr>
                <w:rFonts w:ascii="Times New Roman"/>
                <w:sz w:val="20"/>
              </w:rPr>
            </w:pPr>
          </w:p>
        </w:tc>
      </w:tr>
      <w:tr w:rsidR="00665214" w14:paraId="620ED18C" w14:textId="77777777">
        <w:trPr>
          <w:trHeight w:val="345"/>
        </w:trPr>
        <w:tc>
          <w:tcPr>
            <w:tcW w:w="3795" w:type="dxa"/>
          </w:tcPr>
          <w:p w14:paraId="10B38108" w14:textId="77777777" w:rsidR="00665214" w:rsidRDefault="00000000">
            <w:pPr>
              <w:pStyle w:val="TableParagraph"/>
              <w:spacing w:line="224" w:lineRule="exact"/>
              <w:rPr>
                <w:sz w:val="20"/>
              </w:rPr>
            </w:pPr>
            <w:r>
              <w:rPr>
                <w:sz w:val="20"/>
              </w:rPr>
              <w:t>Asset Registration Contact Phone:</w:t>
            </w:r>
          </w:p>
        </w:tc>
        <w:tc>
          <w:tcPr>
            <w:tcW w:w="5768" w:type="dxa"/>
          </w:tcPr>
          <w:p w14:paraId="5169C747" w14:textId="77777777" w:rsidR="00665214" w:rsidRDefault="00665214">
            <w:pPr>
              <w:pStyle w:val="TableParagraph"/>
              <w:ind w:left="0"/>
              <w:rPr>
                <w:rFonts w:ascii="Times New Roman"/>
                <w:sz w:val="20"/>
              </w:rPr>
            </w:pPr>
          </w:p>
        </w:tc>
      </w:tr>
      <w:tr w:rsidR="00665214" w14:paraId="4B34FEE5" w14:textId="77777777">
        <w:trPr>
          <w:trHeight w:val="342"/>
        </w:trPr>
        <w:tc>
          <w:tcPr>
            <w:tcW w:w="3795" w:type="dxa"/>
          </w:tcPr>
          <w:p w14:paraId="6D89D122" w14:textId="77777777" w:rsidR="00665214" w:rsidRDefault="00000000">
            <w:pPr>
              <w:pStyle w:val="TableParagraph"/>
              <w:spacing w:line="224" w:lineRule="exact"/>
              <w:rPr>
                <w:sz w:val="20"/>
              </w:rPr>
            </w:pPr>
            <w:r>
              <w:rPr>
                <w:sz w:val="20"/>
              </w:rPr>
              <w:t>Asset Registration Contact Fax:</w:t>
            </w:r>
          </w:p>
        </w:tc>
        <w:tc>
          <w:tcPr>
            <w:tcW w:w="5768" w:type="dxa"/>
          </w:tcPr>
          <w:p w14:paraId="5B28E70F" w14:textId="77777777" w:rsidR="00665214" w:rsidRDefault="00665214">
            <w:pPr>
              <w:pStyle w:val="TableParagraph"/>
              <w:ind w:left="0"/>
              <w:rPr>
                <w:rFonts w:ascii="Times New Roman"/>
                <w:sz w:val="20"/>
              </w:rPr>
            </w:pPr>
          </w:p>
        </w:tc>
      </w:tr>
      <w:tr w:rsidR="00665214" w14:paraId="4D179272" w14:textId="77777777">
        <w:trPr>
          <w:trHeight w:val="342"/>
        </w:trPr>
        <w:tc>
          <w:tcPr>
            <w:tcW w:w="3795" w:type="dxa"/>
          </w:tcPr>
          <w:p w14:paraId="4B2365DE" w14:textId="77777777" w:rsidR="00665214" w:rsidRDefault="00000000">
            <w:pPr>
              <w:pStyle w:val="TableParagraph"/>
              <w:spacing w:line="224" w:lineRule="exact"/>
              <w:rPr>
                <w:sz w:val="20"/>
              </w:rPr>
            </w:pPr>
            <w:r>
              <w:rPr>
                <w:sz w:val="20"/>
              </w:rPr>
              <w:t>Asset Registration Contact e-mail:</w:t>
            </w:r>
          </w:p>
        </w:tc>
        <w:tc>
          <w:tcPr>
            <w:tcW w:w="5768" w:type="dxa"/>
          </w:tcPr>
          <w:p w14:paraId="2807C4D9" w14:textId="77777777" w:rsidR="00665214" w:rsidRDefault="00665214">
            <w:pPr>
              <w:pStyle w:val="TableParagraph"/>
              <w:ind w:left="0"/>
              <w:rPr>
                <w:rFonts w:ascii="Times New Roman"/>
                <w:sz w:val="20"/>
              </w:rPr>
            </w:pPr>
          </w:p>
        </w:tc>
      </w:tr>
      <w:tr w:rsidR="00665214" w14:paraId="4433BB03" w14:textId="77777777">
        <w:trPr>
          <w:trHeight w:val="685"/>
        </w:trPr>
        <w:tc>
          <w:tcPr>
            <w:tcW w:w="3795" w:type="dxa"/>
          </w:tcPr>
          <w:p w14:paraId="1C5A028C" w14:textId="77777777" w:rsidR="00665214" w:rsidRDefault="00000000">
            <w:pPr>
              <w:pStyle w:val="TableParagraph"/>
              <w:spacing w:line="224" w:lineRule="exact"/>
              <w:rPr>
                <w:sz w:val="20"/>
              </w:rPr>
            </w:pPr>
            <w:r>
              <w:rPr>
                <w:sz w:val="20"/>
              </w:rPr>
              <w:t>Estimated load transfer:</w:t>
            </w:r>
          </w:p>
          <w:p w14:paraId="44207440" w14:textId="77777777" w:rsidR="00665214" w:rsidRDefault="00000000">
            <w:pPr>
              <w:pStyle w:val="TableParagraph"/>
              <w:spacing w:before="111"/>
              <w:rPr>
                <w:sz w:val="20"/>
              </w:rPr>
            </w:pPr>
            <w:r>
              <w:rPr>
                <w:sz w:val="20"/>
              </w:rPr>
              <w:t>(kW demand)</w:t>
            </w:r>
          </w:p>
        </w:tc>
        <w:tc>
          <w:tcPr>
            <w:tcW w:w="5768" w:type="dxa"/>
          </w:tcPr>
          <w:p w14:paraId="2C18885A" w14:textId="77777777" w:rsidR="00665214" w:rsidRDefault="00665214">
            <w:pPr>
              <w:pStyle w:val="TableParagraph"/>
              <w:ind w:left="0"/>
              <w:rPr>
                <w:rFonts w:ascii="Times New Roman"/>
                <w:sz w:val="20"/>
              </w:rPr>
            </w:pPr>
          </w:p>
        </w:tc>
      </w:tr>
      <w:tr w:rsidR="00665214" w14:paraId="56547134" w14:textId="77777777">
        <w:trPr>
          <w:trHeight w:val="1029"/>
        </w:trPr>
        <w:tc>
          <w:tcPr>
            <w:tcW w:w="3795" w:type="dxa"/>
          </w:tcPr>
          <w:p w14:paraId="0F9A4586" w14:textId="77777777" w:rsidR="00665214" w:rsidRDefault="00000000">
            <w:pPr>
              <w:pStyle w:val="TableParagraph"/>
              <w:spacing w:line="355" w:lineRule="auto"/>
              <w:rPr>
                <w:sz w:val="20"/>
              </w:rPr>
            </w:pPr>
            <w:r>
              <w:rPr>
                <w:sz w:val="20"/>
              </w:rPr>
              <w:t>Effective date for reporting of loads against this asset:</w:t>
            </w:r>
          </w:p>
          <w:p w14:paraId="2C69DA95" w14:textId="77777777" w:rsidR="00665214" w:rsidRDefault="00000000">
            <w:pPr>
              <w:pStyle w:val="TableParagraph"/>
              <w:rPr>
                <w:sz w:val="20"/>
              </w:rPr>
            </w:pPr>
            <w:r>
              <w:rPr>
                <w:sz w:val="20"/>
              </w:rPr>
              <w:t>(mm/dd/</w:t>
            </w:r>
            <w:proofErr w:type="spellStart"/>
            <w:r>
              <w:rPr>
                <w:sz w:val="20"/>
              </w:rPr>
              <w:t>yyyy</w:t>
            </w:r>
            <w:proofErr w:type="spellEnd"/>
            <w:r>
              <w:rPr>
                <w:sz w:val="20"/>
              </w:rPr>
              <w:t>)</w:t>
            </w:r>
          </w:p>
        </w:tc>
        <w:tc>
          <w:tcPr>
            <w:tcW w:w="5768" w:type="dxa"/>
          </w:tcPr>
          <w:p w14:paraId="73F342BE" w14:textId="77777777" w:rsidR="00665214" w:rsidRDefault="00665214">
            <w:pPr>
              <w:pStyle w:val="TableParagraph"/>
              <w:ind w:left="0"/>
              <w:rPr>
                <w:rFonts w:ascii="Times New Roman"/>
                <w:sz w:val="20"/>
              </w:rPr>
            </w:pPr>
          </w:p>
        </w:tc>
      </w:tr>
      <w:tr w:rsidR="00665214" w14:paraId="56EC0BB3" w14:textId="77777777">
        <w:trPr>
          <w:trHeight w:val="1029"/>
        </w:trPr>
        <w:tc>
          <w:tcPr>
            <w:tcW w:w="3795" w:type="dxa"/>
          </w:tcPr>
          <w:p w14:paraId="0087AD3D" w14:textId="77777777" w:rsidR="00665214" w:rsidRDefault="00000000">
            <w:pPr>
              <w:pStyle w:val="TableParagraph"/>
              <w:spacing w:line="355" w:lineRule="auto"/>
              <w:ind w:right="89"/>
              <w:rPr>
                <w:sz w:val="20"/>
              </w:rPr>
            </w:pPr>
            <w:r>
              <w:rPr>
                <w:sz w:val="20"/>
              </w:rPr>
              <w:t>Ending date for reporting of loads against this asset (if available):</w:t>
            </w:r>
          </w:p>
          <w:p w14:paraId="700DAC5D" w14:textId="77777777" w:rsidR="00665214" w:rsidRDefault="00000000">
            <w:pPr>
              <w:pStyle w:val="TableParagraph"/>
              <w:rPr>
                <w:sz w:val="20"/>
              </w:rPr>
            </w:pPr>
            <w:r>
              <w:rPr>
                <w:sz w:val="20"/>
              </w:rPr>
              <w:t>(mm/dd/</w:t>
            </w:r>
            <w:proofErr w:type="spellStart"/>
            <w:r>
              <w:rPr>
                <w:sz w:val="20"/>
              </w:rPr>
              <w:t>yyyy</w:t>
            </w:r>
            <w:proofErr w:type="spellEnd"/>
            <w:r>
              <w:rPr>
                <w:sz w:val="20"/>
              </w:rPr>
              <w:t>)</w:t>
            </w:r>
          </w:p>
        </w:tc>
        <w:tc>
          <w:tcPr>
            <w:tcW w:w="5768" w:type="dxa"/>
          </w:tcPr>
          <w:p w14:paraId="579A5642" w14:textId="77777777" w:rsidR="00665214" w:rsidRDefault="00665214">
            <w:pPr>
              <w:pStyle w:val="TableParagraph"/>
              <w:ind w:left="0"/>
              <w:rPr>
                <w:rFonts w:ascii="Times New Roman"/>
                <w:sz w:val="20"/>
              </w:rPr>
            </w:pPr>
          </w:p>
        </w:tc>
      </w:tr>
      <w:tr w:rsidR="00665214" w14:paraId="79F9D9AA" w14:textId="77777777">
        <w:trPr>
          <w:trHeight w:val="342"/>
        </w:trPr>
        <w:tc>
          <w:tcPr>
            <w:tcW w:w="3795" w:type="dxa"/>
          </w:tcPr>
          <w:p w14:paraId="3889B72E" w14:textId="77777777" w:rsidR="00665214" w:rsidRDefault="00000000">
            <w:pPr>
              <w:pStyle w:val="TableParagraph"/>
              <w:spacing w:line="224" w:lineRule="exact"/>
              <w:rPr>
                <w:sz w:val="20"/>
              </w:rPr>
            </w:pPr>
            <w:r>
              <w:rPr>
                <w:sz w:val="20"/>
              </w:rPr>
              <w:t>Hourly Loads Contact Name:</w:t>
            </w:r>
          </w:p>
        </w:tc>
        <w:tc>
          <w:tcPr>
            <w:tcW w:w="5768" w:type="dxa"/>
          </w:tcPr>
          <w:p w14:paraId="164541CC" w14:textId="77777777" w:rsidR="00665214" w:rsidRDefault="00665214">
            <w:pPr>
              <w:pStyle w:val="TableParagraph"/>
              <w:ind w:left="0"/>
              <w:rPr>
                <w:rFonts w:ascii="Times New Roman"/>
                <w:sz w:val="20"/>
              </w:rPr>
            </w:pPr>
          </w:p>
        </w:tc>
      </w:tr>
      <w:tr w:rsidR="00665214" w14:paraId="323F7046" w14:textId="77777777">
        <w:trPr>
          <w:trHeight w:val="685"/>
        </w:trPr>
        <w:tc>
          <w:tcPr>
            <w:tcW w:w="3795" w:type="dxa"/>
          </w:tcPr>
          <w:p w14:paraId="0120558F" w14:textId="77777777" w:rsidR="00665214" w:rsidRDefault="00000000">
            <w:pPr>
              <w:pStyle w:val="TableParagraph"/>
              <w:spacing w:line="224" w:lineRule="exact"/>
              <w:rPr>
                <w:sz w:val="20"/>
              </w:rPr>
            </w:pPr>
            <w:r>
              <w:rPr>
                <w:sz w:val="20"/>
              </w:rPr>
              <w:t>Hourly Loads Contact Phone:</w:t>
            </w:r>
          </w:p>
        </w:tc>
        <w:tc>
          <w:tcPr>
            <w:tcW w:w="5768" w:type="dxa"/>
          </w:tcPr>
          <w:p w14:paraId="507EF9BC" w14:textId="77777777" w:rsidR="00665214" w:rsidRDefault="00665214">
            <w:pPr>
              <w:pStyle w:val="TableParagraph"/>
              <w:ind w:left="0"/>
              <w:rPr>
                <w:rFonts w:ascii="Times New Roman"/>
                <w:sz w:val="20"/>
              </w:rPr>
            </w:pPr>
          </w:p>
        </w:tc>
      </w:tr>
      <w:tr w:rsidR="00665214" w14:paraId="1552D728" w14:textId="77777777">
        <w:trPr>
          <w:trHeight w:val="342"/>
        </w:trPr>
        <w:tc>
          <w:tcPr>
            <w:tcW w:w="3795" w:type="dxa"/>
          </w:tcPr>
          <w:p w14:paraId="46C2FD9A" w14:textId="77777777" w:rsidR="00665214" w:rsidRDefault="00000000">
            <w:pPr>
              <w:pStyle w:val="TableParagraph"/>
              <w:spacing w:line="224" w:lineRule="exact"/>
              <w:rPr>
                <w:sz w:val="20"/>
              </w:rPr>
            </w:pPr>
            <w:r>
              <w:rPr>
                <w:sz w:val="20"/>
              </w:rPr>
              <w:t>Hourly Loads Contact Fax:</w:t>
            </w:r>
          </w:p>
        </w:tc>
        <w:tc>
          <w:tcPr>
            <w:tcW w:w="5768" w:type="dxa"/>
          </w:tcPr>
          <w:p w14:paraId="4187E46C" w14:textId="77777777" w:rsidR="00665214" w:rsidRDefault="00665214">
            <w:pPr>
              <w:pStyle w:val="TableParagraph"/>
              <w:ind w:left="0"/>
              <w:rPr>
                <w:rFonts w:ascii="Times New Roman"/>
                <w:sz w:val="20"/>
              </w:rPr>
            </w:pPr>
          </w:p>
        </w:tc>
      </w:tr>
      <w:tr w:rsidR="00665214" w14:paraId="139EA4F5" w14:textId="77777777">
        <w:trPr>
          <w:trHeight w:val="345"/>
        </w:trPr>
        <w:tc>
          <w:tcPr>
            <w:tcW w:w="3795" w:type="dxa"/>
          </w:tcPr>
          <w:p w14:paraId="2614DDCB" w14:textId="77777777" w:rsidR="00665214" w:rsidRDefault="00000000">
            <w:pPr>
              <w:pStyle w:val="TableParagraph"/>
              <w:spacing w:line="227" w:lineRule="exact"/>
              <w:rPr>
                <w:sz w:val="20"/>
              </w:rPr>
            </w:pPr>
            <w:r>
              <w:rPr>
                <w:sz w:val="20"/>
              </w:rPr>
              <w:t>Hourly Loads Contact e-mail:</w:t>
            </w:r>
          </w:p>
        </w:tc>
        <w:tc>
          <w:tcPr>
            <w:tcW w:w="5768" w:type="dxa"/>
          </w:tcPr>
          <w:p w14:paraId="098D7A6F" w14:textId="77777777" w:rsidR="00665214" w:rsidRDefault="00665214">
            <w:pPr>
              <w:pStyle w:val="TableParagraph"/>
              <w:ind w:left="0"/>
              <w:rPr>
                <w:rFonts w:ascii="Times New Roman"/>
                <w:sz w:val="20"/>
              </w:rPr>
            </w:pPr>
          </w:p>
        </w:tc>
      </w:tr>
    </w:tbl>
    <w:p w14:paraId="482AFA0F" w14:textId="77777777" w:rsidR="00665214" w:rsidRDefault="00665214">
      <w:pPr>
        <w:pStyle w:val="BodyText"/>
        <w:rPr>
          <w:b/>
          <w:sz w:val="20"/>
        </w:rPr>
      </w:pPr>
    </w:p>
    <w:p w14:paraId="33C7EDFD" w14:textId="77777777" w:rsidR="00665214" w:rsidRDefault="00665214">
      <w:pPr>
        <w:pStyle w:val="BodyText"/>
        <w:rPr>
          <w:b/>
          <w:sz w:val="20"/>
        </w:rPr>
      </w:pPr>
    </w:p>
    <w:p w14:paraId="1801C2E7" w14:textId="77777777" w:rsidR="00665214" w:rsidRDefault="00665214">
      <w:pPr>
        <w:pStyle w:val="BodyText"/>
        <w:rPr>
          <w:b/>
          <w:sz w:val="19"/>
        </w:rPr>
      </w:pPr>
    </w:p>
    <w:p w14:paraId="169ED00B" w14:textId="77777777" w:rsidR="00665214" w:rsidRDefault="00000000">
      <w:pPr>
        <w:ind w:left="240" w:right="301"/>
        <w:rPr>
          <w:sz w:val="20"/>
        </w:rPr>
      </w:pPr>
      <w:r>
        <w:rPr>
          <w:sz w:val="20"/>
        </w:rPr>
        <w:t xml:space="preserve">NOTE: As of January 1, 2000, the Supplier is entitled to enroll Customers using one Supplier Identifier (currently a single Supplier Dun &amp; Bradstreet number) and, therefore, load associated with CL&amp;P retail sales will be reported to ISO-NE via one load asset number. The New England Meter Reader Forum and the EBT W </w:t>
      </w:r>
      <w:proofErr w:type="spellStart"/>
      <w:r>
        <w:rPr>
          <w:sz w:val="20"/>
        </w:rPr>
        <w:t>orking</w:t>
      </w:r>
      <w:proofErr w:type="spellEnd"/>
      <w:r>
        <w:rPr>
          <w:sz w:val="20"/>
        </w:rPr>
        <w:t xml:space="preserve"> Group is exploring the means for enabling Suppliers to have more than Supplier Identifier and/or more than one asset number. At such time that is feasible, the Supplier may establish additional Supplier Identifiers and/or asset numbers consistent with EBT Standards.</w:t>
      </w:r>
    </w:p>
    <w:sectPr w:rsidR="00665214">
      <w:pgSz w:w="12240" w:h="15840"/>
      <w:pgMar w:top="1380" w:right="1220" w:bottom="880" w:left="1200" w:header="0"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9EE8A" w14:textId="77777777" w:rsidR="00615D8F" w:rsidRDefault="00615D8F">
      <w:r>
        <w:separator/>
      </w:r>
    </w:p>
  </w:endnote>
  <w:endnote w:type="continuationSeparator" w:id="0">
    <w:p w14:paraId="4D3257CD" w14:textId="77777777" w:rsidR="00615D8F" w:rsidRDefault="006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50B7" w14:textId="77777777" w:rsidR="00665214" w:rsidRDefault="00000000">
    <w:pPr>
      <w:pStyle w:val="BodyText"/>
      <w:spacing w:line="14" w:lineRule="auto"/>
      <w:rPr>
        <w:sz w:val="20"/>
      </w:rPr>
    </w:pPr>
    <w:r>
      <w:pict w14:anchorId="09FDBE1D">
        <v:shapetype id="_x0000_t202" coordsize="21600,21600" o:spt="202" path="m,l,21600r21600,l21600,xe">
          <v:stroke joinstyle="miter"/>
          <v:path gradientshapeok="t" o:connecttype="rect"/>
        </v:shapetype>
        <v:shape id="_x0000_s1030" type="#_x0000_t202" style="position:absolute;margin-left:65.95pt;margin-top:751.4pt;width:60.1pt;height:13.05pt;z-index:-16064512;mso-position-horizontal-relative:page;mso-position-vertical-relative:page" filled="f" stroked="f">
          <v:textbox inset="0,0,0,0">
            <w:txbxContent>
              <w:p w14:paraId="2B5F78C7" w14:textId="77777777" w:rsidR="00665214" w:rsidRDefault="00000000">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t>2</w:t>
                </w:r>
                <w:r>
                  <w:fldChar w:fldCharType="end"/>
                </w:r>
                <w:r>
                  <w:rPr>
                    <w:rFonts w:ascii="Calibri"/>
                    <w:b/>
                  </w:rPr>
                  <w:t xml:space="preserve"> </w:t>
                </w:r>
                <w:r>
                  <w:rPr>
                    <w:rFonts w:ascii="Calibri"/>
                  </w:rPr>
                  <w:t xml:space="preserve">of </w:t>
                </w:r>
                <w:r>
                  <w:rPr>
                    <w:rFonts w:ascii="Calibri"/>
                    <w:b/>
                  </w:rPr>
                  <w:t>14</w:t>
                </w:r>
              </w:p>
            </w:txbxContent>
          </v:textbox>
          <w10:wrap anchorx="page" anchory="page"/>
        </v:shape>
      </w:pict>
    </w:r>
    <w:r>
      <w:pict w14:anchorId="66730F9C">
        <v:shape id="_x0000_s1029" type="#_x0000_t202" style="position:absolute;margin-left:466.95pt;margin-top:750.7pt;width:69.15pt;height:14pt;z-index:-16064000;mso-position-horizontal-relative:page;mso-position-vertical-relative:page" filled="f" stroked="f">
          <v:textbox inset="0,0,0,0">
            <w:txbxContent>
              <w:p w14:paraId="5E79F71C" w14:textId="77777777" w:rsidR="00665214" w:rsidRDefault="00000000">
                <w:pPr>
                  <w:spacing w:line="264" w:lineRule="exact"/>
                  <w:ind w:left="20"/>
                  <w:rPr>
                    <w:rFonts w:ascii="Calibri"/>
                    <w:b/>
                    <w:sz w:val="24"/>
                  </w:rPr>
                </w:pPr>
                <w:r>
                  <w:rPr>
                    <w:rFonts w:ascii="Calibri"/>
                    <w:b/>
                    <w:sz w:val="24"/>
                  </w:rPr>
                  <w:t>May 23, 2017</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D60C" w14:textId="77777777" w:rsidR="00665214" w:rsidRDefault="00665214">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F6BF" w14:textId="77777777" w:rsidR="00665214" w:rsidRDefault="00665214">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AA4EE" w14:textId="77777777" w:rsidR="00665214" w:rsidRDefault="00000000">
    <w:pPr>
      <w:pStyle w:val="BodyText"/>
      <w:spacing w:line="14" w:lineRule="auto"/>
      <w:rPr>
        <w:sz w:val="20"/>
      </w:rPr>
    </w:pPr>
    <w:r>
      <w:pict w14:anchorId="672AD2E6">
        <v:shapetype id="_x0000_t202" coordsize="21600,21600" o:spt="202" path="m,l,21600r21600,l21600,xe">
          <v:stroke joinstyle="miter"/>
          <v:path gradientshapeok="t" o:connecttype="rect"/>
        </v:shapetype>
        <v:shape id="_x0000_s1028" type="#_x0000_t202" style="position:absolute;margin-left:65.95pt;margin-top:733.4pt;width:65.5pt;height:13.05pt;z-index:-16063488;mso-position-horizontal-relative:page;mso-position-vertical-relative:page" filled="f" stroked="f">
          <v:textbox inset="0,0,0,0">
            <w:txbxContent>
              <w:p w14:paraId="7EE758ED" w14:textId="77777777" w:rsidR="00665214" w:rsidRDefault="00000000">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t>11</w:t>
                </w:r>
                <w:r>
                  <w:fldChar w:fldCharType="end"/>
                </w:r>
                <w:r>
                  <w:rPr>
                    <w:rFonts w:ascii="Calibri"/>
                    <w:b/>
                  </w:rPr>
                  <w:t xml:space="preserve"> </w:t>
                </w:r>
                <w:r>
                  <w:rPr>
                    <w:rFonts w:ascii="Calibri"/>
                  </w:rPr>
                  <w:t xml:space="preserve">of </w:t>
                </w:r>
                <w:r>
                  <w:rPr>
                    <w:rFonts w:ascii="Calibri"/>
                    <w:b/>
                  </w:rPr>
                  <w:t>14</w:t>
                </w:r>
              </w:p>
            </w:txbxContent>
          </v:textbox>
          <w10:wrap anchorx="page" anchory="page"/>
        </v:shape>
      </w:pict>
    </w:r>
    <w:r>
      <w:pict w14:anchorId="70E9ABBA">
        <v:shape id="_x0000_s1027" type="#_x0000_t202" style="position:absolute;margin-left:466.95pt;margin-top:732.7pt;width:69.15pt;height:14pt;z-index:-16062976;mso-position-horizontal-relative:page;mso-position-vertical-relative:page" filled="f" stroked="f">
          <v:textbox inset="0,0,0,0">
            <w:txbxContent>
              <w:p w14:paraId="43B64CB5" w14:textId="77777777" w:rsidR="00665214" w:rsidRDefault="00000000">
                <w:pPr>
                  <w:spacing w:line="264" w:lineRule="exact"/>
                  <w:ind w:left="20"/>
                  <w:rPr>
                    <w:rFonts w:ascii="Calibri"/>
                    <w:b/>
                    <w:sz w:val="24"/>
                  </w:rPr>
                </w:pPr>
                <w:r>
                  <w:rPr>
                    <w:rFonts w:ascii="Calibri"/>
                    <w:b/>
                    <w:sz w:val="24"/>
                  </w:rPr>
                  <w:t>May 23, 2017</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D24C" w14:textId="77777777" w:rsidR="00665214" w:rsidRDefault="00000000">
    <w:pPr>
      <w:pStyle w:val="BodyText"/>
      <w:spacing w:line="14" w:lineRule="auto"/>
      <w:rPr>
        <w:sz w:val="20"/>
      </w:rPr>
    </w:pPr>
    <w:r>
      <w:pict w14:anchorId="4F6DE72B">
        <v:shapetype id="_x0000_t202" coordsize="21600,21600" o:spt="202" path="m,l,21600r21600,l21600,xe">
          <v:stroke joinstyle="miter"/>
          <v:path gradientshapeok="t" o:connecttype="rect"/>
        </v:shapetype>
        <v:shape id="_x0000_s1026" type="#_x0000_t202" style="position:absolute;margin-left:61.05pt;margin-top:743.35pt;width:65.5pt;height:13.05pt;z-index:-16062464;mso-position-horizontal-relative:page;mso-position-vertical-relative:page" filled="f" stroked="f">
          <v:textbox inset="0,0,0,0">
            <w:txbxContent>
              <w:p w14:paraId="5B3EA101" w14:textId="77777777" w:rsidR="00665214" w:rsidRDefault="00000000">
                <w:pPr>
                  <w:spacing w:line="245" w:lineRule="exact"/>
                  <w:ind w:left="20"/>
                  <w:rPr>
                    <w:rFonts w:ascii="Calibri"/>
                    <w:b/>
                  </w:rPr>
                </w:pPr>
                <w:r>
                  <w:rPr>
                    <w:rFonts w:ascii="Calibri"/>
                  </w:rPr>
                  <w:t xml:space="preserve">Page </w:t>
                </w:r>
                <w:r>
                  <w:fldChar w:fldCharType="begin"/>
                </w:r>
                <w:r>
                  <w:rPr>
                    <w:rFonts w:ascii="Calibri"/>
                    <w:b/>
                  </w:rPr>
                  <w:instrText xml:space="preserve"> PAGE </w:instrText>
                </w:r>
                <w:r>
                  <w:fldChar w:fldCharType="separate"/>
                </w:r>
                <w:r>
                  <w:t>13</w:t>
                </w:r>
                <w:r>
                  <w:fldChar w:fldCharType="end"/>
                </w:r>
                <w:r>
                  <w:rPr>
                    <w:rFonts w:ascii="Calibri"/>
                    <w:b/>
                  </w:rPr>
                  <w:t xml:space="preserve"> </w:t>
                </w:r>
                <w:r>
                  <w:rPr>
                    <w:rFonts w:ascii="Calibri"/>
                  </w:rPr>
                  <w:t xml:space="preserve">of </w:t>
                </w:r>
                <w:r>
                  <w:rPr>
                    <w:rFonts w:ascii="Calibri"/>
                    <w:b/>
                  </w:rPr>
                  <w:t>14</w:t>
                </w:r>
              </w:p>
            </w:txbxContent>
          </v:textbox>
          <w10:wrap anchorx="page" anchory="page"/>
        </v:shape>
      </w:pict>
    </w:r>
    <w:r>
      <w:pict w14:anchorId="464A4C57">
        <v:shape id="_x0000_s1025" type="#_x0000_t202" style="position:absolute;margin-left:462.05pt;margin-top:742.65pt;width:69.15pt;height:14pt;z-index:-16061952;mso-position-horizontal-relative:page;mso-position-vertical-relative:page" filled="f" stroked="f">
          <v:textbox inset="0,0,0,0">
            <w:txbxContent>
              <w:p w14:paraId="5C3EAC6A" w14:textId="77777777" w:rsidR="00665214" w:rsidRDefault="00000000">
                <w:pPr>
                  <w:spacing w:line="264" w:lineRule="exact"/>
                  <w:ind w:left="20"/>
                  <w:rPr>
                    <w:rFonts w:ascii="Calibri"/>
                    <w:b/>
                    <w:sz w:val="24"/>
                  </w:rPr>
                </w:pPr>
                <w:r>
                  <w:rPr>
                    <w:rFonts w:ascii="Calibri"/>
                    <w:b/>
                    <w:sz w:val="24"/>
                  </w:rPr>
                  <w:t>May 23, 2017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60823" w14:textId="77777777" w:rsidR="00615D8F" w:rsidRDefault="00615D8F">
      <w:r>
        <w:separator/>
      </w:r>
    </w:p>
  </w:footnote>
  <w:footnote w:type="continuationSeparator" w:id="0">
    <w:p w14:paraId="560161D9" w14:textId="77777777" w:rsidR="00615D8F" w:rsidRDefault="006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0345C"/>
    <w:multiLevelType w:val="hybridMultilevel"/>
    <w:tmpl w:val="F224E148"/>
    <w:lvl w:ilvl="0" w:tplc="2B34ED30">
      <w:start w:val="1"/>
      <w:numFmt w:val="decimal"/>
      <w:lvlText w:val="%1."/>
      <w:lvlJc w:val="left"/>
      <w:pPr>
        <w:ind w:left="578" w:hanging="339"/>
        <w:jc w:val="left"/>
      </w:pPr>
      <w:rPr>
        <w:rFonts w:ascii="Arial" w:eastAsia="Arial" w:hAnsi="Arial" w:cs="Arial" w:hint="default"/>
        <w:w w:val="99"/>
        <w:sz w:val="24"/>
        <w:szCs w:val="24"/>
        <w:lang w:val="en-US" w:eastAsia="en-US" w:bidi="ar-SA"/>
      </w:rPr>
    </w:lvl>
    <w:lvl w:ilvl="1" w:tplc="EF58B0C8">
      <w:numFmt w:val="bullet"/>
      <w:lvlText w:val="•"/>
      <w:lvlJc w:val="left"/>
      <w:pPr>
        <w:ind w:left="1504" w:hanging="339"/>
      </w:pPr>
      <w:rPr>
        <w:rFonts w:hint="default"/>
        <w:lang w:val="en-US" w:eastAsia="en-US" w:bidi="ar-SA"/>
      </w:rPr>
    </w:lvl>
    <w:lvl w:ilvl="2" w:tplc="589812EC">
      <w:numFmt w:val="bullet"/>
      <w:lvlText w:val="•"/>
      <w:lvlJc w:val="left"/>
      <w:pPr>
        <w:ind w:left="2428" w:hanging="339"/>
      </w:pPr>
      <w:rPr>
        <w:rFonts w:hint="default"/>
        <w:lang w:val="en-US" w:eastAsia="en-US" w:bidi="ar-SA"/>
      </w:rPr>
    </w:lvl>
    <w:lvl w:ilvl="3" w:tplc="3CCCCD5E">
      <w:numFmt w:val="bullet"/>
      <w:lvlText w:val="•"/>
      <w:lvlJc w:val="left"/>
      <w:pPr>
        <w:ind w:left="3352" w:hanging="339"/>
      </w:pPr>
      <w:rPr>
        <w:rFonts w:hint="default"/>
        <w:lang w:val="en-US" w:eastAsia="en-US" w:bidi="ar-SA"/>
      </w:rPr>
    </w:lvl>
    <w:lvl w:ilvl="4" w:tplc="0EB6DB5E">
      <w:numFmt w:val="bullet"/>
      <w:lvlText w:val="•"/>
      <w:lvlJc w:val="left"/>
      <w:pPr>
        <w:ind w:left="4276" w:hanging="339"/>
      </w:pPr>
      <w:rPr>
        <w:rFonts w:hint="default"/>
        <w:lang w:val="en-US" w:eastAsia="en-US" w:bidi="ar-SA"/>
      </w:rPr>
    </w:lvl>
    <w:lvl w:ilvl="5" w:tplc="22DA6BDA">
      <w:numFmt w:val="bullet"/>
      <w:lvlText w:val="•"/>
      <w:lvlJc w:val="left"/>
      <w:pPr>
        <w:ind w:left="5200" w:hanging="339"/>
      </w:pPr>
      <w:rPr>
        <w:rFonts w:hint="default"/>
        <w:lang w:val="en-US" w:eastAsia="en-US" w:bidi="ar-SA"/>
      </w:rPr>
    </w:lvl>
    <w:lvl w:ilvl="6" w:tplc="0ED686E6">
      <w:numFmt w:val="bullet"/>
      <w:lvlText w:val="•"/>
      <w:lvlJc w:val="left"/>
      <w:pPr>
        <w:ind w:left="6124" w:hanging="339"/>
      </w:pPr>
      <w:rPr>
        <w:rFonts w:hint="default"/>
        <w:lang w:val="en-US" w:eastAsia="en-US" w:bidi="ar-SA"/>
      </w:rPr>
    </w:lvl>
    <w:lvl w:ilvl="7" w:tplc="8C3EA2C6">
      <w:numFmt w:val="bullet"/>
      <w:lvlText w:val="•"/>
      <w:lvlJc w:val="left"/>
      <w:pPr>
        <w:ind w:left="7048" w:hanging="339"/>
      </w:pPr>
      <w:rPr>
        <w:rFonts w:hint="default"/>
        <w:lang w:val="en-US" w:eastAsia="en-US" w:bidi="ar-SA"/>
      </w:rPr>
    </w:lvl>
    <w:lvl w:ilvl="8" w:tplc="17B2914A">
      <w:numFmt w:val="bullet"/>
      <w:lvlText w:val="•"/>
      <w:lvlJc w:val="left"/>
      <w:pPr>
        <w:ind w:left="7972" w:hanging="339"/>
      </w:pPr>
      <w:rPr>
        <w:rFonts w:hint="default"/>
        <w:lang w:val="en-US" w:eastAsia="en-US" w:bidi="ar-SA"/>
      </w:rPr>
    </w:lvl>
  </w:abstractNum>
  <w:abstractNum w:abstractNumId="1" w15:restartNumberingAfterBreak="0">
    <w:nsid w:val="51A1597C"/>
    <w:multiLevelType w:val="hybridMultilevel"/>
    <w:tmpl w:val="824C08A0"/>
    <w:lvl w:ilvl="0" w:tplc="573E7DBC">
      <w:start w:val="1"/>
      <w:numFmt w:val="upperRoman"/>
      <w:lvlText w:val="%1."/>
      <w:lvlJc w:val="left"/>
      <w:pPr>
        <w:ind w:left="960" w:hanging="720"/>
        <w:jc w:val="left"/>
      </w:pPr>
      <w:rPr>
        <w:rFonts w:ascii="Arial" w:eastAsia="Arial" w:hAnsi="Arial" w:cs="Arial" w:hint="default"/>
        <w:w w:val="100"/>
        <w:sz w:val="24"/>
        <w:szCs w:val="24"/>
        <w:lang w:val="en-US" w:eastAsia="en-US" w:bidi="ar-SA"/>
      </w:rPr>
    </w:lvl>
    <w:lvl w:ilvl="1" w:tplc="36FE3C14">
      <w:start w:val="1"/>
      <w:numFmt w:val="upperLetter"/>
      <w:lvlText w:val="%2."/>
      <w:lvlJc w:val="left"/>
      <w:pPr>
        <w:ind w:left="1680" w:hanging="720"/>
        <w:jc w:val="left"/>
      </w:pPr>
      <w:rPr>
        <w:rFonts w:ascii="Arial" w:eastAsia="Arial" w:hAnsi="Arial" w:cs="Arial" w:hint="default"/>
        <w:w w:val="100"/>
        <w:sz w:val="24"/>
        <w:szCs w:val="24"/>
        <w:lang w:val="en-US" w:eastAsia="en-US" w:bidi="ar-SA"/>
      </w:rPr>
    </w:lvl>
    <w:lvl w:ilvl="2" w:tplc="43243424">
      <w:numFmt w:val="bullet"/>
      <w:lvlText w:val="•"/>
      <w:lvlJc w:val="left"/>
      <w:pPr>
        <w:ind w:left="2584" w:hanging="720"/>
      </w:pPr>
      <w:rPr>
        <w:rFonts w:hint="default"/>
        <w:lang w:val="en-US" w:eastAsia="en-US" w:bidi="ar-SA"/>
      </w:rPr>
    </w:lvl>
    <w:lvl w:ilvl="3" w:tplc="99FCD618">
      <w:numFmt w:val="bullet"/>
      <w:lvlText w:val="•"/>
      <w:lvlJc w:val="left"/>
      <w:pPr>
        <w:ind w:left="3488" w:hanging="720"/>
      </w:pPr>
      <w:rPr>
        <w:rFonts w:hint="default"/>
        <w:lang w:val="en-US" w:eastAsia="en-US" w:bidi="ar-SA"/>
      </w:rPr>
    </w:lvl>
    <w:lvl w:ilvl="4" w:tplc="EBFE180A">
      <w:numFmt w:val="bullet"/>
      <w:lvlText w:val="•"/>
      <w:lvlJc w:val="left"/>
      <w:pPr>
        <w:ind w:left="4393" w:hanging="720"/>
      </w:pPr>
      <w:rPr>
        <w:rFonts w:hint="default"/>
        <w:lang w:val="en-US" w:eastAsia="en-US" w:bidi="ar-SA"/>
      </w:rPr>
    </w:lvl>
    <w:lvl w:ilvl="5" w:tplc="ADAC0E7A">
      <w:numFmt w:val="bullet"/>
      <w:lvlText w:val="•"/>
      <w:lvlJc w:val="left"/>
      <w:pPr>
        <w:ind w:left="5297" w:hanging="720"/>
      </w:pPr>
      <w:rPr>
        <w:rFonts w:hint="default"/>
        <w:lang w:val="en-US" w:eastAsia="en-US" w:bidi="ar-SA"/>
      </w:rPr>
    </w:lvl>
    <w:lvl w:ilvl="6" w:tplc="AA761D6E">
      <w:numFmt w:val="bullet"/>
      <w:lvlText w:val="•"/>
      <w:lvlJc w:val="left"/>
      <w:pPr>
        <w:ind w:left="6202" w:hanging="720"/>
      </w:pPr>
      <w:rPr>
        <w:rFonts w:hint="default"/>
        <w:lang w:val="en-US" w:eastAsia="en-US" w:bidi="ar-SA"/>
      </w:rPr>
    </w:lvl>
    <w:lvl w:ilvl="7" w:tplc="47BC752E">
      <w:numFmt w:val="bullet"/>
      <w:lvlText w:val="•"/>
      <w:lvlJc w:val="left"/>
      <w:pPr>
        <w:ind w:left="7106" w:hanging="720"/>
      </w:pPr>
      <w:rPr>
        <w:rFonts w:hint="default"/>
        <w:lang w:val="en-US" w:eastAsia="en-US" w:bidi="ar-SA"/>
      </w:rPr>
    </w:lvl>
    <w:lvl w:ilvl="8" w:tplc="09CC25AA">
      <w:numFmt w:val="bullet"/>
      <w:lvlText w:val="•"/>
      <w:lvlJc w:val="left"/>
      <w:pPr>
        <w:ind w:left="8011" w:hanging="720"/>
      </w:pPr>
      <w:rPr>
        <w:rFonts w:hint="default"/>
        <w:lang w:val="en-US" w:eastAsia="en-US" w:bidi="ar-SA"/>
      </w:rPr>
    </w:lvl>
  </w:abstractNum>
  <w:num w:numId="1" w16cid:durableId="270285983">
    <w:abstractNumId w:val="0"/>
  </w:num>
  <w:num w:numId="2" w16cid:durableId="993487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65214"/>
    <w:rsid w:val="00615D8F"/>
    <w:rsid w:val="00665214"/>
    <w:rsid w:val="006B1E0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813FA"/>
  <w15:docId w15:val="{77131640-97A7-45E3-9DC2-9506D024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60" w:hanging="721"/>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4.xml" Type="http://schemas.openxmlformats.org/officeDocument/2006/relationships/footer"/>
<Relationship Id="rId11" Target="footer5.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14</Pages>
  <Words>4374</Words>
  <Characters>24937</Characters>
  <DocSecurity>0</DocSecurity>
  <Lines>207</Lines>
  <Paragraphs>58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29253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