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9CA31" w14:textId="77777777" w:rsidR="00E9711A" w:rsidRDefault="00000000">
      <w:pPr>
        <w:pStyle w:val="Title"/>
      </w:pPr>
      <w:r>
        <w:t>HOMEOWER / CONTRACTOR OF RECORD &amp; ELECTRICAL CONTRACTOR</w:t>
      </w:r>
    </w:p>
    <w:p w14:paraId="78BEAD90" w14:textId="77777777" w:rsidR="00E9711A" w:rsidRDefault="00000000">
      <w:pPr>
        <w:spacing w:line="320" w:lineRule="exact"/>
        <w:ind w:left="509" w:right="243"/>
        <w:jc w:val="center"/>
        <w:rPr>
          <w:sz w:val="28"/>
        </w:rPr>
      </w:pPr>
      <w:r>
        <w:rPr>
          <w:sz w:val="28"/>
        </w:rPr>
        <w:t>Temporary Electrical Service Agreement</w:t>
      </w:r>
    </w:p>
    <w:p w14:paraId="46155F81" w14:textId="77777777" w:rsidR="00E9711A" w:rsidRDefault="00E9711A">
      <w:pPr>
        <w:pStyle w:val="BodyText"/>
        <w:spacing w:before="1"/>
        <w:rPr>
          <w:sz w:val="28"/>
        </w:rPr>
      </w:pPr>
    </w:p>
    <w:p w14:paraId="3CFDAACF" w14:textId="77777777" w:rsidR="00E9711A" w:rsidRDefault="00000000">
      <w:pPr>
        <w:pStyle w:val="BodyText"/>
        <w:spacing w:before="1"/>
        <w:ind w:left="388"/>
      </w:pPr>
      <w:r>
        <w:t>The parties to this agreement are:</w:t>
      </w:r>
    </w:p>
    <w:p w14:paraId="6A8EA3F5" w14:textId="77777777" w:rsidR="00E9711A" w:rsidRDefault="00E9711A">
      <w:pPr>
        <w:pStyle w:val="BodyText"/>
        <w:rPr>
          <w:sz w:val="14"/>
        </w:rPr>
      </w:pPr>
    </w:p>
    <w:p w14:paraId="7D34E942" w14:textId="77777777" w:rsidR="00E9711A" w:rsidRDefault="00000000">
      <w:pPr>
        <w:tabs>
          <w:tab w:val="left" w:pos="6985"/>
        </w:tabs>
        <w:spacing w:before="91"/>
        <w:ind w:left="388"/>
      </w:pPr>
      <w:r>
        <w:rPr>
          <w:b/>
          <w:w w:val="99"/>
          <w:u w:val="single"/>
        </w:rPr>
        <w:t xml:space="preserve"> </w:t>
      </w:r>
      <w:r>
        <w:rPr>
          <w:b/>
          <w:u w:val="single"/>
        </w:rPr>
        <w:tab/>
      </w:r>
      <w:r>
        <w:rPr>
          <w:b/>
        </w:rPr>
        <w:t>(Homeowner / Contractor of Record)</w:t>
      </w:r>
      <w:r>
        <w:rPr>
          <w:b/>
          <w:spacing w:val="-5"/>
        </w:rPr>
        <w:t xml:space="preserve"> </w:t>
      </w:r>
      <w:r>
        <w:t>and</w:t>
      </w:r>
    </w:p>
    <w:p w14:paraId="71E58175" w14:textId="77777777" w:rsidR="00E9711A" w:rsidRDefault="00E9711A">
      <w:pPr>
        <w:pStyle w:val="BodyText"/>
        <w:spacing w:before="2"/>
        <w:rPr>
          <w:sz w:val="14"/>
        </w:rPr>
      </w:pPr>
    </w:p>
    <w:p w14:paraId="0CA468B5" w14:textId="77777777" w:rsidR="00E9711A" w:rsidRDefault="00000000">
      <w:pPr>
        <w:tabs>
          <w:tab w:val="left" w:pos="6766"/>
          <w:tab w:val="left" w:pos="7085"/>
          <w:tab w:val="left" w:pos="9399"/>
          <w:tab w:val="left" w:pos="10114"/>
        </w:tabs>
        <w:spacing w:before="90"/>
        <w:ind w:left="387" w:right="836"/>
      </w:pPr>
      <w:r>
        <w:rPr>
          <w:b/>
          <w:w w:val="99"/>
          <w:u w:val="single"/>
        </w:rPr>
        <w:t xml:space="preserve"> </w:t>
      </w:r>
      <w:r>
        <w:rPr>
          <w:b/>
          <w:u w:val="single"/>
        </w:rPr>
        <w:tab/>
      </w:r>
      <w:r>
        <w:rPr>
          <w:b/>
        </w:rPr>
        <w:t xml:space="preserve">(Licensed Electrical Contractor) </w:t>
      </w:r>
      <w:r>
        <w:rPr>
          <w:spacing w:val="-4"/>
        </w:rPr>
        <w:t xml:space="preserve">and </w:t>
      </w:r>
      <w:r>
        <w:t>Hamilton County, Tennessee. This agreement is entered</w:t>
      </w:r>
      <w:r>
        <w:rPr>
          <w:spacing w:val="-11"/>
        </w:rPr>
        <w:t xml:space="preserve"> </w:t>
      </w:r>
      <w:r>
        <w:t>into</w:t>
      </w:r>
      <w:r>
        <w:rPr>
          <w:spacing w:val="-1"/>
        </w:rPr>
        <w:t xml:space="preserve"> </w:t>
      </w:r>
      <w:r>
        <w:t>this</w:t>
      </w:r>
      <w:r>
        <w:rPr>
          <w:u w:val="single"/>
        </w:rPr>
        <w:t xml:space="preserve"> </w:t>
      </w:r>
      <w:r>
        <w:rPr>
          <w:u w:val="single"/>
        </w:rPr>
        <w:tab/>
      </w:r>
      <w:r>
        <w:rPr>
          <w:u w:val="single"/>
        </w:rPr>
        <w:tab/>
      </w:r>
      <w:r>
        <w:t>day</w:t>
      </w:r>
      <w:r>
        <w:rPr>
          <w:spacing w:val="-2"/>
        </w:rPr>
        <w:t xml:space="preserve"> </w:t>
      </w:r>
      <w:r>
        <w:t>of</w:t>
      </w:r>
      <w:r>
        <w:rPr>
          <w:u w:val="single"/>
        </w:rPr>
        <w:t xml:space="preserve"> </w:t>
      </w:r>
      <w:r>
        <w:rPr>
          <w:u w:val="single"/>
        </w:rPr>
        <w:tab/>
      </w:r>
      <w:r>
        <w:t>20</w:t>
      </w:r>
      <w:r>
        <w:rPr>
          <w:u w:val="single"/>
        </w:rPr>
        <w:t xml:space="preserve"> </w:t>
      </w:r>
      <w:r>
        <w:rPr>
          <w:u w:val="single"/>
        </w:rPr>
        <w:tab/>
      </w:r>
      <w:r>
        <w:t>.</w:t>
      </w:r>
    </w:p>
    <w:p w14:paraId="1A519D55" w14:textId="77777777" w:rsidR="00E9711A" w:rsidRDefault="00E9711A">
      <w:pPr>
        <w:pStyle w:val="BodyText"/>
        <w:spacing w:before="11"/>
        <w:rPr>
          <w:sz w:val="21"/>
        </w:rPr>
      </w:pPr>
    </w:p>
    <w:p w14:paraId="480D747C" w14:textId="77777777" w:rsidR="00E9711A" w:rsidRDefault="00000000">
      <w:pPr>
        <w:pStyle w:val="BodyText"/>
        <w:ind w:left="387"/>
      </w:pPr>
      <w:r>
        <w:t>Whereas the parties to this agreement desire to receive permission to energize electrical service on certain property located at:</w:t>
      </w:r>
    </w:p>
    <w:p w14:paraId="473A9223" w14:textId="77777777" w:rsidR="00E9711A" w:rsidRDefault="00000000">
      <w:pPr>
        <w:pStyle w:val="BodyText"/>
        <w:spacing w:before="6"/>
        <w:rPr>
          <w:sz w:val="17"/>
        </w:rPr>
      </w:pPr>
      <w:r>
        <w:pict w14:anchorId="6D88BC13">
          <v:shape id="_x0000_s1032" style="position:absolute;margin-left:99.95pt;margin-top:12.4pt;width:428.75pt;height:.1pt;z-index:-15728640;mso-wrap-distance-left:0;mso-wrap-distance-right:0;mso-position-horizontal-relative:page" coordorigin="1999,248" coordsize="8575,0" path="m1999,248r8574,e" filled="f" strokeweight=".24403mm">
            <v:path arrowok="t"/>
            <w10:wrap type="topAndBottom" anchorx="page"/>
          </v:shape>
        </w:pict>
      </w:r>
    </w:p>
    <w:p w14:paraId="2D05216E" w14:textId="77777777" w:rsidR="00E9711A" w:rsidRDefault="00E9711A">
      <w:pPr>
        <w:pStyle w:val="BodyText"/>
        <w:spacing w:before="6"/>
        <w:rPr>
          <w:sz w:val="11"/>
        </w:rPr>
      </w:pPr>
    </w:p>
    <w:p w14:paraId="38E05533" w14:textId="77777777" w:rsidR="00E9711A" w:rsidRDefault="00000000">
      <w:pPr>
        <w:pStyle w:val="BodyText"/>
        <w:spacing w:before="90"/>
        <w:ind w:left="387" w:right="119"/>
        <w:jc w:val="both"/>
      </w:pPr>
      <w:r>
        <w:t xml:space="preserve">Whereas the above property is issued a temporary certificate for </w:t>
      </w:r>
      <w:r>
        <w:rPr>
          <w:b/>
        </w:rPr>
        <w:t xml:space="preserve">power only </w:t>
      </w:r>
      <w:r>
        <w:t>from the Office of Building Inspection. Electrical service to this property is needed for completion of construction.</w:t>
      </w:r>
    </w:p>
    <w:p w14:paraId="11315002" w14:textId="77777777" w:rsidR="00E9711A" w:rsidRDefault="00E9711A">
      <w:pPr>
        <w:pStyle w:val="BodyText"/>
      </w:pPr>
    </w:p>
    <w:p w14:paraId="2BD72555" w14:textId="77777777" w:rsidR="00E9711A" w:rsidRDefault="00000000">
      <w:pPr>
        <w:pStyle w:val="BodyText"/>
        <w:ind w:left="387" w:right="117"/>
        <w:jc w:val="both"/>
      </w:pPr>
      <w:r>
        <w:t xml:space="preserve">Whereas the Building Inspection Department will allow electrical service to this property provided </w:t>
      </w:r>
      <w:r>
        <w:rPr>
          <w:b/>
        </w:rPr>
        <w:t xml:space="preserve">ALL </w:t>
      </w:r>
      <w:r>
        <w:t>other construction requirements are met at final inspection and a certificate of occupancy is issued within ninety (90) days. The Director of Building &amp; Zoning or his designee has the option to renew this Agreement for an additional sixty (60) days after review.</w:t>
      </w:r>
    </w:p>
    <w:p w14:paraId="77C00817" w14:textId="77777777" w:rsidR="00E9711A" w:rsidRDefault="00000000">
      <w:pPr>
        <w:pStyle w:val="Heading1"/>
        <w:spacing w:before="186"/>
        <w:ind w:left="511" w:right="243"/>
        <w:jc w:val="center"/>
      </w:pPr>
      <w:r>
        <w:t xml:space="preserve">Now therefore all parties to this Agreement agree as </w:t>
      </w:r>
      <w:proofErr w:type="gramStart"/>
      <w:r>
        <w:t>follows;</w:t>
      </w:r>
      <w:proofErr w:type="gramEnd"/>
    </w:p>
    <w:p w14:paraId="1D034EDF" w14:textId="77777777" w:rsidR="00E9711A" w:rsidRDefault="00000000">
      <w:pPr>
        <w:pStyle w:val="ListParagraph"/>
        <w:numPr>
          <w:ilvl w:val="0"/>
          <w:numId w:val="3"/>
        </w:numPr>
        <w:tabs>
          <w:tab w:val="left" w:pos="1108"/>
        </w:tabs>
        <w:spacing w:before="182"/>
        <w:ind w:right="116"/>
        <w:jc w:val="both"/>
      </w:pPr>
      <w:r>
        <w:t>The Homeowner / Contractor of Record and Licensed Electrical Contractor shall receive immediate electrical service to the above referenced property provided that all other construction requirements are met at final inspection and a certificate of occupancy is issued within ninety (90)</w:t>
      </w:r>
      <w:r>
        <w:rPr>
          <w:spacing w:val="-1"/>
        </w:rPr>
        <w:t xml:space="preserve"> </w:t>
      </w:r>
      <w:r>
        <w:t>days.</w:t>
      </w:r>
    </w:p>
    <w:p w14:paraId="22F585DF" w14:textId="77777777" w:rsidR="00E9711A" w:rsidRDefault="00000000">
      <w:pPr>
        <w:pStyle w:val="ListParagraph"/>
        <w:numPr>
          <w:ilvl w:val="0"/>
          <w:numId w:val="3"/>
        </w:numPr>
        <w:tabs>
          <w:tab w:val="left" w:pos="1108"/>
        </w:tabs>
        <w:spacing w:before="0"/>
        <w:ind w:right="117"/>
        <w:jc w:val="both"/>
      </w:pPr>
      <w:r>
        <w:t xml:space="preserve">Any electrical circuits installed at this time must be G.F.C.I. protected, </w:t>
      </w:r>
      <w:proofErr w:type="gramStart"/>
      <w:r>
        <w:t>with the exception of</w:t>
      </w:r>
      <w:proofErr w:type="gramEnd"/>
      <w:r>
        <w:t xml:space="preserve"> the HVAC circuit. No additional breakers may be installed without prior approval and reinspection. Any breakers installed, beyond the approved circuits, prior to reinspection, will be in violation of this Agreement and will result in penalties outlined in paragraph</w:t>
      </w:r>
      <w:r>
        <w:rPr>
          <w:spacing w:val="-3"/>
        </w:rPr>
        <w:t xml:space="preserve"> </w:t>
      </w:r>
      <w:r>
        <w:t>(6).</w:t>
      </w:r>
    </w:p>
    <w:p w14:paraId="401D9314" w14:textId="77777777" w:rsidR="00E9711A" w:rsidRDefault="00000000">
      <w:pPr>
        <w:pStyle w:val="ListParagraph"/>
        <w:numPr>
          <w:ilvl w:val="0"/>
          <w:numId w:val="3"/>
        </w:numPr>
        <w:tabs>
          <w:tab w:val="left" w:pos="1108"/>
        </w:tabs>
        <w:spacing w:before="1"/>
        <w:ind w:right="117"/>
        <w:jc w:val="both"/>
      </w:pPr>
      <w:r>
        <w:t>The Electrical Inspector has inspected the current electrical wiring on this property and has determined that it is acceptable to be energized pursuant to all current city or county</w:t>
      </w:r>
      <w:r>
        <w:rPr>
          <w:spacing w:val="-2"/>
        </w:rPr>
        <w:t xml:space="preserve"> </w:t>
      </w:r>
      <w:r>
        <w:t>codes.</w:t>
      </w:r>
    </w:p>
    <w:p w14:paraId="49A042A7" w14:textId="77777777" w:rsidR="00E9711A" w:rsidRDefault="00000000">
      <w:pPr>
        <w:pStyle w:val="ListParagraph"/>
        <w:numPr>
          <w:ilvl w:val="0"/>
          <w:numId w:val="3"/>
        </w:numPr>
        <w:tabs>
          <w:tab w:val="left" w:pos="1108"/>
        </w:tabs>
        <w:spacing w:before="0"/>
        <w:ind w:right="117"/>
        <w:jc w:val="both"/>
      </w:pPr>
      <w:r>
        <w:t xml:space="preserve">The Homeowner / Contractor of Record and Licensed Electrical Contractor agree that all construction shall be accomplished within this </w:t>
      </w:r>
      <w:proofErr w:type="gramStart"/>
      <w:r>
        <w:t>time period</w:t>
      </w:r>
      <w:proofErr w:type="gramEnd"/>
      <w:r>
        <w:t xml:space="preserve"> in accordance with the ordinances of Hamilton County and the National Electrical Code.</w:t>
      </w:r>
    </w:p>
    <w:p w14:paraId="2429D916" w14:textId="77777777" w:rsidR="00E9711A" w:rsidRDefault="00000000">
      <w:pPr>
        <w:pStyle w:val="ListParagraph"/>
        <w:numPr>
          <w:ilvl w:val="0"/>
          <w:numId w:val="3"/>
        </w:numPr>
        <w:tabs>
          <w:tab w:val="left" w:pos="1108"/>
        </w:tabs>
        <w:spacing w:before="0"/>
        <w:ind w:right="118"/>
        <w:jc w:val="both"/>
      </w:pPr>
      <w:r>
        <w:t xml:space="preserve">Authorization for electrical service under this agreement shall not be transferable to any other party. After a certificate of occupancy has been obtained from the Office of Building Inspection, any electrical service connection shall be maintained </w:t>
      </w:r>
      <w:proofErr w:type="gramStart"/>
      <w:r>
        <w:t>as long as</w:t>
      </w:r>
      <w:proofErr w:type="gramEnd"/>
      <w:r>
        <w:t xml:space="preserve"> it remains in good repair and does not violate the National Electrical Code.</w:t>
      </w:r>
    </w:p>
    <w:p w14:paraId="7479E15A" w14:textId="77777777" w:rsidR="00E9711A" w:rsidRDefault="00000000">
      <w:pPr>
        <w:pStyle w:val="ListParagraph"/>
        <w:numPr>
          <w:ilvl w:val="0"/>
          <w:numId w:val="3"/>
        </w:numPr>
        <w:tabs>
          <w:tab w:val="left" w:pos="1108"/>
        </w:tabs>
        <w:spacing w:before="0" w:line="253" w:lineRule="exact"/>
        <w:ind w:hanging="361"/>
        <w:jc w:val="both"/>
      </w:pPr>
      <w:proofErr w:type="gramStart"/>
      <w:r>
        <w:t>In</w:t>
      </w:r>
      <w:r>
        <w:rPr>
          <w:spacing w:val="7"/>
        </w:rPr>
        <w:t xml:space="preserve"> </w:t>
      </w:r>
      <w:r>
        <w:t>the</w:t>
      </w:r>
      <w:r>
        <w:rPr>
          <w:spacing w:val="7"/>
        </w:rPr>
        <w:t xml:space="preserve"> </w:t>
      </w:r>
      <w:r>
        <w:t>event</w:t>
      </w:r>
      <w:r>
        <w:rPr>
          <w:spacing w:val="7"/>
        </w:rPr>
        <w:t xml:space="preserve"> </w:t>
      </w:r>
      <w:r>
        <w:t>that</w:t>
      </w:r>
      <w:proofErr w:type="gramEnd"/>
      <w:r>
        <w:rPr>
          <w:spacing w:val="7"/>
        </w:rPr>
        <w:t xml:space="preserve"> </w:t>
      </w:r>
      <w:r>
        <w:t>the</w:t>
      </w:r>
      <w:r>
        <w:rPr>
          <w:spacing w:val="7"/>
        </w:rPr>
        <w:t xml:space="preserve"> </w:t>
      </w:r>
      <w:r>
        <w:t>certificate</w:t>
      </w:r>
      <w:r>
        <w:rPr>
          <w:spacing w:val="7"/>
        </w:rPr>
        <w:t xml:space="preserve"> </w:t>
      </w:r>
      <w:r>
        <w:t>of</w:t>
      </w:r>
      <w:r>
        <w:rPr>
          <w:spacing w:val="7"/>
        </w:rPr>
        <w:t xml:space="preserve"> </w:t>
      </w:r>
      <w:r>
        <w:t>occupancy</w:t>
      </w:r>
      <w:r>
        <w:rPr>
          <w:spacing w:val="8"/>
        </w:rPr>
        <w:t xml:space="preserve"> </w:t>
      </w:r>
      <w:r>
        <w:t>has</w:t>
      </w:r>
      <w:r>
        <w:rPr>
          <w:spacing w:val="7"/>
        </w:rPr>
        <w:t xml:space="preserve"> </w:t>
      </w:r>
      <w:r>
        <w:t>not</w:t>
      </w:r>
      <w:r>
        <w:rPr>
          <w:spacing w:val="6"/>
        </w:rPr>
        <w:t xml:space="preserve"> </w:t>
      </w:r>
      <w:r>
        <w:t>been</w:t>
      </w:r>
      <w:r>
        <w:rPr>
          <w:spacing w:val="7"/>
        </w:rPr>
        <w:t xml:space="preserve"> </w:t>
      </w:r>
      <w:r>
        <w:t>issued</w:t>
      </w:r>
      <w:r>
        <w:rPr>
          <w:spacing w:val="7"/>
        </w:rPr>
        <w:t xml:space="preserve"> </w:t>
      </w:r>
      <w:r>
        <w:t>within</w:t>
      </w:r>
      <w:r>
        <w:rPr>
          <w:spacing w:val="7"/>
        </w:rPr>
        <w:t xml:space="preserve"> </w:t>
      </w:r>
      <w:r>
        <w:t>ninety</w:t>
      </w:r>
      <w:r>
        <w:rPr>
          <w:spacing w:val="8"/>
        </w:rPr>
        <w:t xml:space="preserve"> </w:t>
      </w:r>
      <w:r>
        <w:t>(90)</w:t>
      </w:r>
      <w:r>
        <w:rPr>
          <w:spacing w:val="7"/>
        </w:rPr>
        <w:t xml:space="preserve"> </w:t>
      </w:r>
      <w:r>
        <w:t>days</w:t>
      </w:r>
      <w:r>
        <w:rPr>
          <w:spacing w:val="6"/>
        </w:rPr>
        <w:t xml:space="preserve"> </w:t>
      </w:r>
      <w:r>
        <w:t>or</w:t>
      </w:r>
      <w:r>
        <w:rPr>
          <w:spacing w:val="6"/>
        </w:rPr>
        <w:t xml:space="preserve"> </w:t>
      </w:r>
      <w:r>
        <w:t>an</w:t>
      </w:r>
      <w:r>
        <w:rPr>
          <w:spacing w:val="7"/>
        </w:rPr>
        <w:t xml:space="preserve"> </w:t>
      </w:r>
      <w:r>
        <w:t>approved</w:t>
      </w:r>
      <w:r>
        <w:rPr>
          <w:spacing w:val="6"/>
        </w:rPr>
        <w:t xml:space="preserve"> </w:t>
      </w:r>
      <w:r>
        <w:t>sixty</w:t>
      </w:r>
    </w:p>
    <w:p w14:paraId="02C73B07" w14:textId="77777777" w:rsidR="00E9711A" w:rsidRDefault="00000000">
      <w:pPr>
        <w:pStyle w:val="BodyText"/>
        <w:ind w:left="1107" w:right="114"/>
        <w:jc w:val="both"/>
      </w:pPr>
      <w:r>
        <w:t>(60) day extension has not been given or in the event of any breach of this Agreement by either contractor, this electrical service Agreement shall terminate upon written notice by the Director of Building &amp; Zoning or the Electrical Inspector. No further Temporary Electrical Service Agreement shall be allowed for either contractor for a period of one (1) year.</w:t>
      </w:r>
    </w:p>
    <w:p w14:paraId="30301C70" w14:textId="77777777" w:rsidR="00E9711A" w:rsidRDefault="00000000">
      <w:pPr>
        <w:pStyle w:val="ListParagraph"/>
        <w:numPr>
          <w:ilvl w:val="0"/>
          <w:numId w:val="3"/>
        </w:numPr>
        <w:tabs>
          <w:tab w:val="left" w:pos="1108"/>
        </w:tabs>
        <w:spacing w:before="0" w:line="275" w:lineRule="exact"/>
        <w:ind w:left="1108" w:hanging="361"/>
        <w:jc w:val="both"/>
        <w:rPr>
          <w:sz w:val="24"/>
        </w:rPr>
      </w:pPr>
      <w:r>
        <w:rPr>
          <w:sz w:val="24"/>
        </w:rPr>
        <w:t>Please read carefully the “Procedure for Temporary Power to a</w:t>
      </w:r>
      <w:r>
        <w:rPr>
          <w:spacing w:val="-12"/>
          <w:sz w:val="24"/>
        </w:rPr>
        <w:t xml:space="preserve"> </w:t>
      </w:r>
      <w:r>
        <w:rPr>
          <w:sz w:val="24"/>
        </w:rPr>
        <w:t>Structure”.</w:t>
      </w:r>
    </w:p>
    <w:p w14:paraId="40BFC490" w14:textId="77777777" w:rsidR="00E9711A" w:rsidRDefault="00E9711A">
      <w:pPr>
        <w:pStyle w:val="BodyText"/>
      </w:pPr>
    </w:p>
    <w:p w14:paraId="17E4AAEC" w14:textId="77777777" w:rsidR="00E9711A" w:rsidRDefault="00000000">
      <w:pPr>
        <w:pStyle w:val="BodyText"/>
        <w:tabs>
          <w:tab w:val="left" w:pos="2712"/>
          <w:tab w:val="left" w:pos="7828"/>
          <w:tab w:val="left" w:pos="8929"/>
        </w:tabs>
        <w:spacing w:before="1"/>
        <w:ind w:left="1107"/>
      </w:pPr>
      <w:r>
        <w:t>This</w:t>
      </w:r>
      <w:r>
        <w:rPr>
          <w:u w:val="single"/>
        </w:rPr>
        <w:t xml:space="preserve"> </w:t>
      </w:r>
      <w:r>
        <w:rPr>
          <w:u w:val="single"/>
        </w:rPr>
        <w:tab/>
      </w:r>
      <w:r>
        <w:t>day of</w:t>
      </w:r>
      <w:r>
        <w:rPr>
          <w:u w:val="single"/>
        </w:rPr>
        <w:t xml:space="preserve"> </w:t>
      </w:r>
      <w:r>
        <w:rPr>
          <w:u w:val="single"/>
        </w:rPr>
        <w:tab/>
      </w:r>
      <w:r>
        <w:t>,</w:t>
      </w:r>
      <w:r>
        <w:rPr>
          <w:spacing w:val="-2"/>
        </w:rPr>
        <w:t xml:space="preserve"> </w:t>
      </w:r>
      <w:r>
        <w:t>20</w:t>
      </w:r>
      <w:r>
        <w:rPr>
          <w:u w:val="single"/>
        </w:rPr>
        <w:t xml:space="preserve"> </w:t>
      </w:r>
      <w:r>
        <w:rPr>
          <w:u w:val="single"/>
        </w:rPr>
        <w:tab/>
      </w:r>
    </w:p>
    <w:p w14:paraId="3A7DD4B6" w14:textId="77777777" w:rsidR="00E9711A" w:rsidRDefault="00E9711A">
      <w:pPr>
        <w:pStyle w:val="BodyText"/>
        <w:rPr>
          <w:sz w:val="20"/>
        </w:rPr>
      </w:pPr>
    </w:p>
    <w:p w14:paraId="08560DB5" w14:textId="77777777" w:rsidR="00E9711A" w:rsidRDefault="00E9711A">
      <w:pPr>
        <w:pStyle w:val="BodyText"/>
        <w:rPr>
          <w:sz w:val="20"/>
        </w:rPr>
      </w:pPr>
    </w:p>
    <w:p w14:paraId="68588615" w14:textId="77777777" w:rsidR="00E9711A" w:rsidRDefault="00E9711A">
      <w:pPr>
        <w:pStyle w:val="BodyText"/>
        <w:rPr>
          <w:sz w:val="20"/>
        </w:rPr>
      </w:pPr>
    </w:p>
    <w:p w14:paraId="271CCFB6" w14:textId="77777777" w:rsidR="00E9711A" w:rsidRDefault="00000000">
      <w:pPr>
        <w:pStyle w:val="BodyText"/>
        <w:spacing w:before="8"/>
        <w:rPr>
          <w:sz w:val="23"/>
        </w:rPr>
      </w:pPr>
      <w:r>
        <w:pict w14:anchorId="31A4215C">
          <v:shape id="_x0000_s1031" style="position:absolute;margin-left:68.4pt;margin-top:15.85pt;width:148.45pt;height:.1pt;z-index:-15728128;mso-wrap-distance-left:0;mso-wrap-distance-right:0;mso-position-horizontal-relative:page" coordorigin="1368,317" coordsize="2969,0" path="m1368,317r2968,e" filled="f" strokeweight=".15494mm">
            <v:path arrowok="t"/>
            <w10:wrap type="topAndBottom" anchorx="page"/>
          </v:shape>
        </w:pict>
      </w:r>
      <w:r>
        <w:pict w14:anchorId="00A09507">
          <v:shape id="_x0000_s1030" style="position:absolute;margin-left:244.3pt;margin-top:15.85pt;width:148.45pt;height:.1pt;z-index:-15727616;mso-wrap-distance-left:0;mso-wrap-distance-right:0;mso-position-horizontal-relative:page" coordorigin="4886,317" coordsize="2969,0" path="m4886,317r2969,e" filled="f" strokeweight=".15494mm">
            <v:path arrowok="t"/>
            <w10:wrap type="topAndBottom" anchorx="page"/>
          </v:shape>
        </w:pict>
      </w:r>
      <w:r>
        <w:pict w14:anchorId="2B81CF6A">
          <v:shape id="_x0000_s1029" style="position:absolute;margin-left:422.95pt;margin-top:15.85pt;width:137.45pt;height:.1pt;z-index:-15727104;mso-wrap-distance-left:0;mso-wrap-distance-right:0;mso-position-horizontal-relative:page" coordorigin="8459,317" coordsize="2749,0" path="m8459,317r2748,e" filled="f" strokeweight=".15494mm">
            <v:path arrowok="t"/>
            <w10:wrap type="topAndBottom" anchorx="page"/>
          </v:shape>
        </w:pict>
      </w:r>
    </w:p>
    <w:p w14:paraId="17594B2B" w14:textId="77777777" w:rsidR="00E9711A" w:rsidRDefault="00000000">
      <w:pPr>
        <w:pStyle w:val="BodyText"/>
        <w:tabs>
          <w:tab w:val="left" w:pos="4264"/>
          <w:tab w:val="left" w:pos="7837"/>
        </w:tabs>
        <w:spacing w:line="224" w:lineRule="exact"/>
        <w:ind w:left="747"/>
      </w:pPr>
      <w:r>
        <w:t>Homeowner / Contractor</w:t>
      </w:r>
      <w:r>
        <w:rPr>
          <w:spacing w:val="-4"/>
        </w:rPr>
        <w:t xml:space="preserve"> </w:t>
      </w:r>
      <w:r>
        <w:t>of</w:t>
      </w:r>
      <w:r>
        <w:rPr>
          <w:spacing w:val="-1"/>
        </w:rPr>
        <w:t xml:space="preserve"> </w:t>
      </w:r>
      <w:r>
        <w:t>Record</w:t>
      </w:r>
      <w:r>
        <w:tab/>
        <w:t>Licensed</w:t>
      </w:r>
      <w:r>
        <w:rPr>
          <w:spacing w:val="-1"/>
        </w:rPr>
        <w:t xml:space="preserve"> </w:t>
      </w:r>
      <w:r>
        <w:t>Electrical</w:t>
      </w:r>
      <w:r>
        <w:rPr>
          <w:spacing w:val="-1"/>
        </w:rPr>
        <w:t xml:space="preserve"> </w:t>
      </w:r>
      <w:r>
        <w:t>Contractor</w:t>
      </w:r>
      <w:r>
        <w:tab/>
        <w:t>Director or</w:t>
      </w:r>
      <w:r>
        <w:rPr>
          <w:spacing w:val="-1"/>
        </w:rPr>
        <w:t xml:space="preserve"> </w:t>
      </w:r>
      <w:r>
        <w:t>Designee</w:t>
      </w:r>
    </w:p>
    <w:p w14:paraId="57A56020" w14:textId="77777777" w:rsidR="00E9711A" w:rsidRDefault="00E9711A">
      <w:pPr>
        <w:spacing w:line="224" w:lineRule="exact"/>
        <w:sectPr w:rsidR="00E9711A">
          <w:type w:val="continuous"/>
          <w:pgSz w:w="12240" w:h="15840"/>
          <w:pgMar w:top="660" w:right="600" w:bottom="280" w:left="620" w:header="720" w:footer="720" w:gutter="0"/>
          <w:cols w:space="720"/>
        </w:sectPr>
      </w:pPr>
    </w:p>
    <w:p w14:paraId="7E658B9B" w14:textId="77777777" w:rsidR="00E9711A" w:rsidRDefault="00000000">
      <w:pPr>
        <w:spacing w:before="60"/>
        <w:ind w:left="226" w:right="243"/>
        <w:jc w:val="center"/>
        <w:rPr>
          <w:b/>
          <w:sz w:val="28"/>
        </w:rPr>
      </w:pPr>
      <w:r>
        <w:rPr>
          <w:b/>
          <w:sz w:val="28"/>
        </w:rPr>
        <w:lastRenderedPageBreak/>
        <w:t>Procedures for Temporary Power to Structure</w:t>
      </w:r>
    </w:p>
    <w:p w14:paraId="18A9AD4D" w14:textId="77777777" w:rsidR="00E9711A" w:rsidRDefault="00E9711A">
      <w:pPr>
        <w:pStyle w:val="BodyText"/>
        <w:spacing w:before="7"/>
        <w:rPr>
          <w:b/>
          <w:sz w:val="23"/>
        </w:rPr>
      </w:pPr>
    </w:p>
    <w:p w14:paraId="406A1D58" w14:textId="77777777" w:rsidR="00E9711A" w:rsidRDefault="00000000">
      <w:pPr>
        <w:spacing w:before="1"/>
        <w:ind w:left="100"/>
        <w:jc w:val="both"/>
        <w:rPr>
          <w:sz w:val="24"/>
        </w:rPr>
      </w:pPr>
      <w:r>
        <w:rPr>
          <w:sz w:val="24"/>
        </w:rPr>
        <w:t xml:space="preserve">Prior to requesting temporary </w:t>
      </w:r>
      <w:proofErr w:type="gramStart"/>
      <w:r>
        <w:rPr>
          <w:sz w:val="24"/>
        </w:rPr>
        <w:t>power</w:t>
      </w:r>
      <w:proofErr w:type="gramEnd"/>
      <w:r>
        <w:rPr>
          <w:sz w:val="24"/>
        </w:rPr>
        <w:t xml:space="preserve"> the following must be completed:</w:t>
      </w:r>
    </w:p>
    <w:p w14:paraId="41F47F8D" w14:textId="77777777" w:rsidR="00E9711A" w:rsidRDefault="00000000">
      <w:pPr>
        <w:pStyle w:val="Heading1"/>
        <w:ind w:right="140"/>
      </w:pPr>
      <w:r>
        <w:t>The Temporary Electrical Service Agreement affidavit must be signed, dated, and in the possession of the Inspector or on file in the Building Inspection office.</w:t>
      </w:r>
    </w:p>
    <w:p w14:paraId="5BCE221B" w14:textId="77777777" w:rsidR="00E9711A" w:rsidRDefault="00000000">
      <w:pPr>
        <w:pStyle w:val="ListParagraph"/>
        <w:numPr>
          <w:ilvl w:val="0"/>
          <w:numId w:val="2"/>
        </w:numPr>
        <w:tabs>
          <w:tab w:val="left" w:pos="820"/>
        </w:tabs>
        <w:spacing w:before="204"/>
        <w:rPr>
          <w:sz w:val="24"/>
        </w:rPr>
      </w:pPr>
      <w:r>
        <w:rPr>
          <w:sz w:val="24"/>
        </w:rPr>
        <w:t>All rough-in inspections</w:t>
      </w:r>
      <w:r>
        <w:rPr>
          <w:spacing w:val="-4"/>
          <w:sz w:val="24"/>
        </w:rPr>
        <w:t xml:space="preserve"> </w:t>
      </w:r>
      <w:r>
        <w:rPr>
          <w:sz w:val="24"/>
        </w:rPr>
        <w:t>completed</w:t>
      </w:r>
    </w:p>
    <w:p w14:paraId="0DFF5681" w14:textId="77777777" w:rsidR="00E9711A" w:rsidRDefault="00000000">
      <w:pPr>
        <w:pStyle w:val="ListParagraph"/>
        <w:numPr>
          <w:ilvl w:val="0"/>
          <w:numId w:val="2"/>
        </w:numPr>
        <w:tabs>
          <w:tab w:val="left" w:pos="820"/>
        </w:tabs>
        <w:rPr>
          <w:sz w:val="24"/>
        </w:rPr>
      </w:pPr>
      <w:r>
        <w:rPr>
          <w:sz w:val="24"/>
        </w:rPr>
        <w:t>Sheetrock must be hung in entire</w:t>
      </w:r>
      <w:r>
        <w:rPr>
          <w:spacing w:val="-7"/>
          <w:sz w:val="24"/>
        </w:rPr>
        <w:t xml:space="preserve"> </w:t>
      </w:r>
      <w:r>
        <w:rPr>
          <w:sz w:val="24"/>
        </w:rPr>
        <w:t>structure.</w:t>
      </w:r>
    </w:p>
    <w:p w14:paraId="17A64D89" w14:textId="77777777" w:rsidR="00E9711A" w:rsidRDefault="00000000">
      <w:pPr>
        <w:pStyle w:val="ListParagraph"/>
        <w:numPr>
          <w:ilvl w:val="0"/>
          <w:numId w:val="2"/>
        </w:numPr>
        <w:tabs>
          <w:tab w:val="left" w:pos="820"/>
        </w:tabs>
        <w:rPr>
          <w:sz w:val="24"/>
        </w:rPr>
      </w:pPr>
      <w:r>
        <w:rPr>
          <w:sz w:val="24"/>
        </w:rPr>
        <w:t>Permanent service must be</w:t>
      </w:r>
      <w:r>
        <w:rPr>
          <w:spacing w:val="-1"/>
          <w:sz w:val="24"/>
        </w:rPr>
        <w:t xml:space="preserve"> </w:t>
      </w:r>
      <w:r>
        <w:rPr>
          <w:sz w:val="24"/>
        </w:rPr>
        <w:t>installed.</w:t>
      </w:r>
    </w:p>
    <w:p w14:paraId="61F93CDC" w14:textId="77777777" w:rsidR="00E9711A" w:rsidRDefault="00000000">
      <w:pPr>
        <w:pStyle w:val="ListParagraph"/>
        <w:numPr>
          <w:ilvl w:val="0"/>
          <w:numId w:val="2"/>
        </w:numPr>
        <w:tabs>
          <w:tab w:val="left" w:pos="820"/>
        </w:tabs>
        <w:rPr>
          <w:sz w:val="24"/>
        </w:rPr>
      </w:pPr>
      <w:r>
        <w:rPr>
          <w:sz w:val="24"/>
        </w:rPr>
        <w:t xml:space="preserve">A minimum of one </w:t>
      </w:r>
      <w:proofErr w:type="gramStart"/>
      <w:r>
        <w:rPr>
          <w:sz w:val="24"/>
        </w:rPr>
        <w:t>110 volt</w:t>
      </w:r>
      <w:proofErr w:type="gramEnd"/>
      <w:r>
        <w:rPr>
          <w:sz w:val="24"/>
        </w:rPr>
        <w:t xml:space="preserve"> GFCI circuit installed with cover (kitchen, bathrooms, garage,</w:t>
      </w:r>
      <w:r>
        <w:rPr>
          <w:spacing w:val="-9"/>
          <w:sz w:val="24"/>
        </w:rPr>
        <w:t xml:space="preserve"> </w:t>
      </w:r>
      <w:r>
        <w:rPr>
          <w:sz w:val="24"/>
        </w:rPr>
        <w:t>etc.)</w:t>
      </w:r>
    </w:p>
    <w:p w14:paraId="31A0B7B0" w14:textId="77777777" w:rsidR="00E9711A" w:rsidRDefault="00000000">
      <w:pPr>
        <w:pStyle w:val="ListParagraph"/>
        <w:numPr>
          <w:ilvl w:val="0"/>
          <w:numId w:val="2"/>
        </w:numPr>
        <w:tabs>
          <w:tab w:val="left" w:pos="820"/>
        </w:tabs>
        <w:rPr>
          <w:sz w:val="24"/>
        </w:rPr>
      </w:pPr>
      <w:r>
        <w:rPr>
          <w:sz w:val="24"/>
        </w:rPr>
        <w:t xml:space="preserve">A minimum of one </w:t>
      </w:r>
      <w:proofErr w:type="gramStart"/>
      <w:r>
        <w:rPr>
          <w:sz w:val="24"/>
        </w:rPr>
        <w:t>220 volt</w:t>
      </w:r>
      <w:proofErr w:type="gramEnd"/>
      <w:r>
        <w:rPr>
          <w:sz w:val="24"/>
        </w:rPr>
        <w:t xml:space="preserve"> GFCI circuit installed with cover (dryer,</w:t>
      </w:r>
      <w:r>
        <w:rPr>
          <w:spacing w:val="-9"/>
          <w:sz w:val="24"/>
        </w:rPr>
        <w:t xml:space="preserve"> </w:t>
      </w:r>
      <w:r>
        <w:rPr>
          <w:sz w:val="24"/>
        </w:rPr>
        <w:t>range)</w:t>
      </w:r>
    </w:p>
    <w:p w14:paraId="7DB3A6C3" w14:textId="77777777" w:rsidR="00E9711A" w:rsidRDefault="00000000">
      <w:pPr>
        <w:pStyle w:val="ListParagraph"/>
        <w:numPr>
          <w:ilvl w:val="0"/>
          <w:numId w:val="2"/>
        </w:numPr>
        <w:tabs>
          <w:tab w:val="left" w:pos="820"/>
        </w:tabs>
        <w:rPr>
          <w:sz w:val="24"/>
        </w:rPr>
      </w:pPr>
      <w:r>
        <w:rPr>
          <w:sz w:val="24"/>
        </w:rPr>
        <w:t>HVAC circuit(s) may be installed only if disconnects are in</w:t>
      </w:r>
      <w:r>
        <w:rPr>
          <w:spacing w:val="-2"/>
          <w:sz w:val="24"/>
        </w:rPr>
        <w:t xml:space="preserve"> </w:t>
      </w:r>
      <w:r>
        <w:rPr>
          <w:sz w:val="24"/>
        </w:rPr>
        <w:t>place.</w:t>
      </w:r>
    </w:p>
    <w:p w14:paraId="70118025" w14:textId="77777777" w:rsidR="00E9711A" w:rsidRDefault="00000000">
      <w:pPr>
        <w:pStyle w:val="ListParagraph"/>
        <w:numPr>
          <w:ilvl w:val="0"/>
          <w:numId w:val="2"/>
        </w:numPr>
        <w:tabs>
          <w:tab w:val="left" w:pos="820"/>
        </w:tabs>
        <w:rPr>
          <w:sz w:val="24"/>
        </w:rPr>
      </w:pPr>
      <w:r>
        <w:rPr>
          <w:sz w:val="24"/>
        </w:rPr>
        <w:t>Any one or more of Items 4, 5, &amp; 6 may be</w:t>
      </w:r>
      <w:r>
        <w:rPr>
          <w:spacing w:val="-1"/>
          <w:sz w:val="24"/>
        </w:rPr>
        <w:t xml:space="preserve"> </w:t>
      </w:r>
      <w:r>
        <w:rPr>
          <w:sz w:val="24"/>
        </w:rPr>
        <w:t>used.</w:t>
      </w:r>
    </w:p>
    <w:p w14:paraId="6A6E0EA3" w14:textId="77777777" w:rsidR="00E9711A" w:rsidRDefault="00000000">
      <w:pPr>
        <w:pStyle w:val="ListParagraph"/>
        <w:numPr>
          <w:ilvl w:val="0"/>
          <w:numId w:val="2"/>
        </w:numPr>
        <w:tabs>
          <w:tab w:val="left" w:pos="820"/>
        </w:tabs>
        <w:spacing w:before="206"/>
        <w:ind w:right="216"/>
        <w:rPr>
          <w:sz w:val="24"/>
        </w:rPr>
      </w:pPr>
      <w:r>
        <w:rPr>
          <w:sz w:val="24"/>
        </w:rPr>
        <w:t>Items 4, 5, &amp; 6 are considered the “basics” needed for temporary power. It is encouraged to use any</w:t>
      </w:r>
      <w:r>
        <w:rPr>
          <w:spacing w:val="-28"/>
          <w:sz w:val="24"/>
        </w:rPr>
        <w:t xml:space="preserve"> </w:t>
      </w:r>
      <w:r>
        <w:rPr>
          <w:sz w:val="24"/>
        </w:rPr>
        <w:t>one or more of these basic requirements early in the building stages to expedite structure</w:t>
      </w:r>
      <w:r>
        <w:rPr>
          <w:spacing w:val="-9"/>
          <w:sz w:val="24"/>
        </w:rPr>
        <w:t xml:space="preserve"> </w:t>
      </w:r>
      <w:r>
        <w:rPr>
          <w:sz w:val="24"/>
        </w:rPr>
        <w:t>completion.</w:t>
      </w:r>
    </w:p>
    <w:p w14:paraId="1B348585" w14:textId="77777777" w:rsidR="00E9711A" w:rsidRDefault="00000000">
      <w:pPr>
        <w:pStyle w:val="ListParagraph"/>
        <w:numPr>
          <w:ilvl w:val="0"/>
          <w:numId w:val="2"/>
        </w:numPr>
        <w:tabs>
          <w:tab w:val="left" w:pos="820"/>
        </w:tabs>
        <w:spacing w:before="208"/>
        <w:ind w:right="328"/>
        <w:rPr>
          <w:sz w:val="24"/>
        </w:rPr>
      </w:pPr>
      <w:r>
        <w:rPr>
          <w:sz w:val="24"/>
        </w:rPr>
        <w:t>If all breakers are installed in the panel, all end devices must be in place or “capped off” (taped or wire nuts.)</w:t>
      </w:r>
    </w:p>
    <w:p w14:paraId="48F2EDEC" w14:textId="77777777" w:rsidR="00E9711A" w:rsidRDefault="00000000">
      <w:pPr>
        <w:pStyle w:val="ListParagraph"/>
        <w:numPr>
          <w:ilvl w:val="0"/>
          <w:numId w:val="2"/>
        </w:numPr>
        <w:tabs>
          <w:tab w:val="left" w:pos="820"/>
        </w:tabs>
        <w:spacing w:before="206"/>
        <w:ind w:right="485"/>
        <w:rPr>
          <w:sz w:val="24"/>
        </w:rPr>
      </w:pPr>
      <w:r>
        <w:rPr>
          <w:sz w:val="24"/>
        </w:rPr>
        <w:t xml:space="preserve">Final inspections must be </w:t>
      </w:r>
      <w:proofErr w:type="gramStart"/>
      <w:r>
        <w:rPr>
          <w:sz w:val="24"/>
        </w:rPr>
        <w:t>complete</w:t>
      </w:r>
      <w:proofErr w:type="gramEnd"/>
      <w:r>
        <w:rPr>
          <w:sz w:val="24"/>
        </w:rPr>
        <w:t xml:space="preserve"> and a Certificate of Occupancy issued prior to the structure being furnished &amp;</w:t>
      </w:r>
      <w:r>
        <w:rPr>
          <w:spacing w:val="-2"/>
          <w:sz w:val="24"/>
        </w:rPr>
        <w:t xml:space="preserve"> </w:t>
      </w:r>
      <w:r>
        <w:rPr>
          <w:sz w:val="24"/>
        </w:rPr>
        <w:t>occupied.</w:t>
      </w:r>
    </w:p>
    <w:p w14:paraId="2A9E4FD3" w14:textId="77777777" w:rsidR="00E9711A" w:rsidRDefault="00000000">
      <w:pPr>
        <w:pStyle w:val="Heading1"/>
      </w:pPr>
      <w:r>
        <w:t xml:space="preserve">Temporary Power to a Structure will </w:t>
      </w:r>
      <w:r>
        <w:rPr>
          <w:u w:val="thick"/>
        </w:rPr>
        <w:t>NOT</w:t>
      </w:r>
      <w:r>
        <w:t xml:space="preserve"> be approved if:</w:t>
      </w:r>
    </w:p>
    <w:p w14:paraId="16692A5F" w14:textId="77777777" w:rsidR="00E9711A" w:rsidRDefault="00000000">
      <w:pPr>
        <w:pStyle w:val="ListParagraph"/>
        <w:numPr>
          <w:ilvl w:val="0"/>
          <w:numId w:val="1"/>
        </w:numPr>
        <w:tabs>
          <w:tab w:val="left" w:pos="820"/>
        </w:tabs>
        <w:spacing w:before="204"/>
        <w:rPr>
          <w:sz w:val="24"/>
        </w:rPr>
      </w:pPr>
      <w:r>
        <w:rPr>
          <w:sz w:val="24"/>
        </w:rPr>
        <w:t>Final inspections are already in progress, with</w:t>
      </w:r>
      <w:r>
        <w:rPr>
          <w:spacing w:val="-6"/>
          <w:sz w:val="24"/>
        </w:rPr>
        <w:t xml:space="preserve"> </w:t>
      </w:r>
      <w:r>
        <w:rPr>
          <w:sz w:val="24"/>
        </w:rPr>
        <w:t>exceptions.</w:t>
      </w:r>
    </w:p>
    <w:p w14:paraId="5B8B3462" w14:textId="77777777" w:rsidR="00E9711A" w:rsidRDefault="00000000">
      <w:pPr>
        <w:pStyle w:val="ListParagraph"/>
        <w:numPr>
          <w:ilvl w:val="0"/>
          <w:numId w:val="1"/>
        </w:numPr>
        <w:tabs>
          <w:tab w:val="left" w:pos="820"/>
        </w:tabs>
        <w:spacing w:before="208"/>
        <w:rPr>
          <w:sz w:val="24"/>
        </w:rPr>
      </w:pPr>
      <w:r>
        <w:rPr>
          <w:sz w:val="24"/>
        </w:rPr>
        <w:t>It is determined by the Inspector that the structure is ready for final inspections, with</w:t>
      </w:r>
      <w:r>
        <w:rPr>
          <w:spacing w:val="-19"/>
          <w:sz w:val="24"/>
        </w:rPr>
        <w:t xml:space="preserve"> </w:t>
      </w:r>
      <w:r>
        <w:rPr>
          <w:sz w:val="24"/>
        </w:rPr>
        <w:t>exceptions.</w:t>
      </w:r>
    </w:p>
    <w:p w14:paraId="06658473" w14:textId="77777777" w:rsidR="00E9711A" w:rsidRDefault="00000000">
      <w:pPr>
        <w:pStyle w:val="ListParagraph"/>
        <w:numPr>
          <w:ilvl w:val="0"/>
          <w:numId w:val="1"/>
        </w:numPr>
        <w:tabs>
          <w:tab w:val="left" w:pos="820"/>
        </w:tabs>
        <w:spacing w:before="206"/>
        <w:ind w:left="865" w:right="565" w:hanging="360"/>
        <w:rPr>
          <w:sz w:val="24"/>
        </w:rPr>
      </w:pPr>
      <w:r>
        <w:rPr>
          <w:sz w:val="24"/>
        </w:rPr>
        <w:t>The Contractor / Builder of record is on suspension for allowing early occupancy of structure before final inspections are</w:t>
      </w:r>
      <w:r>
        <w:rPr>
          <w:spacing w:val="-3"/>
          <w:sz w:val="24"/>
        </w:rPr>
        <w:t xml:space="preserve"> </w:t>
      </w:r>
      <w:r>
        <w:rPr>
          <w:sz w:val="24"/>
        </w:rPr>
        <w:t>completed.</w:t>
      </w:r>
    </w:p>
    <w:p w14:paraId="7F96D204" w14:textId="77777777" w:rsidR="00E9711A" w:rsidRDefault="00000000">
      <w:pPr>
        <w:pStyle w:val="ListParagraph"/>
        <w:numPr>
          <w:ilvl w:val="0"/>
          <w:numId w:val="1"/>
        </w:numPr>
        <w:tabs>
          <w:tab w:val="left" w:pos="820"/>
        </w:tabs>
        <w:spacing w:before="208"/>
        <w:rPr>
          <w:sz w:val="24"/>
        </w:rPr>
      </w:pPr>
      <w:r>
        <w:rPr>
          <w:sz w:val="24"/>
        </w:rPr>
        <w:t xml:space="preserve">Due to the simplicity in obtaining temporary power, a maximum of </w:t>
      </w:r>
      <w:r>
        <w:rPr>
          <w:b/>
          <w:sz w:val="24"/>
          <w:u w:val="thick"/>
        </w:rPr>
        <w:t>two</w:t>
      </w:r>
      <w:r>
        <w:rPr>
          <w:b/>
          <w:sz w:val="24"/>
        </w:rPr>
        <w:t xml:space="preserve"> </w:t>
      </w:r>
      <w:r>
        <w:rPr>
          <w:sz w:val="24"/>
        </w:rPr>
        <w:t>inspections will be</w:t>
      </w:r>
      <w:r>
        <w:rPr>
          <w:spacing w:val="-16"/>
          <w:sz w:val="24"/>
        </w:rPr>
        <w:t xml:space="preserve"> </w:t>
      </w:r>
      <w:r>
        <w:rPr>
          <w:sz w:val="24"/>
        </w:rPr>
        <w:t>performed.</w:t>
      </w:r>
    </w:p>
    <w:p w14:paraId="5803E407" w14:textId="77777777" w:rsidR="00E9711A" w:rsidRDefault="00000000">
      <w:pPr>
        <w:pStyle w:val="ListParagraph"/>
        <w:numPr>
          <w:ilvl w:val="0"/>
          <w:numId w:val="1"/>
        </w:numPr>
        <w:tabs>
          <w:tab w:val="left" w:pos="820"/>
        </w:tabs>
        <w:ind w:left="865" w:right="746" w:hanging="360"/>
        <w:rPr>
          <w:sz w:val="24"/>
        </w:rPr>
      </w:pPr>
      <w:r>
        <w:rPr>
          <w:sz w:val="24"/>
        </w:rPr>
        <w:t>Only residential (inhabited) and commercial / business structures will be considered for temporary power.</w:t>
      </w:r>
    </w:p>
    <w:p w14:paraId="284FD50F" w14:textId="77777777" w:rsidR="00E9711A" w:rsidRDefault="00000000">
      <w:pPr>
        <w:pStyle w:val="Heading1"/>
        <w:ind w:right="117"/>
      </w:pPr>
      <w:r>
        <w:t xml:space="preserve">Early occupancy before final inspections </w:t>
      </w:r>
      <w:proofErr w:type="gramStart"/>
      <w:r>
        <w:t>are</w:t>
      </w:r>
      <w:proofErr w:type="gramEnd"/>
      <w:r>
        <w:t xml:space="preserve"> completed </w:t>
      </w:r>
      <w:r>
        <w:rPr>
          <w:u w:val="thick"/>
        </w:rPr>
        <w:t xml:space="preserve">will </w:t>
      </w:r>
      <w:r>
        <w:t xml:space="preserve">result in suspension &amp; forfeiture of temporary power for one (1) year. Early occupancy </w:t>
      </w:r>
      <w:r>
        <w:rPr>
          <w:u w:val="thick"/>
        </w:rPr>
        <w:t>can</w:t>
      </w:r>
      <w:r>
        <w:t xml:space="preserve"> result in the disconnection of power to the structure until </w:t>
      </w:r>
      <w:r>
        <w:rPr>
          <w:u w:val="thick"/>
        </w:rPr>
        <w:t>all</w:t>
      </w:r>
      <w:r>
        <w:t xml:space="preserve"> final inspections are complete and the Certificate of Occupancy is issued.</w:t>
      </w:r>
    </w:p>
    <w:p w14:paraId="19AD653C" w14:textId="77777777" w:rsidR="00E9711A" w:rsidRDefault="00000000">
      <w:pPr>
        <w:spacing w:before="206"/>
        <w:ind w:left="100" w:right="116"/>
        <w:jc w:val="both"/>
        <w:rPr>
          <w:b/>
          <w:sz w:val="24"/>
        </w:rPr>
      </w:pPr>
      <w:r>
        <w:rPr>
          <w:b/>
          <w:sz w:val="24"/>
          <w:u w:val="thick"/>
        </w:rPr>
        <w:t>Any violation in the requirements listed above or in the Temporary Electrical Service Agreement</w:t>
      </w:r>
      <w:r>
        <w:rPr>
          <w:b/>
          <w:sz w:val="24"/>
        </w:rPr>
        <w:t xml:space="preserve"> </w:t>
      </w:r>
      <w:r>
        <w:rPr>
          <w:b/>
          <w:sz w:val="24"/>
          <w:u w:val="thick"/>
        </w:rPr>
        <w:t>contract may result in the forfeiture of temporary power for one (1)</w:t>
      </w:r>
      <w:r>
        <w:rPr>
          <w:b/>
          <w:spacing w:val="-6"/>
          <w:sz w:val="24"/>
          <w:u w:val="thick"/>
        </w:rPr>
        <w:t xml:space="preserve"> </w:t>
      </w:r>
      <w:r>
        <w:rPr>
          <w:b/>
          <w:sz w:val="24"/>
          <w:u w:val="thick"/>
        </w:rPr>
        <w:t>year.</w:t>
      </w:r>
    </w:p>
    <w:p w14:paraId="2C117EE6" w14:textId="77777777" w:rsidR="00E9711A" w:rsidRDefault="00E9711A">
      <w:pPr>
        <w:pStyle w:val="BodyText"/>
        <w:rPr>
          <w:b/>
          <w:sz w:val="16"/>
        </w:rPr>
      </w:pPr>
    </w:p>
    <w:p w14:paraId="363DF7B3" w14:textId="77777777" w:rsidR="00E9711A" w:rsidRDefault="00000000">
      <w:pPr>
        <w:pStyle w:val="BodyText"/>
        <w:tabs>
          <w:tab w:val="left" w:pos="2424"/>
          <w:tab w:val="left" w:pos="7540"/>
          <w:tab w:val="left" w:pos="8641"/>
        </w:tabs>
        <w:spacing w:before="90"/>
        <w:ind w:left="820"/>
      </w:pPr>
      <w:r>
        <w:t>This</w:t>
      </w:r>
      <w:r>
        <w:rPr>
          <w:u w:val="single"/>
        </w:rPr>
        <w:t xml:space="preserve"> </w:t>
      </w:r>
      <w:r>
        <w:rPr>
          <w:u w:val="single"/>
        </w:rPr>
        <w:tab/>
      </w:r>
      <w:r>
        <w:t>day of</w:t>
      </w:r>
      <w:r>
        <w:rPr>
          <w:u w:val="single"/>
        </w:rPr>
        <w:t xml:space="preserve"> </w:t>
      </w:r>
      <w:r>
        <w:rPr>
          <w:u w:val="single"/>
        </w:rPr>
        <w:tab/>
      </w:r>
      <w:r>
        <w:t>,</w:t>
      </w:r>
      <w:r>
        <w:rPr>
          <w:spacing w:val="-2"/>
        </w:rPr>
        <w:t xml:space="preserve"> </w:t>
      </w:r>
      <w:r>
        <w:t>20</w:t>
      </w:r>
      <w:r>
        <w:rPr>
          <w:u w:val="single"/>
        </w:rPr>
        <w:t xml:space="preserve"> </w:t>
      </w:r>
      <w:r>
        <w:rPr>
          <w:u w:val="single"/>
        </w:rPr>
        <w:tab/>
      </w:r>
    </w:p>
    <w:p w14:paraId="02546612" w14:textId="77777777" w:rsidR="00E9711A" w:rsidRDefault="00E9711A">
      <w:pPr>
        <w:pStyle w:val="BodyText"/>
        <w:rPr>
          <w:sz w:val="20"/>
        </w:rPr>
      </w:pPr>
    </w:p>
    <w:p w14:paraId="7ADC846C" w14:textId="77777777" w:rsidR="00E9711A" w:rsidRDefault="00E9711A">
      <w:pPr>
        <w:pStyle w:val="BodyText"/>
        <w:rPr>
          <w:sz w:val="20"/>
        </w:rPr>
      </w:pPr>
    </w:p>
    <w:p w14:paraId="78D112CD" w14:textId="77777777" w:rsidR="00E9711A" w:rsidRDefault="00E9711A">
      <w:pPr>
        <w:pStyle w:val="BodyText"/>
        <w:rPr>
          <w:sz w:val="20"/>
        </w:rPr>
      </w:pPr>
    </w:p>
    <w:p w14:paraId="07CB4514" w14:textId="77777777" w:rsidR="00E9711A" w:rsidRDefault="00000000">
      <w:pPr>
        <w:pStyle w:val="BodyText"/>
        <w:spacing w:before="9"/>
        <w:rPr>
          <w:sz w:val="23"/>
        </w:rPr>
      </w:pPr>
      <w:r>
        <w:pict w14:anchorId="2DFECCE2">
          <v:shape id="_x0000_s1028" style="position:absolute;margin-left:54pt;margin-top:15.9pt;width:159.5pt;height:.1pt;z-index:-15726592;mso-wrap-distance-left:0;mso-wrap-distance-right:0;mso-position-horizontal-relative:page" coordorigin="1080,318" coordsize="3190,0" path="m1080,318r3190,e" filled="f" strokeweight=".15494mm">
            <v:path arrowok="t"/>
            <w10:wrap type="topAndBottom" anchorx="page"/>
          </v:shape>
        </w:pict>
      </w:r>
      <w:r>
        <w:pict w14:anchorId="2306C1FF">
          <v:shape id="_x0000_s1027" style="position:absolute;margin-left:229.95pt;margin-top:15.9pt;width:148.5pt;height:.1pt;z-index:-15726080;mso-wrap-distance-left:0;mso-wrap-distance-right:0;mso-position-horizontal-relative:page" coordorigin="4599,318" coordsize="2970,0" path="m4599,318r2969,e" filled="f" strokeweight=".15494mm">
            <v:path arrowok="t"/>
            <w10:wrap type="topAndBottom" anchorx="page"/>
          </v:shape>
        </w:pict>
      </w:r>
      <w:r>
        <w:pict w14:anchorId="554D2532">
          <v:shape id="_x0000_s1026" style="position:absolute;margin-left:408.6pt;margin-top:15.9pt;width:137.45pt;height:.1pt;z-index:-15725568;mso-wrap-distance-left:0;mso-wrap-distance-right:0;mso-position-horizontal-relative:page" coordorigin="8172,318" coordsize="2749,0" path="m8172,318r2748,e" filled="f" strokeweight=".15494mm">
            <v:path arrowok="t"/>
            <w10:wrap type="topAndBottom" anchorx="page"/>
          </v:shape>
        </w:pict>
      </w:r>
    </w:p>
    <w:p w14:paraId="1C25B475" w14:textId="77777777" w:rsidR="00E9711A" w:rsidRDefault="00000000">
      <w:pPr>
        <w:pStyle w:val="BodyText"/>
        <w:tabs>
          <w:tab w:val="left" w:pos="3976"/>
          <w:tab w:val="left" w:pos="7548"/>
        </w:tabs>
        <w:spacing w:line="224" w:lineRule="exact"/>
        <w:ind w:left="460"/>
      </w:pPr>
      <w:r>
        <w:t>Homeowner /</w:t>
      </w:r>
      <w:r>
        <w:rPr>
          <w:spacing w:val="-3"/>
        </w:rPr>
        <w:t xml:space="preserve"> </w:t>
      </w:r>
      <w:r>
        <w:t>General</w:t>
      </w:r>
      <w:r>
        <w:rPr>
          <w:spacing w:val="-2"/>
        </w:rPr>
        <w:t xml:space="preserve"> </w:t>
      </w:r>
      <w:r>
        <w:t>Contractor</w:t>
      </w:r>
      <w:r>
        <w:tab/>
        <w:t>Licensed Electrical</w:t>
      </w:r>
      <w:r>
        <w:rPr>
          <w:spacing w:val="-1"/>
        </w:rPr>
        <w:t xml:space="preserve"> </w:t>
      </w:r>
      <w:r>
        <w:t>Contractor</w:t>
      </w:r>
      <w:r>
        <w:tab/>
        <w:t>Director or</w:t>
      </w:r>
      <w:r>
        <w:rPr>
          <w:spacing w:val="-1"/>
        </w:rPr>
        <w:t xml:space="preserve"> </w:t>
      </w:r>
      <w:r>
        <w:t>Designee</w:t>
      </w:r>
    </w:p>
    <w:sectPr w:rsidR="00E9711A">
      <w:pgSz w:w="12240" w:h="15840"/>
      <w:pgMar w:top="6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6EFD"/>
    <w:multiLevelType w:val="hybridMultilevel"/>
    <w:tmpl w:val="6F3AA246"/>
    <w:lvl w:ilvl="0" w:tplc="F66A05C0">
      <w:start w:val="1"/>
      <w:numFmt w:val="decimal"/>
      <w:lvlText w:val="%1."/>
      <w:lvlJc w:val="left"/>
      <w:pPr>
        <w:ind w:left="820" w:hanging="315"/>
        <w:jc w:val="left"/>
      </w:pPr>
      <w:rPr>
        <w:rFonts w:ascii="Times New Roman" w:eastAsia="Times New Roman" w:hAnsi="Times New Roman" w:cs="Times New Roman" w:hint="default"/>
        <w:w w:val="100"/>
        <w:sz w:val="24"/>
        <w:szCs w:val="24"/>
      </w:rPr>
    </w:lvl>
    <w:lvl w:ilvl="1" w:tplc="CF348A38">
      <w:numFmt w:val="bullet"/>
      <w:lvlText w:val="•"/>
      <w:lvlJc w:val="left"/>
      <w:pPr>
        <w:ind w:left="1840" w:hanging="315"/>
      </w:pPr>
      <w:rPr>
        <w:rFonts w:hint="default"/>
      </w:rPr>
    </w:lvl>
    <w:lvl w:ilvl="2" w:tplc="01602CF6">
      <w:numFmt w:val="bullet"/>
      <w:lvlText w:val="•"/>
      <w:lvlJc w:val="left"/>
      <w:pPr>
        <w:ind w:left="2860" w:hanging="315"/>
      </w:pPr>
      <w:rPr>
        <w:rFonts w:hint="default"/>
      </w:rPr>
    </w:lvl>
    <w:lvl w:ilvl="3" w:tplc="5F940DAA">
      <w:numFmt w:val="bullet"/>
      <w:lvlText w:val="•"/>
      <w:lvlJc w:val="left"/>
      <w:pPr>
        <w:ind w:left="3880" w:hanging="315"/>
      </w:pPr>
      <w:rPr>
        <w:rFonts w:hint="default"/>
      </w:rPr>
    </w:lvl>
    <w:lvl w:ilvl="4" w:tplc="802EEFCE">
      <w:numFmt w:val="bullet"/>
      <w:lvlText w:val="•"/>
      <w:lvlJc w:val="left"/>
      <w:pPr>
        <w:ind w:left="4900" w:hanging="315"/>
      </w:pPr>
      <w:rPr>
        <w:rFonts w:hint="default"/>
      </w:rPr>
    </w:lvl>
    <w:lvl w:ilvl="5" w:tplc="4B14B4F8">
      <w:numFmt w:val="bullet"/>
      <w:lvlText w:val="•"/>
      <w:lvlJc w:val="left"/>
      <w:pPr>
        <w:ind w:left="5920" w:hanging="315"/>
      </w:pPr>
      <w:rPr>
        <w:rFonts w:hint="default"/>
      </w:rPr>
    </w:lvl>
    <w:lvl w:ilvl="6" w:tplc="4314D954">
      <w:numFmt w:val="bullet"/>
      <w:lvlText w:val="•"/>
      <w:lvlJc w:val="left"/>
      <w:pPr>
        <w:ind w:left="6940" w:hanging="315"/>
      </w:pPr>
      <w:rPr>
        <w:rFonts w:hint="default"/>
      </w:rPr>
    </w:lvl>
    <w:lvl w:ilvl="7" w:tplc="F746C736">
      <w:numFmt w:val="bullet"/>
      <w:lvlText w:val="•"/>
      <w:lvlJc w:val="left"/>
      <w:pPr>
        <w:ind w:left="7960" w:hanging="315"/>
      </w:pPr>
      <w:rPr>
        <w:rFonts w:hint="default"/>
      </w:rPr>
    </w:lvl>
    <w:lvl w:ilvl="8" w:tplc="199E40AA">
      <w:numFmt w:val="bullet"/>
      <w:lvlText w:val="•"/>
      <w:lvlJc w:val="left"/>
      <w:pPr>
        <w:ind w:left="8980" w:hanging="315"/>
      </w:pPr>
      <w:rPr>
        <w:rFonts w:hint="default"/>
      </w:rPr>
    </w:lvl>
  </w:abstractNum>
  <w:abstractNum w:abstractNumId="1" w15:restartNumberingAfterBreak="0">
    <w:nsid w:val="2FA32BDB"/>
    <w:multiLevelType w:val="hybridMultilevel"/>
    <w:tmpl w:val="68E829CE"/>
    <w:lvl w:ilvl="0" w:tplc="0F5CC188">
      <w:start w:val="1"/>
      <w:numFmt w:val="decimal"/>
      <w:lvlText w:val="%1."/>
      <w:lvlJc w:val="left"/>
      <w:pPr>
        <w:ind w:left="1107" w:hanging="360"/>
        <w:jc w:val="left"/>
      </w:pPr>
      <w:rPr>
        <w:rFonts w:ascii="Times New Roman" w:eastAsia="Times New Roman" w:hAnsi="Times New Roman" w:cs="Times New Roman" w:hint="default"/>
        <w:w w:val="99"/>
        <w:sz w:val="22"/>
        <w:szCs w:val="22"/>
      </w:rPr>
    </w:lvl>
    <w:lvl w:ilvl="1" w:tplc="FA08A8F4">
      <w:numFmt w:val="bullet"/>
      <w:lvlText w:val="•"/>
      <w:lvlJc w:val="left"/>
      <w:pPr>
        <w:ind w:left="2092" w:hanging="360"/>
      </w:pPr>
      <w:rPr>
        <w:rFonts w:hint="default"/>
      </w:rPr>
    </w:lvl>
    <w:lvl w:ilvl="2" w:tplc="1C0200C6">
      <w:numFmt w:val="bullet"/>
      <w:lvlText w:val="•"/>
      <w:lvlJc w:val="left"/>
      <w:pPr>
        <w:ind w:left="3084" w:hanging="360"/>
      </w:pPr>
      <w:rPr>
        <w:rFonts w:hint="default"/>
      </w:rPr>
    </w:lvl>
    <w:lvl w:ilvl="3" w:tplc="15E070AA">
      <w:numFmt w:val="bullet"/>
      <w:lvlText w:val="•"/>
      <w:lvlJc w:val="left"/>
      <w:pPr>
        <w:ind w:left="4076" w:hanging="360"/>
      </w:pPr>
      <w:rPr>
        <w:rFonts w:hint="default"/>
      </w:rPr>
    </w:lvl>
    <w:lvl w:ilvl="4" w:tplc="84321266">
      <w:numFmt w:val="bullet"/>
      <w:lvlText w:val="•"/>
      <w:lvlJc w:val="left"/>
      <w:pPr>
        <w:ind w:left="5068" w:hanging="360"/>
      </w:pPr>
      <w:rPr>
        <w:rFonts w:hint="default"/>
      </w:rPr>
    </w:lvl>
    <w:lvl w:ilvl="5" w:tplc="43961CDA">
      <w:numFmt w:val="bullet"/>
      <w:lvlText w:val="•"/>
      <w:lvlJc w:val="left"/>
      <w:pPr>
        <w:ind w:left="6060" w:hanging="360"/>
      </w:pPr>
      <w:rPr>
        <w:rFonts w:hint="default"/>
      </w:rPr>
    </w:lvl>
    <w:lvl w:ilvl="6" w:tplc="1A020970">
      <w:numFmt w:val="bullet"/>
      <w:lvlText w:val="•"/>
      <w:lvlJc w:val="left"/>
      <w:pPr>
        <w:ind w:left="7052" w:hanging="360"/>
      </w:pPr>
      <w:rPr>
        <w:rFonts w:hint="default"/>
      </w:rPr>
    </w:lvl>
    <w:lvl w:ilvl="7" w:tplc="66AE92F0">
      <w:numFmt w:val="bullet"/>
      <w:lvlText w:val="•"/>
      <w:lvlJc w:val="left"/>
      <w:pPr>
        <w:ind w:left="8044" w:hanging="360"/>
      </w:pPr>
      <w:rPr>
        <w:rFonts w:hint="default"/>
      </w:rPr>
    </w:lvl>
    <w:lvl w:ilvl="8" w:tplc="955EE616">
      <w:numFmt w:val="bullet"/>
      <w:lvlText w:val="•"/>
      <w:lvlJc w:val="left"/>
      <w:pPr>
        <w:ind w:left="9036" w:hanging="360"/>
      </w:pPr>
      <w:rPr>
        <w:rFonts w:hint="default"/>
      </w:rPr>
    </w:lvl>
  </w:abstractNum>
  <w:abstractNum w:abstractNumId="2" w15:restartNumberingAfterBreak="0">
    <w:nsid w:val="59B83AA9"/>
    <w:multiLevelType w:val="hybridMultilevel"/>
    <w:tmpl w:val="51DE1FEA"/>
    <w:lvl w:ilvl="0" w:tplc="9FD06D1A">
      <w:start w:val="1"/>
      <w:numFmt w:val="decimal"/>
      <w:lvlText w:val="%1."/>
      <w:lvlJc w:val="left"/>
      <w:pPr>
        <w:ind w:left="820" w:hanging="360"/>
        <w:jc w:val="left"/>
      </w:pPr>
      <w:rPr>
        <w:rFonts w:ascii="Times New Roman" w:eastAsia="Times New Roman" w:hAnsi="Times New Roman" w:cs="Times New Roman" w:hint="default"/>
        <w:w w:val="100"/>
        <w:sz w:val="24"/>
        <w:szCs w:val="24"/>
      </w:rPr>
    </w:lvl>
    <w:lvl w:ilvl="1" w:tplc="F166843C">
      <w:numFmt w:val="bullet"/>
      <w:lvlText w:val="•"/>
      <w:lvlJc w:val="left"/>
      <w:pPr>
        <w:ind w:left="1840" w:hanging="360"/>
      </w:pPr>
      <w:rPr>
        <w:rFonts w:hint="default"/>
      </w:rPr>
    </w:lvl>
    <w:lvl w:ilvl="2" w:tplc="9BAA4892">
      <w:numFmt w:val="bullet"/>
      <w:lvlText w:val="•"/>
      <w:lvlJc w:val="left"/>
      <w:pPr>
        <w:ind w:left="2860" w:hanging="360"/>
      </w:pPr>
      <w:rPr>
        <w:rFonts w:hint="default"/>
      </w:rPr>
    </w:lvl>
    <w:lvl w:ilvl="3" w:tplc="97D2FAB4">
      <w:numFmt w:val="bullet"/>
      <w:lvlText w:val="•"/>
      <w:lvlJc w:val="left"/>
      <w:pPr>
        <w:ind w:left="3880" w:hanging="360"/>
      </w:pPr>
      <w:rPr>
        <w:rFonts w:hint="default"/>
      </w:rPr>
    </w:lvl>
    <w:lvl w:ilvl="4" w:tplc="515A3B0E">
      <w:numFmt w:val="bullet"/>
      <w:lvlText w:val="•"/>
      <w:lvlJc w:val="left"/>
      <w:pPr>
        <w:ind w:left="4900" w:hanging="360"/>
      </w:pPr>
      <w:rPr>
        <w:rFonts w:hint="default"/>
      </w:rPr>
    </w:lvl>
    <w:lvl w:ilvl="5" w:tplc="DB04A8B4">
      <w:numFmt w:val="bullet"/>
      <w:lvlText w:val="•"/>
      <w:lvlJc w:val="left"/>
      <w:pPr>
        <w:ind w:left="5920" w:hanging="360"/>
      </w:pPr>
      <w:rPr>
        <w:rFonts w:hint="default"/>
      </w:rPr>
    </w:lvl>
    <w:lvl w:ilvl="6" w:tplc="B5D8A9E4">
      <w:numFmt w:val="bullet"/>
      <w:lvlText w:val="•"/>
      <w:lvlJc w:val="left"/>
      <w:pPr>
        <w:ind w:left="6940" w:hanging="360"/>
      </w:pPr>
      <w:rPr>
        <w:rFonts w:hint="default"/>
      </w:rPr>
    </w:lvl>
    <w:lvl w:ilvl="7" w:tplc="34B09344">
      <w:numFmt w:val="bullet"/>
      <w:lvlText w:val="•"/>
      <w:lvlJc w:val="left"/>
      <w:pPr>
        <w:ind w:left="7960" w:hanging="360"/>
      </w:pPr>
      <w:rPr>
        <w:rFonts w:hint="default"/>
      </w:rPr>
    </w:lvl>
    <w:lvl w:ilvl="8" w:tplc="FC92387E">
      <w:numFmt w:val="bullet"/>
      <w:lvlText w:val="•"/>
      <w:lvlJc w:val="left"/>
      <w:pPr>
        <w:ind w:left="8980" w:hanging="360"/>
      </w:pPr>
      <w:rPr>
        <w:rFonts w:hint="default"/>
      </w:rPr>
    </w:lvl>
  </w:abstractNum>
  <w:num w:numId="1" w16cid:durableId="458570123">
    <w:abstractNumId w:val="0"/>
  </w:num>
  <w:num w:numId="2" w16cid:durableId="1373073057">
    <w:abstractNumId w:val="2"/>
  </w:num>
  <w:num w:numId="3" w16cid:durableId="1803186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9711A"/>
    <w:rsid w:val="00467161"/>
    <w:rsid w:val="00E9711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0A19EB6"/>
  <w15:docId w15:val="{EC93FB9B-BA38-443E-9BA9-301AD85A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0"/>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8"/>
      <w:ind w:left="512" w:right="243"/>
      <w:jc w:val="center"/>
    </w:pPr>
    <w:rPr>
      <w:b/>
      <w:bCs/>
      <w:sz w:val="36"/>
      <w:szCs w:val="36"/>
    </w:rPr>
  </w:style>
  <w:style w:type="paragraph" w:styleId="ListParagraph">
    <w:name w:val="List Paragraph"/>
    <w:basedOn w:val="Normal"/>
    <w:uiPriority w:val="1"/>
    <w:qFormat/>
    <w:pPr>
      <w:spacing w:before="207"/>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803</Words>
  <Characters>4579</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