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59" w:type="dxa"/>
        <w:tblLayout w:type="fixed"/>
        <w:tblCellMar>
          <w:left w:w="0" w:type="dxa"/>
          <w:right w:w="0" w:type="dxa"/>
        </w:tblCellMar>
        <w:tblLook w:val="01E0" w:firstRow="1" w:lastRow="1" w:firstColumn="1" w:lastColumn="1" w:noHBand="0" w:noVBand="0"/>
      </w:tblPr>
      <w:tblGrid>
        <w:gridCol w:w="4360"/>
        <w:gridCol w:w="5488"/>
      </w:tblGrid>
      <w:tr w:rsidR="00CA03B4" w14:paraId="2F4C2678" w14:textId="77777777">
        <w:trPr>
          <w:trHeight w:val="535"/>
        </w:trPr>
        <w:tc>
          <w:tcPr>
            <w:tcW w:w="4360" w:type="dxa"/>
            <w:vMerge w:val="restart"/>
          </w:tcPr>
          <w:p w14:paraId="41F2AFC1" w14:textId="3BB0E5CC" w:rsidR="00CA03B4" w:rsidRDefault="00CA03B4">
            <w:pPr>
              <w:pStyle w:val="TableParagraph"/>
              <w:spacing w:line="240" w:lineRule="auto"/>
              <w:ind w:left="200"/>
              <w:rPr>
                <w:rFonts w:ascii="Times New Roman"/>
                <w:sz w:val="20"/>
              </w:rPr>
            </w:pPr>
          </w:p>
        </w:tc>
        <w:tc>
          <w:tcPr>
            <w:tcW w:w="5488" w:type="dxa"/>
            <w:tcBorders>
              <w:bottom w:val="single" w:sz="2" w:space="0" w:color="000000"/>
            </w:tcBorders>
          </w:tcPr>
          <w:p w14:paraId="164D51E9" w14:textId="77777777" w:rsidR="00CA03B4" w:rsidRDefault="00000000">
            <w:pPr>
              <w:pStyle w:val="TableParagraph"/>
              <w:spacing w:line="398" w:lineRule="exact"/>
              <w:ind w:left="336"/>
              <w:rPr>
                <w:rFonts w:ascii="Calibri"/>
                <w:b/>
                <w:sz w:val="35"/>
              </w:rPr>
            </w:pPr>
            <w:r>
              <w:rPr>
                <w:rFonts w:ascii="Calibri"/>
                <w:b/>
                <w:sz w:val="35"/>
              </w:rPr>
              <w:t>STATEWIDE ELECTRICAL SERVICES</w:t>
            </w:r>
          </w:p>
        </w:tc>
      </w:tr>
      <w:tr w:rsidR="00CA03B4" w14:paraId="7DB50536" w14:textId="77777777">
        <w:trPr>
          <w:trHeight w:val="527"/>
        </w:trPr>
        <w:tc>
          <w:tcPr>
            <w:tcW w:w="4360" w:type="dxa"/>
            <w:vMerge/>
            <w:tcBorders>
              <w:top w:val="nil"/>
            </w:tcBorders>
          </w:tcPr>
          <w:p w14:paraId="176CA6BB" w14:textId="77777777" w:rsidR="00CA03B4" w:rsidRDefault="00CA03B4">
            <w:pPr>
              <w:rPr>
                <w:sz w:val="2"/>
                <w:szCs w:val="2"/>
              </w:rPr>
            </w:pPr>
          </w:p>
        </w:tc>
        <w:tc>
          <w:tcPr>
            <w:tcW w:w="5488" w:type="dxa"/>
            <w:tcBorders>
              <w:top w:val="single" w:sz="2" w:space="0" w:color="000000"/>
              <w:bottom w:val="single" w:sz="2" w:space="0" w:color="000000"/>
            </w:tcBorders>
          </w:tcPr>
          <w:p w14:paraId="3E45254E" w14:textId="77777777" w:rsidR="00CA03B4" w:rsidRDefault="00000000">
            <w:pPr>
              <w:pStyle w:val="TableParagraph"/>
              <w:spacing w:before="44" w:line="240" w:lineRule="auto"/>
              <w:ind w:left="312"/>
              <w:rPr>
                <w:rFonts w:ascii="Calibri"/>
                <w:b/>
                <w:sz w:val="29"/>
              </w:rPr>
            </w:pPr>
            <w:r>
              <w:rPr>
                <w:rFonts w:ascii="Calibri"/>
                <w:b/>
                <w:sz w:val="29"/>
              </w:rPr>
              <w:t>NON</w:t>
            </w:r>
            <w:r>
              <w:rPr>
                <w:rFonts w:ascii="Calibri"/>
                <w:b/>
                <w:sz w:val="36"/>
              </w:rPr>
              <w:t>-</w:t>
            </w:r>
            <w:r>
              <w:rPr>
                <w:rFonts w:ascii="Calibri"/>
                <w:b/>
                <w:sz w:val="29"/>
              </w:rPr>
              <w:t>MANDATORY FOR STATE AGENCIES</w:t>
            </w:r>
          </w:p>
        </w:tc>
      </w:tr>
      <w:tr w:rsidR="00CA03B4" w14:paraId="0AFA46A7" w14:textId="77777777">
        <w:trPr>
          <w:trHeight w:val="787"/>
        </w:trPr>
        <w:tc>
          <w:tcPr>
            <w:tcW w:w="4360" w:type="dxa"/>
            <w:vMerge/>
            <w:tcBorders>
              <w:top w:val="nil"/>
            </w:tcBorders>
          </w:tcPr>
          <w:p w14:paraId="2495EDB1" w14:textId="77777777" w:rsidR="00CA03B4" w:rsidRDefault="00CA03B4">
            <w:pPr>
              <w:rPr>
                <w:sz w:val="2"/>
                <w:szCs w:val="2"/>
              </w:rPr>
            </w:pPr>
          </w:p>
        </w:tc>
        <w:tc>
          <w:tcPr>
            <w:tcW w:w="5488" w:type="dxa"/>
            <w:tcBorders>
              <w:top w:val="single" w:sz="2" w:space="0" w:color="000000"/>
            </w:tcBorders>
          </w:tcPr>
          <w:p w14:paraId="26CC698E" w14:textId="77777777" w:rsidR="00CA03B4" w:rsidRDefault="00000000">
            <w:pPr>
              <w:pStyle w:val="TableParagraph"/>
              <w:spacing w:before="123" w:line="240" w:lineRule="auto"/>
              <w:ind w:left="380"/>
              <w:rPr>
                <w:rFonts w:ascii="Calibri"/>
                <w:b/>
                <w:sz w:val="29"/>
              </w:rPr>
            </w:pPr>
            <w:r>
              <w:rPr>
                <w:rFonts w:ascii="Calibri"/>
                <w:b/>
                <w:sz w:val="29"/>
              </w:rPr>
              <w:t>AVAILABLE TO POLITICAL SUBDIVISIONS</w:t>
            </w:r>
          </w:p>
        </w:tc>
      </w:tr>
    </w:tbl>
    <w:p w14:paraId="3E7534E2" w14:textId="77777777" w:rsidR="00CA03B4" w:rsidRDefault="00CA03B4">
      <w:pPr>
        <w:pStyle w:val="BodyText"/>
        <w:spacing w:before="2"/>
        <w:rPr>
          <w:rFonts w:ascii="Times New Roman"/>
          <w:sz w:val="16"/>
        </w:rPr>
      </w:pPr>
    </w:p>
    <w:p w14:paraId="317A8F21" w14:textId="77777777" w:rsidR="00CA03B4" w:rsidRDefault="00000000">
      <w:pPr>
        <w:pStyle w:val="Heading2"/>
        <w:ind w:left="220" w:right="373"/>
      </w:pPr>
      <w:proofErr w:type="gramStart"/>
      <w:r>
        <w:t xml:space="preserve">The Department of Administration, Office of Procurement </w:t>
      </w:r>
      <w:r>
        <w:rPr>
          <w:spacing w:val="-2"/>
        </w:rPr>
        <w:t xml:space="preserve">and </w:t>
      </w:r>
      <w:r>
        <w:t>Property Management (OPPM),</w:t>
      </w:r>
      <w:proofErr w:type="gramEnd"/>
      <w:r>
        <w:t xml:space="preserve"> has established contracts for electrical services for state-owned and state-leased buildings in each of the defined six zones below for various electrical repairs </w:t>
      </w:r>
      <w:r>
        <w:rPr>
          <w:spacing w:val="-2"/>
        </w:rPr>
        <w:t xml:space="preserve">and </w:t>
      </w:r>
      <w:r>
        <w:t xml:space="preserve">installation services on an as-needed basis. </w:t>
      </w:r>
      <w:r>
        <w:rPr>
          <w:spacing w:val="-3"/>
        </w:rPr>
        <w:t xml:space="preserve">The </w:t>
      </w:r>
      <w:r>
        <w:t xml:space="preserve">contracts are </w:t>
      </w:r>
      <w:r>
        <w:rPr>
          <w:b/>
        </w:rPr>
        <w:t xml:space="preserve">non-mandatory </w:t>
      </w:r>
      <w:r>
        <w:t xml:space="preserve">for all executive branch state agencies. All other State of Alaska governmental entities may purchase from the contracts resulting from this contract such as the Alaska Legislative Branch, the Alaska Court System, the University of Alaska, Boards </w:t>
      </w:r>
      <w:r>
        <w:rPr>
          <w:spacing w:val="-2"/>
        </w:rPr>
        <w:t xml:space="preserve">and </w:t>
      </w:r>
      <w:r>
        <w:t xml:space="preserve">Commissions, </w:t>
      </w:r>
      <w:r>
        <w:rPr>
          <w:spacing w:val="-2"/>
        </w:rPr>
        <w:t xml:space="preserve">and </w:t>
      </w:r>
      <w:r>
        <w:t xml:space="preserve">State of Alaska political subdivisions – cities, </w:t>
      </w:r>
      <w:proofErr w:type="gramStart"/>
      <w:r>
        <w:t>boroughs</w:t>
      </w:r>
      <w:proofErr w:type="gramEnd"/>
      <w:r>
        <w:t xml:space="preserve"> and school</w:t>
      </w:r>
      <w:r>
        <w:rPr>
          <w:spacing w:val="-20"/>
        </w:rPr>
        <w:t xml:space="preserve"> </w:t>
      </w:r>
      <w:r>
        <w:t>districts.</w:t>
      </w:r>
    </w:p>
    <w:p w14:paraId="45D1B456" w14:textId="77777777" w:rsidR="00CA03B4" w:rsidRDefault="00CA03B4">
      <w:pPr>
        <w:pStyle w:val="BodyText"/>
        <w:spacing w:before="10"/>
        <w:rPr>
          <w:rFonts w:ascii="Calibri"/>
          <w:sz w:val="20"/>
        </w:rPr>
      </w:pPr>
    </w:p>
    <w:p w14:paraId="19002ECC" w14:textId="77777777" w:rsidR="00CA03B4" w:rsidRDefault="00000000">
      <w:pPr>
        <w:spacing w:line="280" w:lineRule="exact"/>
        <w:ind w:left="220"/>
        <w:rPr>
          <w:rFonts w:ascii="Calibri"/>
          <w:sz w:val="23"/>
        </w:rPr>
      </w:pPr>
      <w:r>
        <w:rPr>
          <w:rFonts w:ascii="Calibri"/>
          <w:b/>
          <w:sz w:val="23"/>
        </w:rPr>
        <w:t xml:space="preserve">Contract No. </w:t>
      </w:r>
      <w:r>
        <w:rPr>
          <w:rFonts w:ascii="Calibri"/>
          <w:sz w:val="23"/>
        </w:rPr>
        <w:t>MA 180000003</w:t>
      </w:r>
    </w:p>
    <w:p w14:paraId="370FFCA3" w14:textId="77777777" w:rsidR="00CA03B4" w:rsidRDefault="00000000">
      <w:pPr>
        <w:spacing w:line="280" w:lineRule="exact"/>
        <w:ind w:left="219"/>
        <w:rPr>
          <w:rFonts w:ascii="Calibri"/>
          <w:sz w:val="23"/>
        </w:rPr>
      </w:pPr>
      <w:r>
        <w:rPr>
          <w:rFonts w:ascii="Calibri"/>
          <w:b/>
          <w:sz w:val="23"/>
        </w:rPr>
        <w:t xml:space="preserve">Contract Term: </w:t>
      </w:r>
      <w:r>
        <w:rPr>
          <w:rFonts w:ascii="Calibri"/>
          <w:sz w:val="23"/>
        </w:rPr>
        <w:t xml:space="preserve">July 1, </w:t>
      </w:r>
      <w:proofErr w:type="gramStart"/>
      <w:r>
        <w:rPr>
          <w:rFonts w:ascii="Calibri"/>
          <w:sz w:val="23"/>
        </w:rPr>
        <w:t>2021</w:t>
      </w:r>
      <w:proofErr w:type="gramEnd"/>
      <w:r>
        <w:rPr>
          <w:rFonts w:ascii="Calibri"/>
          <w:sz w:val="23"/>
        </w:rPr>
        <w:t xml:space="preserve"> through June 30, 2023</w:t>
      </w:r>
    </w:p>
    <w:p w14:paraId="7B5BB95A" w14:textId="77777777" w:rsidR="00CA03B4" w:rsidRDefault="00000000">
      <w:pPr>
        <w:spacing w:line="280" w:lineRule="exact"/>
        <w:ind w:left="220"/>
        <w:rPr>
          <w:rFonts w:ascii="Calibri"/>
          <w:sz w:val="23"/>
        </w:rPr>
      </w:pPr>
      <w:r>
        <w:rPr>
          <w:rFonts w:ascii="Calibri"/>
          <w:b/>
          <w:sz w:val="23"/>
        </w:rPr>
        <w:t xml:space="preserve">Renewals Remaining: </w:t>
      </w:r>
      <w:r>
        <w:rPr>
          <w:rFonts w:ascii="Calibri"/>
          <w:sz w:val="23"/>
        </w:rPr>
        <w:t>no optional renewals remaining</w:t>
      </w:r>
    </w:p>
    <w:p w14:paraId="08E29E1F" w14:textId="77777777" w:rsidR="00CA03B4" w:rsidRDefault="00CA03B4">
      <w:pPr>
        <w:pStyle w:val="BodyText"/>
        <w:rPr>
          <w:rFonts w:ascii="Calibri"/>
          <w:sz w:val="20"/>
        </w:rPr>
      </w:pPr>
    </w:p>
    <w:p w14:paraId="78D8B871" w14:textId="77777777" w:rsidR="00CA03B4" w:rsidRDefault="00CA03B4">
      <w:pPr>
        <w:pStyle w:val="BodyText"/>
        <w:spacing w:before="10"/>
        <w:rPr>
          <w:rFonts w:ascii="Calibri"/>
          <w:sz w:val="21"/>
        </w:rPr>
      </w:pPr>
    </w:p>
    <w:tbl>
      <w:tblPr>
        <w:tblW w:w="0" w:type="auto"/>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4"/>
        <w:gridCol w:w="1132"/>
        <w:gridCol w:w="1002"/>
        <w:gridCol w:w="1194"/>
        <w:gridCol w:w="1248"/>
        <w:gridCol w:w="1270"/>
        <w:gridCol w:w="1800"/>
      </w:tblGrid>
      <w:tr w:rsidR="00CA03B4" w14:paraId="1BEC3AC9" w14:textId="77777777">
        <w:trPr>
          <w:trHeight w:val="278"/>
        </w:trPr>
        <w:tc>
          <w:tcPr>
            <w:tcW w:w="4568" w:type="dxa"/>
            <w:gridSpan w:val="3"/>
            <w:tcBorders>
              <w:top w:val="nil"/>
              <w:left w:val="nil"/>
              <w:right w:val="single" w:sz="8" w:space="0" w:color="000000"/>
            </w:tcBorders>
          </w:tcPr>
          <w:p w14:paraId="2D28B532" w14:textId="77777777" w:rsidR="00CA03B4" w:rsidRDefault="00CA03B4">
            <w:pPr>
              <w:pStyle w:val="TableParagraph"/>
              <w:spacing w:line="240" w:lineRule="auto"/>
              <w:rPr>
                <w:rFonts w:ascii="Times New Roman"/>
                <w:sz w:val="20"/>
              </w:rPr>
            </w:pPr>
          </w:p>
        </w:tc>
        <w:tc>
          <w:tcPr>
            <w:tcW w:w="3712" w:type="dxa"/>
            <w:gridSpan w:val="3"/>
            <w:tcBorders>
              <w:top w:val="single" w:sz="8" w:space="0" w:color="000000"/>
              <w:left w:val="single" w:sz="8" w:space="0" w:color="000000"/>
              <w:right w:val="single" w:sz="8" w:space="0" w:color="000000"/>
            </w:tcBorders>
            <w:shd w:val="clear" w:color="auto" w:fill="F1F1F1"/>
          </w:tcPr>
          <w:p w14:paraId="0DBC199B" w14:textId="77777777" w:rsidR="00CA03B4" w:rsidRDefault="00000000">
            <w:pPr>
              <w:pStyle w:val="TableParagraph"/>
              <w:spacing w:before="1"/>
              <w:ind w:left="1246"/>
              <w:rPr>
                <w:rFonts w:ascii="Calibri"/>
                <w:b/>
                <w:sz w:val="23"/>
              </w:rPr>
            </w:pPr>
            <w:r>
              <w:rPr>
                <w:rFonts w:ascii="Calibri"/>
                <w:b/>
                <w:sz w:val="23"/>
              </w:rPr>
              <w:t>Hourly Rates</w:t>
            </w:r>
          </w:p>
        </w:tc>
        <w:tc>
          <w:tcPr>
            <w:tcW w:w="1800" w:type="dxa"/>
            <w:tcBorders>
              <w:top w:val="nil"/>
              <w:left w:val="single" w:sz="8" w:space="0" w:color="000000"/>
              <w:right w:val="nil"/>
            </w:tcBorders>
          </w:tcPr>
          <w:p w14:paraId="042F0C01" w14:textId="77777777" w:rsidR="00CA03B4" w:rsidRDefault="00CA03B4">
            <w:pPr>
              <w:pStyle w:val="TableParagraph"/>
              <w:spacing w:line="240" w:lineRule="auto"/>
              <w:rPr>
                <w:rFonts w:ascii="Times New Roman"/>
                <w:sz w:val="20"/>
              </w:rPr>
            </w:pPr>
          </w:p>
        </w:tc>
      </w:tr>
      <w:tr w:rsidR="00CA03B4" w14:paraId="60405CE4" w14:textId="77777777">
        <w:trPr>
          <w:trHeight w:val="841"/>
        </w:trPr>
        <w:tc>
          <w:tcPr>
            <w:tcW w:w="2434" w:type="dxa"/>
            <w:shd w:val="clear" w:color="auto" w:fill="D9D9D9"/>
          </w:tcPr>
          <w:p w14:paraId="5098023E" w14:textId="77777777" w:rsidR="00CA03B4" w:rsidRDefault="00CA03B4">
            <w:pPr>
              <w:pStyle w:val="TableParagraph"/>
              <w:spacing w:before="3" w:line="240" w:lineRule="auto"/>
              <w:rPr>
                <w:rFonts w:ascii="Calibri"/>
                <w:sz w:val="23"/>
              </w:rPr>
            </w:pPr>
          </w:p>
          <w:p w14:paraId="729ADA77" w14:textId="77777777" w:rsidR="00CA03B4" w:rsidRDefault="00000000">
            <w:pPr>
              <w:pStyle w:val="TableParagraph"/>
              <w:spacing w:line="240" w:lineRule="auto"/>
              <w:ind w:left="555"/>
              <w:rPr>
                <w:rFonts w:ascii="Calibri"/>
                <w:b/>
                <w:sz w:val="23"/>
              </w:rPr>
            </w:pPr>
            <w:r>
              <w:rPr>
                <w:rFonts w:ascii="Calibri"/>
                <w:b/>
                <w:sz w:val="23"/>
                <w:u w:val="single"/>
              </w:rPr>
              <w:t>CONTRACTOR</w:t>
            </w:r>
          </w:p>
        </w:tc>
        <w:tc>
          <w:tcPr>
            <w:tcW w:w="1132" w:type="dxa"/>
            <w:shd w:val="clear" w:color="auto" w:fill="D9D9D9"/>
          </w:tcPr>
          <w:p w14:paraId="39BBEE2F" w14:textId="77777777" w:rsidR="00CA03B4" w:rsidRDefault="00CA03B4">
            <w:pPr>
              <w:pStyle w:val="TableParagraph"/>
              <w:spacing w:before="3" w:line="240" w:lineRule="auto"/>
              <w:rPr>
                <w:rFonts w:ascii="Calibri"/>
                <w:sz w:val="23"/>
              </w:rPr>
            </w:pPr>
          </w:p>
          <w:p w14:paraId="79AD4ABA" w14:textId="77777777" w:rsidR="00CA03B4" w:rsidRDefault="00000000">
            <w:pPr>
              <w:pStyle w:val="TableParagraph"/>
              <w:spacing w:line="240" w:lineRule="auto"/>
              <w:ind w:left="87" w:right="75"/>
              <w:jc w:val="center"/>
              <w:rPr>
                <w:rFonts w:ascii="Calibri"/>
                <w:b/>
                <w:sz w:val="23"/>
              </w:rPr>
            </w:pPr>
            <w:r>
              <w:rPr>
                <w:rFonts w:ascii="Calibri"/>
                <w:b/>
                <w:sz w:val="23"/>
                <w:u w:val="single"/>
              </w:rPr>
              <w:t>Zone</w:t>
            </w:r>
          </w:p>
        </w:tc>
        <w:tc>
          <w:tcPr>
            <w:tcW w:w="1002" w:type="dxa"/>
            <w:shd w:val="clear" w:color="auto" w:fill="D9D9D9"/>
          </w:tcPr>
          <w:p w14:paraId="0818B09E" w14:textId="77777777" w:rsidR="00CA03B4" w:rsidRDefault="00CA03B4">
            <w:pPr>
              <w:pStyle w:val="TableParagraph"/>
              <w:spacing w:before="3" w:line="240" w:lineRule="auto"/>
              <w:rPr>
                <w:rFonts w:ascii="Calibri"/>
                <w:sz w:val="23"/>
              </w:rPr>
            </w:pPr>
          </w:p>
          <w:p w14:paraId="363C585E" w14:textId="77777777" w:rsidR="00CA03B4" w:rsidRDefault="00000000">
            <w:pPr>
              <w:pStyle w:val="TableParagraph"/>
              <w:spacing w:line="240" w:lineRule="auto"/>
              <w:ind w:left="104" w:right="81"/>
              <w:jc w:val="center"/>
              <w:rPr>
                <w:rFonts w:ascii="Calibri"/>
                <w:b/>
                <w:sz w:val="23"/>
              </w:rPr>
            </w:pPr>
            <w:r>
              <w:rPr>
                <w:rFonts w:ascii="Calibri"/>
                <w:b/>
                <w:sz w:val="23"/>
                <w:u w:val="single"/>
              </w:rPr>
              <w:t>Ranking</w:t>
            </w:r>
          </w:p>
        </w:tc>
        <w:tc>
          <w:tcPr>
            <w:tcW w:w="1194" w:type="dxa"/>
            <w:shd w:val="clear" w:color="auto" w:fill="D9D9D9"/>
          </w:tcPr>
          <w:p w14:paraId="4416E61D" w14:textId="77777777" w:rsidR="00CA03B4" w:rsidRDefault="00CA03B4">
            <w:pPr>
              <w:pStyle w:val="TableParagraph"/>
              <w:spacing w:before="3" w:line="240" w:lineRule="auto"/>
              <w:rPr>
                <w:rFonts w:ascii="Calibri"/>
                <w:sz w:val="23"/>
              </w:rPr>
            </w:pPr>
          </w:p>
          <w:p w14:paraId="3D86C9D1" w14:textId="77777777" w:rsidR="00CA03B4" w:rsidRDefault="00000000">
            <w:pPr>
              <w:pStyle w:val="TableParagraph"/>
              <w:spacing w:line="240" w:lineRule="auto"/>
              <w:ind w:left="226"/>
              <w:rPr>
                <w:rFonts w:ascii="Calibri"/>
                <w:b/>
                <w:sz w:val="23"/>
              </w:rPr>
            </w:pPr>
            <w:r>
              <w:rPr>
                <w:rFonts w:ascii="Calibri"/>
                <w:b/>
                <w:sz w:val="23"/>
                <w:u w:val="single"/>
              </w:rPr>
              <w:t>Routine</w:t>
            </w:r>
          </w:p>
        </w:tc>
        <w:tc>
          <w:tcPr>
            <w:tcW w:w="1248" w:type="dxa"/>
            <w:shd w:val="clear" w:color="auto" w:fill="D9D9D9"/>
          </w:tcPr>
          <w:p w14:paraId="76F92440" w14:textId="77777777" w:rsidR="00CA03B4" w:rsidRDefault="00CA03B4">
            <w:pPr>
              <w:pStyle w:val="TableParagraph"/>
              <w:spacing w:before="3" w:line="240" w:lineRule="auto"/>
              <w:rPr>
                <w:rFonts w:ascii="Calibri"/>
                <w:sz w:val="23"/>
              </w:rPr>
            </w:pPr>
          </w:p>
          <w:p w14:paraId="4EF09679" w14:textId="77777777" w:rsidR="00CA03B4" w:rsidRDefault="00000000">
            <w:pPr>
              <w:pStyle w:val="TableParagraph"/>
              <w:spacing w:line="240" w:lineRule="auto"/>
              <w:ind w:left="177"/>
              <w:rPr>
                <w:rFonts w:ascii="Calibri"/>
                <w:b/>
                <w:sz w:val="23"/>
              </w:rPr>
            </w:pPr>
            <w:r>
              <w:rPr>
                <w:rFonts w:ascii="Calibri"/>
                <w:b/>
                <w:sz w:val="23"/>
                <w:u w:val="single"/>
              </w:rPr>
              <w:t>Overtime</w:t>
            </w:r>
          </w:p>
        </w:tc>
        <w:tc>
          <w:tcPr>
            <w:tcW w:w="1270" w:type="dxa"/>
            <w:shd w:val="clear" w:color="auto" w:fill="D9D9D9"/>
          </w:tcPr>
          <w:p w14:paraId="7EC97718" w14:textId="77777777" w:rsidR="00CA03B4" w:rsidRDefault="00CA03B4">
            <w:pPr>
              <w:pStyle w:val="TableParagraph"/>
              <w:spacing w:before="3" w:line="240" w:lineRule="auto"/>
              <w:rPr>
                <w:rFonts w:ascii="Calibri"/>
                <w:sz w:val="23"/>
              </w:rPr>
            </w:pPr>
          </w:p>
          <w:p w14:paraId="11EADD71" w14:textId="77777777" w:rsidR="00CA03B4" w:rsidRDefault="00000000">
            <w:pPr>
              <w:pStyle w:val="TableParagraph"/>
              <w:spacing w:line="240" w:lineRule="auto"/>
              <w:ind w:right="91"/>
              <w:jc w:val="right"/>
              <w:rPr>
                <w:rFonts w:ascii="Calibri"/>
                <w:b/>
                <w:sz w:val="23"/>
              </w:rPr>
            </w:pPr>
            <w:r>
              <w:rPr>
                <w:rFonts w:ascii="Calibri"/>
                <w:b/>
                <w:sz w:val="23"/>
                <w:u w:val="single"/>
              </w:rPr>
              <w:t>Emergency</w:t>
            </w:r>
          </w:p>
        </w:tc>
        <w:tc>
          <w:tcPr>
            <w:tcW w:w="1800" w:type="dxa"/>
            <w:shd w:val="clear" w:color="auto" w:fill="D9D9D9"/>
          </w:tcPr>
          <w:p w14:paraId="7A3DE621" w14:textId="77777777" w:rsidR="00CA03B4" w:rsidRDefault="00000000">
            <w:pPr>
              <w:pStyle w:val="TableParagraph"/>
              <w:spacing w:before="4" w:line="240" w:lineRule="auto"/>
              <w:ind w:left="339" w:right="315"/>
              <w:jc w:val="center"/>
              <w:rPr>
                <w:rFonts w:ascii="Calibri"/>
                <w:b/>
                <w:sz w:val="23"/>
              </w:rPr>
            </w:pPr>
            <w:r>
              <w:rPr>
                <w:rFonts w:ascii="Calibri"/>
                <w:b/>
                <w:sz w:val="23"/>
                <w:u w:val="single"/>
              </w:rPr>
              <w:t>Materials %</w:t>
            </w:r>
            <w:r>
              <w:rPr>
                <w:rFonts w:ascii="Calibri"/>
                <w:b/>
                <w:sz w:val="23"/>
              </w:rPr>
              <w:t xml:space="preserve"> </w:t>
            </w:r>
            <w:r>
              <w:rPr>
                <w:rFonts w:ascii="Calibri"/>
                <w:b/>
                <w:sz w:val="23"/>
                <w:u w:val="single"/>
              </w:rPr>
              <w:t>Mark-up or</w:t>
            </w:r>
          </w:p>
          <w:p w14:paraId="33B27507" w14:textId="77777777" w:rsidR="00CA03B4" w:rsidRDefault="00000000">
            <w:pPr>
              <w:pStyle w:val="TableParagraph"/>
              <w:spacing w:line="256" w:lineRule="exact"/>
              <w:ind w:left="339" w:right="311"/>
              <w:jc w:val="center"/>
              <w:rPr>
                <w:rFonts w:ascii="Calibri"/>
                <w:b/>
                <w:sz w:val="23"/>
              </w:rPr>
            </w:pPr>
            <w:r>
              <w:rPr>
                <w:rFonts w:ascii="Calibri"/>
                <w:b/>
                <w:sz w:val="23"/>
                <w:u w:val="single"/>
              </w:rPr>
              <w:t>Discount</w:t>
            </w:r>
          </w:p>
        </w:tc>
      </w:tr>
      <w:tr w:rsidR="00CA03B4" w14:paraId="4A0ACD5C" w14:textId="77777777">
        <w:trPr>
          <w:trHeight w:val="282"/>
        </w:trPr>
        <w:tc>
          <w:tcPr>
            <w:tcW w:w="2434" w:type="dxa"/>
            <w:tcBorders>
              <w:left w:val="single" w:sz="8" w:space="0" w:color="000000"/>
            </w:tcBorders>
          </w:tcPr>
          <w:p w14:paraId="20387E62" w14:textId="77777777" w:rsidR="00CA03B4" w:rsidRDefault="00000000">
            <w:pPr>
              <w:pStyle w:val="TableParagraph"/>
              <w:spacing w:before="4"/>
              <w:ind w:left="110"/>
              <w:rPr>
                <w:rFonts w:ascii="Calibri"/>
                <w:sz w:val="23"/>
              </w:rPr>
            </w:pPr>
            <w:r>
              <w:rPr>
                <w:rFonts w:ascii="Calibri"/>
                <w:sz w:val="23"/>
              </w:rPr>
              <w:t>Chatham Electric</w:t>
            </w:r>
          </w:p>
        </w:tc>
        <w:tc>
          <w:tcPr>
            <w:tcW w:w="1132" w:type="dxa"/>
          </w:tcPr>
          <w:p w14:paraId="32552A21" w14:textId="77777777" w:rsidR="00CA03B4" w:rsidRDefault="00000000">
            <w:pPr>
              <w:pStyle w:val="TableParagraph"/>
              <w:spacing w:before="4"/>
              <w:ind w:left="84" w:right="75"/>
              <w:jc w:val="center"/>
              <w:rPr>
                <w:rFonts w:ascii="Calibri"/>
                <w:sz w:val="23"/>
              </w:rPr>
            </w:pPr>
            <w:r>
              <w:rPr>
                <w:rFonts w:ascii="Calibri"/>
                <w:sz w:val="23"/>
              </w:rPr>
              <w:t>Capital</w:t>
            </w:r>
          </w:p>
        </w:tc>
        <w:tc>
          <w:tcPr>
            <w:tcW w:w="1002" w:type="dxa"/>
            <w:tcBorders>
              <w:right w:val="single" w:sz="8" w:space="0" w:color="000000"/>
            </w:tcBorders>
          </w:tcPr>
          <w:p w14:paraId="083DF421" w14:textId="77777777" w:rsidR="00CA03B4" w:rsidRDefault="00000000">
            <w:pPr>
              <w:pStyle w:val="TableParagraph"/>
              <w:spacing w:before="4"/>
              <w:ind w:left="28"/>
              <w:jc w:val="center"/>
              <w:rPr>
                <w:rFonts w:ascii="Calibri"/>
                <w:sz w:val="23"/>
              </w:rPr>
            </w:pPr>
            <w:r>
              <w:rPr>
                <w:rFonts w:ascii="Calibri"/>
                <w:sz w:val="23"/>
              </w:rPr>
              <w:t>1</w:t>
            </w:r>
          </w:p>
        </w:tc>
        <w:tc>
          <w:tcPr>
            <w:tcW w:w="1194" w:type="dxa"/>
            <w:tcBorders>
              <w:left w:val="single" w:sz="8" w:space="0" w:color="000000"/>
            </w:tcBorders>
          </w:tcPr>
          <w:p w14:paraId="4BCB5C0C" w14:textId="77777777" w:rsidR="00CA03B4" w:rsidRDefault="00000000">
            <w:pPr>
              <w:pStyle w:val="TableParagraph"/>
              <w:spacing w:before="4"/>
              <w:ind w:right="90"/>
              <w:jc w:val="right"/>
              <w:rPr>
                <w:rFonts w:ascii="Calibri"/>
                <w:sz w:val="23"/>
              </w:rPr>
            </w:pPr>
            <w:r>
              <w:rPr>
                <w:rFonts w:ascii="Calibri"/>
                <w:sz w:val="23"/>
              </w:rPr>
              <w:t>$97.35</w:t>
            </w:r>
          </w:p>
        </w:tc>
        <w:tc>
          <w:tcPr>
            <w:tcW w:w="1248" w:type="dxa"/>
          </w:tcPr>
          <w:p w14:paraId="53970BD4" w14:textId="77777777" w:rsidR="00CA03B4" w:rsidRDefault="00000000">
            <w:pPr>
              <w:pStyle w:val="TableParagraph"/>
              <w:spacing w:before="4"/>
              <w:ind w:right="89"/>
              <w:jc w:val="right"/>
              <w:rPr>
                <w:rFonts w:ascii="Calibri"/>
                <w:sz w:val="23"/>
              </w:rPr>
            </w:pPr>
            <w:r>
              <w:rPr>
                <w:rFonts w:ascii="Calibri"/>
                <w:sz w:val="23"/>
              </w:rPr>
              <w:t>$127.35</w:t>
            </w:r>
          </w:p>
        </w:tc>
        <w:tc>
          <w:tcPr>
            <w:tcW w:w="1270" w:type="dxa"/>
            <w:tcBorders>
              <w:right w:val="single" w:sz="8" w:space="0" w:color="000000"/>
            </w:tcBorders>
          </w:tcPr>
          <w:p w14:paraId="64ADAB31" w14:textId="77777777" w:rsidR="00CA03B4" w:rsidRDefault="00000000">
            <w:pPr>
              <w:pStyle w:val="TableParagraph"/>
              <w:spacing w:before="4"/>
              <w:ind w:right="83"/>
              <w:jc w:val="right"/>
              <w:rPr>
                <w:rFonts w:ascii="Calibri"/>
                <w:sz w:val="23"/>
              </w:rPr>
            </w:pPr>
            <w:r>
              <w:rPr>
                <w:rFonts w:ascii="Calibri"/>
                <w:sz w:val="23"/>
              </w:rPr>
              <w:t>$157.35</w:t>
            </w:r>
          </w:p>
        </w:tc>
        <w:tc>
          <w:tcPr>
            <w:tcW w:w="1800" w:type="dxa"/>
            <w:tcBorders>
              <w:left w:val="single" w:sz="8" w:space="0" w:color="000000"/>
              <w:right w:val="single" w:sz="8" w:space="0" w:color="000000"/>
            </w:tcBorders>
          </w:tcPr>
          <w:p w14:paraId="758D5535" w14:textId="77777777" w:rsidR="00CA03B4" w:rsidRDefault="00000000">
            <w:pPr>
              <w:pStyle w:val="TableParagraph"/>
              <w:spacing w:before="4"/>
              <w:ind w:left="621" w:right="601"/>
              <w:jc w:val="center"/>
              <w:rPr>
                <w:rFonts w:ascii="Calibri"/>
                <w:sz w:val="23"/>
              </w:rPr>
            </w:pPr>
            <w:r>
              <w:rPr>
                <w:rFonts w:ascii="Calibri"/>
                <w:sz w:val="23"/>
              </w:rPr>
              <w:t>-20%</w:t>
            </w:r>
          </w:p>
        </w:tc>
      </w:tr>
      <w:tr w:rsidR="00CA03B4" w14:paraId="4F1C520C" w14:textId="77777777">
        <w:trPr>
          <w:trHeight w:val="277"/>
        </w:trPr>
        <w:tc>
          <w:tcPr>
            <w:tcW w:w="2434" w:type="dxa"/>
            <w:tcBorders>
              <w:left w:val="single" w:sz="8" w:space="0" w:color="000000"/>
            </w:tcBorders>
          </w:tcPr>
          <w:p w14:paraId="1B752D0C" w14:textId="77777777" w:rsidR="00CA03B4" w:rsidRDefault="00000000">
            <w:pPr>
              <w:pStyle w:val="TableParagraph"/>
              <w:ind w:left="110"/>
              <w:rPr>
                <w:rFonts w:ascii="Calibri"/>
                <w:sz w:val="23"/>
              </w:rPr>
            </w:pPr>
            <w:r>
              <w:rPr>
                <w:rFonts w:ascii="Calibri"/>
                <w:sz w:val="23"/>
              </w:rPr>
              <w:t>Alcan Electric</w:t>
            </w:r>
          </w:p>
        </w:tc>
        <w:tc>
          <w:tcPr>
            <w:tcW w:w="1132" w:type="dxa"/>
          </w:tcPr>
          <w:p w14:paraId="794DEB0A" w14:textId="77777777" w:rsidR="00CA03B4" w:rsidRDefault="00000000">
            <w:pPr>
              <w:pStyle w:val="TableParagraph"/>
              <w:ind w:left="84" w:right="75"/>
              <w:jc w:val="center"/>
              <w:rPr>
                <w:rFonts w:ascii="Calibri"/>
                <w:sz w:val="23"/>
              </w:rPr>
            </w:pPr>
            <w:r>
              <w:rPr>
                <w:rFonts w:ascii="Calibri"/>
                <w:sz w:val="23"/>
              </w:rPr>
              <w:t>Capital</w:t>
            </w:r>
          </w:p>
        </w:tc>
        <w:tc>
          <w:tcPr>
            <w:tcW w:w="1002" w:type="dxa"/>
            <w:tcBorders>
              <w:right w:val="single" w:sz="8" w:space="0" w:color="000000"/>
            </w:tcBorders>
          </w:tcPr>
          <w:p w14:paraId="3D3EDBFD" w14:textId="77777777" w:rsidR="00CA03B4" w:rsidRDefault="00000000">
            <w:pPr>
              <w:pStyle w:val="TableParagraph"/>
              <w:ind w:left="28"/>
              <w:jc w:val="center"/>
              <w:rPr>
                <w:rFonts w:ascii="Calibri"/>
                <w:sz w:val="23"/>
              </w:rPr>
            </w:pPr>
            <w:r>
              <w:rPr>
                <w:rFonts w:ascii="Calibri"/>
                <w:sz w:val="23"/>
              </w:rPr>
              <w:t>2</w:t>
            </w:r>
          </w:p>
        </w:tc>
        <w:tc>
          <w:tcPr>
            <w:tcW w:w="1194" w:type="dxa"/>
            <w:tcBorders>
              <w:left w:val="single" w:sz="8" w:space="0" w:color="000000"/>
            </w:tcBorders>
          </w:tcPr>
          <w:p w14:paraId="2F8A4E68" w14:textId="77777777" w:rsidR="00CA03B4" w:rsidRDefault="00000000">
            <w:pPr>
              <w:pStyle w:val="TableParagraph"/>
              <w:ind w:right="90"/>
              <w:jc w:val="right"/>
              <w:rPr>
                <w:rFonts w:ascii="Calibri"/>
                <w:sz w:val="23"/>
              </w:rPr>
            </w:pPr>
            <w:r>
              <w:rPr>
                <w:rFonts w:ascii="Calibri"/>
                <w:sz w:val="23"/>
              </w:rPr>
              <w:t>$92.56</w:t>
            </w:r>
          </w:p>
        </w:tc>
        <w:tc>
          <w:tcPr>
            <w:tcW w:w="1248" w:type="dxa"/>
          </w:tcPr>
          <w:p w14:paraId="67EEA8EC" w14:textId="77777777" w:rsidR="00CA03B4" w:rsidRDefault="00000000">
            <w:pPr>
              <w:pStyle w:val="TableParagraph"/>
              <w:ind w:right="90"/>
              <w:jc w:val="right"/>
              <w:rPr>
                <w:rFonts w:ascii="Calibri"/>
                <w:sz w:val="23"/>
              </w:rPr>
            </w:pPr>
            <w:r>
              <w:rPr>
                <w:rFonts w:ascii="Calibri"/>
                <w:sz w:val="23"/>
              </w:rPr>
              <w:t>$121.00</w:t>
            </w:r>
          </w:p>
        </w:tc>
        <w:tc>
          <w:tcPr>
            <w:tcW w:w="1270" w:type="dxa"/>
            <w:tcBorders>
              <w:right w:val="single" w:sz="8" w:space="0" w:color="000000"/>
            </w:tcBorders>
          </w:tcPr>
          <w:p w14:paraId="49D347F7" w14:textId="77777777" w:rsidR="00CA03B4" w:rsidRDefault="00000000">
            <w:pPr>
              <w:pStyle w:val="TableParagraph"/>
              <w:ind w:right="83"/>
              <w:jc w:val="right"/>
              <w:rPr>
                <w:rFonts w:ascii="Calibri"/>
                <w:sz w:val="23"/>
              </w:rPr>
            </w:pPr>
            <w:r>
              <w:rPr>
                <w:rFonts w:ascii="Calibri"/>
                <w:sz w:val="23"/>
              </w:rPr>
              <w:t>$149.45</w:t>
            </w:r>
          </w:p>
        </w:tc>
        <w:tc>
          <w:tcPr>
            <w:tcW w:w="1800" w:type="dxa"/>
            <w:tcBorders>
              <w:left w:val="single" w:sz="8" w:space="0" w:color="000000"/>
              <w:right w:val="single" w:sz="8" w:space="0" w:color="000000"/>
            </w:tcBorders>
          </w:tcPr>
          <w:p w14:paraId="497CAD97" w14:textId="77777777" w:rsidR="00CA03B4" w:rsidRDefault="00000000">
            <w:pPr>
              <w:pStyle w:val="TableParagraph"/>
              <w:ind w:left="625" w:right="601"/>
              <w:jc w:val="center"/>
              <w:rPr>
                <w:rFonts w:ascii="Calibri"/>
                <w:sz w:val="23"/>
              </w:rPr>
            </w:pPr>
            <w:r>
              <w:rPr>
                <w:rFonts w:ascii="Calibri"/>
                <w:sz w:val="23"/>
              </w:rPr>
              <w:t>+20%</w:t>
            </w:r>
          </w:p>
        </w:tc>
      </w:tr>
      <w:tr w:rsidR="00CA03B4" w14:paraId="245FD7D2" w14:textId="77777777">
        <w:trPr>
          <w:trHeight w:val="282"/>
        </w:trPr>
        <w:tc>
          <w:tcPr>
            <w:tcW w:w="2434" w:type="dxa"/>
            <w:tcBorders>
              <w:left w:val="single" w:sz="8" w:space="0" w:color="000000"/>
            </w:tcBorders>
          </w:tcPr>
          <w:p w14:paraId="0C84682F" w14:textId="77777777" w:rsidR="00CA03B4" w:rsidRDefault="00000000">
            <w:pPr>
              <w:pStyle w:val="TableParagraph"/>
              <w:spacing w:before="4"/>
              <w:ind w:left="110"/>
              <w:rPr>
                <w:rFonts w:ascii="Calibri"/>
                <w:sz w:val="23"/>
              </w:rPr>
            </w:pPr>
            <w:r>
              <w:rPr>
                <w:rFonts w:ascii="Calibri"/>
                <w:sz w:val="23"/>
              </w:rPr>
              <w:t>N/A</w:t>
            </w:r>
          </w:p>
        </w:tc>
        <w:tc>
          <w:tcPr>
            <w:tcW w:w="1132" w:type="dxa"/>
          </w:tcPr>
          <w:p w14:paraId="4E9D9409" w14:textId="77777777" w:rsidR="00CA03B4" w:rsidRDefault="00000000">
            <w:pPr>
              <w:pStyle w:val="TableParagraph"/>
              <w:spacing w:before="4"/>
              <w:ind w:left="84" w:right="75"/>
              <w:jc w:val="center"/>
              <w:rPr>
                <w:rFonts w:ascii="Calibri"/>
                <w:sz w:val="23"/>
              </w:rPr>
            </w:pPr>
            <w:r>
              <w:rPr>
                <w:rFonts w:ascii="Calibri"/>
                <w:sz w:val="23"/>
              </w:rPr>
              <w:t>Capital</w:t>
            </w:r>
          </w:p>
        </w:tc>
        <w:tc>
          <w:tcPr>
            <w:tcW w:w="1002" w:type="dxa"/>
            <w:tcBorders>
              <w:right w:val="single" w:sz="8" w:space="0" w:color="000000"/>
            </w:tcBorders>
          </w:tcPr>
          <w:p w14:paraId="0E45099F" w14:textId="77777777" w:rsidR="00CA03B4" w:rsidRDefault="00000000">
            <w:pPr>
              <w:pStyle w:val="TableParagraph"/>
              <w:spacing w:before="4"/>
              <w:ind w:left="28"/>
              <w:jc w:val="center"/>
              <w:rPr>
                <w:rFonts w:ascii="Calibri"/>
                <w:sz w:val="23"/>
              </w:rPr>
            </w:pPr>
            <w:r>
              <w:rPr>
                <w:rFonts w:ascii="Calibri"/>
                <w:sz w:val="23"/>
              </w:rPr>
              <w:t>3</w:t>
            </w:r>
          </w:p>
        </w:tc>
        <w:tc>
          <w:tcPr>
            <w:tcW w:w="1194" w:type="dxa"/>
            <w:tcBorders>
              <w:left w:val="single" w:sz="8" w:space="0" w:color="000000"/>
            </w:tcBorders>
          </w:tcPr>
          <w:p w14:paraId="098EBEE7" w14:textId="77777777" w:rsidR="00CA03B4" w:rsidRDefault="00000000">
            <w:pPr>
              <w:pStyle w:val="TableParagraph"/>
              <w:spacing w:before="4"/>
              <w:ind w:right="90"/>
              <w:jc w:val="right"/>
              <w:rPr>
                <w:rFonts w:ascii="Calibri"/>
                <w:sz w:val="23"/>
              </w:rPr>
            </w:pPr>
            <w:r>
              <w:rPr>
                <w:rFonts w:ascii="Calibri"/>
                <w:sz w:val="23"/>
              </w:rPr>
              <w:t>$0.00</w:t>
            </w:r>
          </w:p>
        </w:tc>
        <w:tc>
          <w:tcPr>
            <w:tcW w:w="1248" w:type="dxa"/>
          </w:tcPr>
          <w:p w14:paraId="443E68DA" w14:textId="77777777" w:rsidR="00CA03B4" w:rsidRDefault="00000000">
            <w:pPr>
              <w:pStyle w:val="TableParagraph"/>
              <w:spacing w:before="4"/>
              <w:ind w:right="90"/>
              <w:jc w:val="right"/>
              <w:rPr>
                <w:rFonts w:ascii="Calibri"/>
                <w:sz w:val="23"/>
              </w:rPr>
            </w:pPr>
            <w:r>
              <w:rPr>
                <w:rFonts w:ascii="Calibri"/>
                <w:sz w:val="23"/>
              </w:rPr>
              <w:t>$0.00</w:t>
            </w:r>
          </w:p>
        </w:tc>
        <w:tc>
          <w:tcPr>
            <w:tcW w:w="1270" w:type="dxa"/>
            <w:tcBorders>
              <w:right w:val="single" w:sz="8" w:space="0" w:color="000000"/>
            </w:tcBorders>
          </w:tcPr>
          <w:p w14:paraId="2949513B" w14:textId="77777777" w:rsidR="00CA03B4" w:rsidRDefault="00000000">
            <w:pPr>
              <w:pStyle w:val="TableParagraph"/>
              <w:spacing w:before="4"/>
              <w:ind w:right="83"/>
              <w:jc w:val="right"/>
              <w:rPr>
                <w:rFonts w:ascii="Calibri"/>
                <w:sz w:val="23"/>
              </w:rPr>
            </w:pPr>
            <w:r>
              <w:rPr>
                <w:rFonts w:ascii="Calibri"/>
                <w:sz w:val="23"/>
              </w:rPr>
              <w:t>$0.00</w:t>
            </w:r>
          </w:p>
        </w:tc>
        <w:tc>
          <w:tcPr>
            <w:tcW w:w="1800" w:type="dxa"/>
            <w:tcBorders>
              <w:left w:val="single" w:sz="8" w:space="0" w:color="000000"/>
              <w:right w:val="single" w:sz="8" w:space="0" w:color="000000"/>
            </w:tcBorders>
          </w:tcPr>
          <w:p w14:paraId="7CBE1CB2" w14:textId="77777777" w:rsidR="00CA03B4" w:rsidRDefault="00000000">
            <w:pPr>
              <w:pStyle w:val="TableParagraph"/>
              <w:spacing w:before="4"/>
              <w:ind w:left="625" w:right="601"/>
              <w:jc w:val="center"/>
              <w:rPr>
                <w:rFonts w:ascii="Calibri"/>
                <w:sz w:val="23"/>
              </w:rPr>
            </w:pPr>
            <w:r>
              <w:rPr>
                <w:rFonts w:ascii="Calibri"/>
                <w:sz w:val="23"/>
              </w:rPr>
              <w:t>0%</w:t>
            </w:r>
          </w:p>
        </w:tc>
      </w:tr>
      <w:tr w:rsidR="00CA03B4" w14:paraId="641636FA" w14:textId="77777777">
        <w:trPr>
          <w:trHeight w:val="282"/>
        </w:trPr>
        <w:tc>
          <w:tcPr>
            <w:tcW w:w="4568" w:type="dxa"/>
            <w:gridSpan w:val="3"/>
            <w:tcBorders>
              <w:left w:val="single" w:sz="8" w:space="0" w:color="000000"/>
              <w:right w:val="single" w:sz="8" w:space="0" w:color="000000"/>
            </w:tcBorders>
          </w:tcPr>
          <w:p w14:paraId="0BE75036" w14:textId="77777777" w:rsidR="00CA03B4" w:rsidRDefault="00CA03B4">
            <w:pPr>
              <w:pStyle w:val="TableParagraph"/>
              <w:spacing w:line="240" w:lineRule="auto"/>
              <w:rPr>
                <w:rFonts w:ascii="Times New Roman"/>
                <w:sz w:val="20"/>
              </w:rPr>
            </w:pPr>
          </w:p>
        </w:tc>
        <w:tc>
          <w:tcPr>
            <w:tcW w:w="3712" w:type="dxa"/>
            <w:gridSpan w:val="3"/>
            <w:tcBorders>
              <w:left w:val="single" w:sz="8" w:space="0" w:color="000000"/>
              <w:right w:val="single" w:sz="8" w:space="0" w:color="000000"/>
            </w:tcBorders>
          </w:tcPr>
          <w:p w14:paraId="43FCCE94" w14:textId="77777777" w:rsidR="00CA03B4" w:rsidRDefault="00CA03B4">
            <w:pPr>
              <w:pStyle w:val="TableParagraph"/>
              <w:spacing w:line="240" w:lineRule="auto"/>
              <w:rPr>
                <w:rFonts w:ascii="Times New Roman"/>
                <w:sz w:val="20"/>
              </w:rPr>
            </w:pPr>
          </w:p>
        </w:tc>
        <w:tc>
          <w:tcPr>
            <w:tcW w:w="1800" w:type="dxa"/>
            <w:tcBorders>
              <w:left w:val="single" w:sz="8" w:space="0" w:color="000000"/>
              <w:right w:val="single" w:sz="8" w:space="0" w:color="000000"/>
            </w:tcBorders>
          </w:tcPr>
          <w:p w14:paraId="548DEEFD" w14:textId="77777777" w:rsidR="00CA03B4" w:rsidRDefault="00CA03B4">
            <w:pPr>
              <w:pStyle w:val="TableParagraph"/>
              <w:spacing w:line="240" w:lineRule="auto"/>
              <w:rPr>
                <w:rFonts w:ascii="Times New Roman"/>
                <w:sz w:val="20"/>
              </w:rPr>
            </w:pPr>
          </w:p>
        </w:tc>
      </w:tr>
      <w:tr w:rsidR="00CA03B4" w14:paraId="6F11DFA7" w14:textId="77777777">
        <w:trPr>
          <w:trHeight w:val="281"/>
        </w:trPr>
        <w:tc>
          <w:tcPr>
            <w:tcW w:w="2434" w:type="dxa"/>
            <w:tcBorders>
              <w:left w:val="single" w:sz="8" w:space="0" w:color="000000"/>
            </w:tcBorders>
          </w:tcPr>
          <w:p w14:paraId="4347F135" w14:textId="77777777" w:rsidR="00CA03B4" w:rsidRDefault="00000000">
            <w:pPr>
              <w:pStyle w:val="TableParagraph"/>
              <w:spacing w:line="262" w:lineRule="exact"/>
              <w:ind w:left="110"/>
              <w:rPr>
                <w:rFonts w:ascii="Calibri"/>
                <w:sz w:val="23"/>
              </w:rPr>
            </w:pPr>
            <w:r>
              <w:rPr>
                <w:rFonts w:ascii="Calibri"/>
                <w:sz w:val="23"/>
              </w:rPr>
              <w:t>Yukon Electric</w:t>
            </w:r>
          </w:p>
        </w:tc>
        <w:tc>
          <w:tcPr>
            <w:tcW w:w="1132" w:type="dxa"/>
          </w:tcPr>
          <w:p w14:paraId="39FD56AC" w14:textId="77777777" w:rsidR="00CA03B4" w:rsidRDefault="00000000">
            <w:pPr>
              <w:pStyle w:val="TableParagraph"/>
              <w:spacing w:line="262" w:lineRule="exact"/>
              <w:ind w:left="84" w:right="75"/>
              <w:jc w:val="center"/>
              <w:rPr>
                <w:rFonts w:ascii="Calibri"/>
                <w:sz w:val="23"/>
              </w:rPr>
            </w:pPr>
            <w:r>
              <w:rPr>
                <w:rFonts w:ascii="Calibri"/>
                <w:sz w:val="23"/>
              </w:rPr>
              <w:t>Central</w:t>
            </w:r>
          </w:p>
        </w:tc>
        <w:tc>
          <w:tcPr>
            <w:tcW w:w="1002" w:type="dxa"/>
            <w:tcBorders>
              <w:right w:val="single" w:sz="8" w:space="0" w:color="000000"/>
            </w:tcBorders>
          </w:tcPr>
          <w:p w14:paraId="46F2C4D9" w14:textId="77777777" w:rsidR="00CA03B4" w:rsidRDefault="00000000">
            <w:pPr>
              <w:pStyle w:val="TableParagraph"/>
              <w:spacing w:line="262" w:lineRule="exact"/>
              <w:ind w:left="28"/>
              <w:jc w:val="center"/>
              <w:rPr>
                <w:rFonts w:ascii="Calibri"/>
                <w:sz w:val="23"/>
              </w:rPr>
            </w:pPr>
            <w:r>
              <w:rPr>
                <w:rFonts w:ascii="Calibri"/>
                <w:sz w:val="23"/>
              </w:rPr>
              <w:t>1</w:t>
            </w:r>
          </w:p>
        </w:tc>
        <w:tc>
          <w:tcPr>
            <w:tcW w:w="1194" w:type="dxa"/>
            <w:tcBorders>
              <w:left w:val="single" w:sz="8" w:space="0" w:color="000000"/>
            </w:tcBorders>
          </w:tcPr>
          <w:p w14:paraId="6A7693CB" w14:textId="77777777" w:rsidR="00CA03B4" w:rsidRDefault="00000000">
            <w:pPr>
              <w:pStyle w:val="TableParagraph"/>
              <w:spacing w:line="262" w:lineRule="exact"/>
              <w:ind w:right="90"/>
              <w:jc w:val="right"/>
              <w:rPr>
                <w:rFonts w:ascii="Calibri"/>
                <w:sz w:val="23"/>
              </w:rPr>
            </w:pPr>
            <w:r>
              <w:rPr>
                <w:rFonts w:ascii="Calibri"/>
                <w:sz w:val="23"/>
              </w:rPr>
              <w:t>$93.36</w:t>
            </w:r>
          </w:p>
        </w:tc>
        <w:tc>
          <w:tcPr>
            <w:tcW w:w="1248" w:type="dxa"/>
          </w:tcPr>
          <w:p w14:paraId="6210C037" w14:textId="77777777" w:rsidR="00CA03B4" w:rsidRDefault="00000000">
            <w:pPr>
              <w:pStyle w:val="TableParagraph"/>
              <w:spacing w:line="262" w:lineRule="exact"/>
              <w:ind w:right="90"/>
              <w:jc w:val="right"/>
              <w:rPr>
                <w:rFonts w:ascii="Calibri"/>
                <w:sz w:val="23"/>
              </w:rPr>
            </w:pPr>
            <w:r>
              <w:rPr>
                <w:rFonts w:ascii="Calibri"/>
                <w:sz w:val="23"/>
              </w:rPr>
              <w:t>$121.69</w:t>
            </w:r>
          </w:p>
        </w:tc>
        <w:tc>
          <w:tcPr>
            <w:tcW w:w="1270" w:type="dxa"/>
            <w:tcBorders>
              <w:right w:val="single" w:sz="8" w:space="0" w:color="000000"/>
            </w:tcBorders>
          </w:tcPr>
          <w:p w14:paraId="37AAE648" w14:textId="77777777" w:rsidR="00CA03B4" w:rsidRDefault="00000000">
            <w:pPr>
              <w:pStyle w:val="TableParagraph"/>
              <w:spacing w:line="262" w:lineRule="exact"/>
              <w:ind w:right="83"/>
              <w:jc w:val="right"/>
              <w:rPr>
                <w:rFonts w:ascii="Calibri"/>
                <w:sz w:val="23"/>
              </w:rPr>
            </w:pPr>
            <w:r>
              <w:rPr>
                <w:rFonts w:ascii="Calibri"/>
                <w:sz w:val="23"/>
              </w:rPr>
              <w:t>$150.78</w:t>
            </w:r>
          </w:p>
        </w:tc>
        <w:tc>
          <w:tcPr>
            <w:tcW w:w="1800" w:type="dxa"/>
            <w:tcBorders>
              <w:left w:val="single" w:sz="8" w:space="0" w:color="000000"/>
              <w:right w:val="single" w:sz="8" w:space="0" w:color="000000"/>
            </w:tcBorders>
          </w:tcPr>
          <w:p w14:paraId="32512C01" w14:textId="77777777" w:rsidR="00CA03B4" w:rsidRDefault="00000000">
            <w:pPr>
              <w:pStyle w:val="TableParagraph"/>
              <w:spacing w:line="262" w:lineRule="exact"/>
              <w:ind w:left="621" w:right="601"/>
              <w:jc w:val="center"/>
              <w:rPr>
                <w:rFonts w:ascii="Calibri"/>
                <w:sz w:val="23"/>
              </w:rPr>
            </w:pPr>
            <w:r>
              <w:rPr>
                <w:rFonts w:ascii="Calibri"/>
                <w:sz w:val="23"/>
              </w:rPr>
              <w:t>-25%</w:t>
            </w:r>
          </w:p>
        </w:tc>
      </w:tr>
      <w:tr w:rsidR="00CA03B4" w14:paraId="2B595097" w14:textId="77777777">
        <w:trPr>
          <w:trHeight w:val="278"/>
        </w:trPr>
        <w:tc>
          <w:tcPr>
            <w:tcW w:w="2434" w:type="dxa"/>
            <w:tcBorders>
              <w:left w:val="single" w:sz="8" w:space="0" w:color="000000"/>
            </w:tcBorders>
          </w:tcPr>
          <w:p w14:paraId="1BBDF9D7" w14:textId="77777777" w:rsidR="00CA03B4" w:rsidRDefault="00000000">
            <w:pPr>
              <w:pStyle w:val="TableParagraph"/>
              <w:ind w:left="110"/>
              <w:rPr>
                <w:rFonts w:ascii="Calibri"/>
                <w:sz w:val="23"/>
              </w:rPr>
            </w:pPr>
            <w:r>
              <w:rPr>
                <w:rFonts w:ascii="Calibri"/>
                <w:sz w:val="23"/>
              </w:rPr>
              <w:t>Alcan Electric</w:t>
            </w:r>
          </w:p>
        </w:tc>
        <w:tc>
          <w:tcPr>
            <w:tcW w:w="1132" w:type="dxa"/>
          </w:tcPr>
          <w:p w14:paraId="62265D6F" w14:textId="77777777" w:rsidR="00CA03B4" w:rsidRDefault="00000000">
            <w:pPr>
              <w:pStyle w:val="TableParagraph"/>
              <w:ind w:left="84" w:right="75"/>
              <w:jc w:val="center"/>
              <w:rPr>
                <w:rFonts w:ascii="Calibri"/>
                <w:sz w:val="23"/>
              </w:rPr>
            </w:pPr>
            <w:r>
              <w:rPr>
                <w:rFonts w:ascii="Calibri"/>
                <w:sz w:val="23"/>
              </w:rPr>
              <w:t>Central</w:t>
            </w:r>
          </w:p>
        </w:tc>
        <w:tc>
          <w:tcPr>
            <w:tcW w:w="1002" w:type="dxa"/>
            <w:tcBorders>
              <w:right w:val="single" w:sz="8" w:space="0" w:color="000000"/>
            </w:tcBorders>
          </w:tcPr>
          <w:p w14:paraId="74DB4B3B" w14:textId="77777777" w:rsidR="00CA03B4" w:rsidRDefault="00000000">
            <w:pPr>
              <w:pStyle w:val="TableParagraph"/>
              <w:ind w:left="28"/>
              <w:jc w:val="center"/>
              <w:rPr>
                <w:rFonts w:ascii="Calibri"/>
                <w:sz w:val="23"/>
              </w:rPr>
            </w:pPr>
            <w:r>
              <w:rPr>
                <w:rFonts w:ascii="Calibri"/>
                <w:sz w:val="23"/>
              </w:rPr>
              <w:t>2</w:t>
            </w:r>
          </w:p>
        </w:tc>
        <w:tc>
          <w:tcPr>
            <w:tcW w:w="1194" w:type="dxa"/>
            <w:tcBorders>
              <w:left w:val="single" w:sz="8" w:space="0" w:color="000000"/>
            </w:tcBorders>
          </w:tcPr>
          <w:p w14:paraId="1BE20375" w14:textId="77777777" w:rsidR="00CA03B4" w:rsidRDefault="00000000">
            <w:pPr>
              <w:pStyle w:val="TableParagraph"/>
              <w:ind w:right="89"/>
              <w:jc w:val="right"/>
              <w:rPr>
                <w:rFonts w:ascii="Calibri"/>
                <w:sz w:val="23"/>
              </w:rPr>
            </w:pPr>
            <w:r>
              <w:rPr>
                <w:rFonts w:ascii="Calibri"/>
                <w:sz w:val="23"/>
              </w:rPr>
              <w:t>$92.56</w:t>
            </w:r>
          </w:p>
        </w:tc>
        <w:tc>
          <w:tcPr>
            <w:tcW w:w="1248" w:type="dxa"/>
          </w:tcPr>
          <w:p w14:paraId="48AB5E12" w14:textId="77777777" w:rsidR="00CA03B4" w:rsidRDefault="00000000">
            <w:pPr>
              <w:pStyle w:val="TableParagraph"/>
              <w:ind w:right="90"/>
              <w:jc w:val="right"/>
              <w:rPr>
                <w:rFonts w:ascii="Calibri"/>
                <w:sz w:val="23"/>
              </w:rPr>
            </w:pPr>
            <w:r>
              <w:rPr>
                <w:rFonts w:ascii="Calibri"/>
                <w:sz w:val="23"/>
              </w:rPr>
              <w:t>$121.00</w:t>
            </w:r>
          </w:p>
        </w:tc>
        <w:tc>
          <w:tcPr>
            <w:tcW w:w="1270" w:type="dxa"/>
            <w:tcBorders>
              <w:right w:val="single" w:sz="8" w:space="0" w:color="000000"/>
            </w:tcBorders>
          </w:tcPr>
          <w:p w14:paraId="7144A5B6" w14:textId="77777777" w:rsidR="00CA03B4" w:rsidRDefault="00000000">
            <w:pPr>
              <w:pStyle w:val="TableParagraph"/>
              <w:ind w:right="83"/>
              <w:jc w:val="right"/>
              <w:rPr>
                <w:rFonts w:ascii="Calibri"/>
                <w:sz w:val="23"/>
              </w:rPr>
            </w:pPr>
            <w:r>
              <w:rPr>
                <w:rFonts w:ascii="Calibri"/>
                <w:sz w:val="23"/>
              </w:rPr>
              <w:t>$149.45</w:t>
            </w:r>
          </w:p>
        </w:tc>
        <w:tc>
          <w:tcPr>
            <w:tcW w:w="1800" w:type="dxa"/>
            <w:tcBorders>
              <w:left w:val="single" w:sz="8" w:space="0" w:color="000000"/>
              <w:right w:val="single" w:sz="8" w:space="0" w:color="000000"/>
            </w:tcBorders>
          </w:tcPr>
          <w:p w14:paraId="71963AC3" w14:textId="77777777" w:rsidR="00CA03B4" w:rsidRDefault="00000000">
            <w:pPr>
              <w:pStyle w:val="TableParagraph"/>
              <w:ind w:left="621" w:right="601"/>
              <w:jc w:val="center"/>
              <w:rPr>
                <w:rFonts w:ascii="Calibri"/>
                <w:sz w:val="23"/>
              </w:rPr>
            </w:pPr>
            <w:r>
              <w:rPr>
                <w:rFonts w:ascii="Calibri"/>
                <w:sz w:val="23"/>
              </w:rPr>
              <w:t>20%</w:t>
            </w:r>
          </w:p>
        </w:tc>
      </w:tr>
      <w:tr w:rsidR="00CA03B4" w14:paraId="4A41584E" w14:textId="77777777">
        <w:trPr>
          <w:trHeight w:val="281"/>
        </w:trPr>
        <w:tc>
          <w:tcPr>
            <w:tcW w:w="2434" w:type="dxa"/>
            <w:tcBorders>
              <w:left w:val="single" w:sz="8" w:space="0" w:color="000000"/>
            </w:tcBorders>
          </w:tcPr>
          <w:p w14:paraId="1C756D2D" w14:textId="77777777" w:rsidR="00CA03B4" w:rsidRDefault="00000000">
            <w:pPr>
              <w:pStyle w:val="TableParagraph"/>
              <w:spacing w:before="4"/>
              <w:ind w:left="110"/>
              <w:rPr>
                <w:rFonts w:ascii="Calibri"/>
                <w:sz w:val="23"/>
              </w:rPr>
            </w:pPr>
            <w:r>
              <w:rPr>
                <w:rFonts w:ascii="Calibri"/>
                <w:sz w:val="23"/>
              </w:rPr>
              <w:t>Wired AK</w:t>
            </w:r>
          </w:p>
        </w:tc>
        <w:tc>
          <w:tcPr>
            <w:tcW w:w="1132" w:type="dxa"/>
          </w:tcPr>
          <w:p w14:paraId="5FEA134A" w14:textId="77777777" w:rsidR="00CA03B4" w:rsidRDefault="00000000">
            <w:pPr>
              <w:pStyle w:val="TableParagraph"/>
              <w:spacing w:before="4"/>
              <w:ind w:left="84" w:right="75"/>
              <w:jc w:val="center"/>
              <w:rPr>
                <w:rFonts w:ascii="Calibri"/>
                <w:sz w:val="23"/>
              </w:rPr>
            </w:pPr>
            <w:r>
              <w:rPr>
                <w:rFonts w:ascii="Calibri"/>
                <w:sz w:val="23"/>
              </w:rPr>
              <w:t>Central</w:t>
            </w:r>
          </w:p>
        </w:tc>
        <w:tc>
          <w:tcPr>
            <w:tcW w:w="1002" w:type="dxa"/>
            <w:tcBorders>
              <w:right w:val="single" w:sz="8" w:space="0" w:color="000000"/>
            </w:tcBorders>
          </w:tcPr>
          <w:p w14:paraId="31F2E3B6" w14:textId="77777777" w:rsidR="00CA03B4" w:rsidRDefault="00000000">
            <w:pPr>
              <w:pStyle w:val="TableParagraph"/>
              <w:spacing w:before="4"/>
              <w:ind w:left="28"/>
              <w:jc w:val="center"/>
              <w:rPr>
                <w:rFonts w:ascii="Calibri"/>
                <w:sz w:val="23"/>
              </w:rPr>
            </w:pPr>
            <w:r>
              <w:rPr>
                <w:rFonts w:ascii="Calibri"/>
                <w:sz w:val="23"/>
              </w:rPr>
              <w:t>3</w:t>
            </w:r>
          </w:p>
        </w:tc>
        <w:tc>
          <w:tcPr>
            <w:tcW w:w="1194" w:type="dxa"/>
            <w:tcBorders>
              <w:left w:val="single" w:sz="8" w:space="0" w:color="000000"/>
            </w:tcBorders>
          </w:tcPr>
          <w:p w14:paraId="4E169130" w14:textId="77777777" w:rsidR="00CA03B4" w:rsidRDefault="00000000">
            <w:pPr>
              <w:pStyle w:val="TableParagraph"/>
              <w:spacing w:before="4"/>
              <w:ind w:right="90"/>
              <w:jc w:val="right"/>
              <w:rPr>
                <w:rFonts w:ascii="Calibri"/>
                <w:sz w:val="23"/>
              </w:rPr>
            </w:pPr>
            <w:r>
              <w:rPr>
                <w:rFonts w:ascii="Calibri"/>
                <w:sz w:val="23"/>
              </w:rPr>
              <w:t>$105.00</w:t>
            </w:r>
          </w:p>
        </w:tc>
        <w:tc>
          <w:tcPr>
            <w:tcW w:w="1248" w:type="dxa"/>
          </w:tcPr>
          <w:p w14:paraId="52CCB0A2" w14:textId="77777777" w:rsidR="00CA03B4" w:rsidRDefault="00000000">
            <w:pPr>
              <w:pStyle w:val="TableParagraph"/>
              <w:spacing w:before="4"/>
              <w:ind w:right="90"/>
              <w:jc w:val="right"/>
              <w:rPr>
                <w:rFonts w:ascii="Calibri"/>
                <w:sz w:val="23"/>
              </w:rPr>
            </w:pPr>
            <w:r>
              <w:rPr>
                <w:rFonts w:ascii="Calibri"/>
                <w:sz w:val="23"/>
              </w:rPr>
              <w:t>$133.62</w:t>
            </w:r>
          </w:p>
        </w:tc>
        <w:tc>
          <w:tcPr>
            <w:tcW w:w="1270" w:type="dxa"/>
            <w:tcBorders>
              <w:right w:val="single" w:sz="8" w:space="0" w:color="000000"/>
            </w:tcBorders>
          </w:tcPr>
          <w:p w14:paraId="11A11AA9" w14:textId="77777777" w:rsidR="00CA03B4" w:rsidRDefault="00000000">
            <w:pPr>
              <w:pStyle w:val="TableParagraph"/>
              <w:spacing w:before="4"/>
              <w:ind w:right="83"/>
              <w:jc w:val="right"/>
              <w:rPr>
                <w:rFonts w:ascii="Calibri"/>
                <w:sz w:val="23"/>
              </w:rPr>
            </w:pPr>
            <w:r>
              <w:rPr>
                <w:rFonts w:ascii="Calibri"/>
                <w:sz w:val="23"/>
              </w:rPr>
              <w:t>$133.62</w:t>
            </w:r>
          </w:p>
        </w:tc>
        <w:tc>
          <w:tcPr>
            <w:tcW w:w="1800" w:type="dxa"/>
            <w:tcBorders>
              <w:left w:val="single" w:sz="8" w:space="0" w:color="000000"/>
              <w:right w:val="single" w:sz="8" w:space="0" w:color="000000"/>
            </w:tcBorders>
          </w:tcPr>
          <w:p w14:paraId="6C8876C5" w14:textId="77777777" w:rsidR="00CA03B4" w:rsidRDefault="00000000">
            <w:pPr>
              <w:pStyle w:val="TableParagraph"/>
              <w:spacing w:before="4"/>
              <w:ind w:left="621" w:right="601"/>
              <w:jc w:val="center"/>
              <w:rPr>
                <w:rFonts w:ascii="Calibri"/>
                <w:sz w:val="23"/>
              </w:rPr>
            </w:pPr>
            <w:r>
              <w:rPr>
                <w:rFonts w:ascii="Calibri"/>
                <w:sz w:val="23"/>
              </w:rPr>
              <w:t>-40%</w:t>
            </w:r>
          </w:p>
        </w:tc>
      </w:tr>
      <w:tr w:rsidR="00CA03B4" w14:paraId="7272EE7A" w14:textId="77777777">
        <w:trPr>
          <w:trHeight w:val="281"/>
        </w:trPr>
        <w:tc>
          <w:tcPr>
            <w:tcW w:w="4568" w:type="dxa"/>
            <w:gridSpan w:val="3"/>
            <w:tcBorders>
              <w:left w:val="single" w:sz="8" w:space="0" w:color="000000"/>
              <w:right w:val="single" w:sz="8" w:space="0" w:color="000000"/>
            </w:tcBorders>
          </w:tcPr>
          <w:p w14:paraId="47E5822D" w14:textId="77777777" w:rsidR="00CA03B4" w:rsidRDefault="00CA03B4">
            <w:pPr>
              <w:pStyle w:val="TableParagraph"/>
              <w:spacing w:line="240" w:lineRule="auto"/>
              <w:rPr>
                <w:rFonts w:ascii="Times New Roman"/>
                <w:sz w:val="20"/>
              </w:rPr>
            </w:pPr>
          </w:p>
        </w:tc>
        <w:tc>
          <w:tcPr>
            <w:tcW w:w="3712" w:type="dxa"/>
            <w:gridSpan w:val="3"/>
            <w:tcBorders>
              <w:left w:val="single" w:sz="8" w:space="0" w:color="000000"/>
              <w:right w:val="single" w:sz="8" w:space="0" w:color="000000"/>
            </w:tcBorders>
          </w:tcPr>
          <w:p w14:paraId="4ABFCA05" w14:textId="77777777" w:rsidR="00CA03B4" w:rsidRDefault="00CA03B4">
            <w:pPr>
              <w:pStyle w:val="TableParagraph"/>
              <w:spacing w:line="240" w:lineRule="auto"/>
              <w:rPr>
                <w:rFonts w:ascii="Times New Roman"/>
                <w:sz w:val="20"/>
              </w:rPr>
            </w:pPr>
          </w:p>
        </w:tc>
        <w:tc>
          <w:tcPr>
            <w:tcW w:w="1800" w:type="dxa"/>
            <w:tcBorders>
              <w:left w:val="single" w:sz="8" w:space="0" w:color="000000"/>
              <w:right w:val="single" w:sz="8" w:space="0" w:color="000000"/>
            </w:tcBorders>
          </w:tcPr>
          <w:p w14:paraId="3AB5FB35" w14:textId="77777777" w:rsidR="00CA03B4" w:rsidRDefault="00CA03B4">
            <w:pPr>
              <w:pStyle w:val="TableParagraph"/>
              <w:spacing w:line="240" w:lineRule="auto"/>
              <w:rPr>
                <w:rFonts w:ascii="Times New Roman"/>
                <w:sz w:val="20"/>
              </w:rPr>
            </w:pPr>
          </w:p>
        </w:tc>
      </w:tr>
      <w:tr w:rsidR="00CA03B4" w14:paraId="008C0204" w14:textId="77777777">
        <w:trPr>
          <w:trHeight w:val="277"/>
        </w:trPr>
        <w:tc>
          <w:tcPr>
            <w:tcW w:w="2434" w:type="dxa"/>
            <w:tcBorders>
              <w:left w:val="single" w:sz="8" w:space="0" w:color="000000"/>
            </w:tcBorders>
          </w:tcPr>
          <w:p w14:paraId="3E33B070" w14:textId="77777777" w:rsidR="00CA03B4" w:rsidRDefault="00000000">
            <w:pPr>
              <w:pStyle w:val="TableParagraph"/>
              <w:ind w:left="110"/>
              <w:rPr>
                <w:rFonts w:ascii="Calibri"/>
                <w:sz w:val="23"/>
              </w:rPr>
            </w:pPr>
            <w:r>
              <w:rPr>
                <w:rFonts w:ascii="Calibri"/>
                <w:sz w:val="23"/>
              </w:rPr>
              <w:t>N/A</w:t>
            </w:r>
          </w:p>
        </w:tc>
        <w:tc>
          <w:tcPr>
            <w:tcW w:w="1132" w:type="dxa"/>
          </w:tcPr>
          <w:p w14:paraId="600484BD" w14:textId="77777777" w:rsidR="00CA03B4" w:rsidRDefault="00000000">
            <w:pPr>
              <w:pStyle w:val="TableParagraph"/>
              <w:ind w:left="88" w:right="71"/>
              <w:jc w:val="center"/>
              <w:rPr>
                <w:rFonts w:ascii="Calibri"/>
                <w:sz w:val="23"/>
              </w:rPr>
            </w:pPr>
            <w:r>
              <w:rPr>
                <w:rFonts w:ascii="Calibri"/>
                <w:sz w:val="23"/>
              </w:rPr>
              <w:t>Kenai</w:t>
            </w:r>
          </w:p>
        </w:tc>
        <w:tc>
          <w:tcPr>
            <w:tcW w:w="1002" w:type="dxa"/>
            <w:tcBorders>
              <w:right w:val="single" w:sz="8" w:space="0" w:color="000000"/>
            </w:tcBorders>
          </w:tcPr>
          <w:p w14:paraId="28652E83" w14:textId="77777777" w:rsidR="00CA03B4" w:rsidRDefault="00000000">
            <w:pPr>
              <w:pStyle w:val="TableParagraph"/>
              <w:ind w:left="28"/>
              <w:jc w:val="center"/>
              <w:rPr>
                <w:rFonts w:ascii="Calibri"/>
                <w:sz w:val="23"/>
              </w:rPr>
            </w:pPr>
            <w:r>
              <w:rPr>
                <w:rFonts w:ascii="Calibri"/>
                <w:sz w:val="23"/>
              </w:rPr>
              <w:t>1</w:t>
            </w:r>
          </w:p>
        </w:tc>
        <w:tc>
          <w:tcPr>
            <w:tcW w:w="1194" w:type="dxa"/>
            <w:tcBorders>
              <w:left w:val="single" w:sz="8" w:space="0" w:color="000000"/>
            </w:tcBorders>
          </w:tcPr>
          <w:p w14:paraId="4CB627FD" w14:textId="77777777" w:rsidR="00CA03B4" w:rsidRDefault="00000000">
            <w:pPr>
              <w:pStyle w:val="TableParagraph"/>
              <w:ind w:right="90"/>
              <w:jc w:val="right"/>
              <w:rPr>
                <w:rFonts w:ascii="Calibri"/>
                <w:sz w:val="23"/>
              </w:rPr>
            </w:pPr>
            <w:r>
              <w:rPr>
                <w:rFonts w:ascii="Calibri"/>
                <w:sz w:val="23"/>
              </w:rPr>
              <w:t>$0.00</w:t>
            </w:r>
          </w:p>
        </w:tc>
        <w:tc>
          <w:tcPr>
            <w:tcW w:w="1248" w:type="dxa"/>
          </w:tcPr>
          <w:p w14:paraId="0328EAEF" w14:textId="77777777" w:rsidR="00CA03B4" w:rsidRDefault="00000000">
            <w:pPr>
              <w:pStyle w:val="TableParagraph"/>
              <w:ind w:right="90"/>
              <w:jc w:val="right"/>
              <w:rPr>
                <w:rFonts w:ascii="Calibri"/>
                <w:sz w:val="23"/>
              </w:rPr>
            </w:pPr>
            <w:r>
              <w:rPr>
                <w:rFonts w:ascii="Calibri"/>
                <w:sz w:val="23"/>
              </w:rPr>
              <w:t>$0.00</w:t>
            </w:r>
          </w:p>
        </w:tc>
        <w:tc>
          <w:tcPr>
            <w:tcW w:w="1270" w:type="dxa"/>
            <w:tcBorders>
              <w:right w:val="single" w:sz="8" w:space="0" w:color="000000"/>
            </w:tcBorders>
          </w:tcPr>
          <w:p w14:paraId="53C97404" w14:textId="77777777" w:rsidR="00CA03B4" w:rsidRDefault="00000000">
            <w:pPr>
              <w:pStyle w:val="TableParagraph"/>
              <w:ind w:right="83"/>
              <w:jc w:val="right"/>
              <w:rPr>
                <w:rFonts w:ascii="Calibri"/>
                <w:sz w:val="23"/>
              </w:rPr>
            </w:pPr>
            <w:r>
              <w:rPr>
                <w:rFonts w:ascii="Calibri"/>
                <w:sz w:val="23"/>
              </w:rPr>
              <w:t>$0.00</w:t>
            </w:r>
          </w:p>
        </w:tc>
        <w:tc>
          <w:tcPr>
            <w:tcW w:w="1800" w:type="dxa"/>
            <w:tcBorders>
              <w:left w:val="single" w:sz="8" w:space="0" w:color="000000"/>
              <w:right w:val="single" w:sz="8" w:space="0" w:color="000000"/>
            </w:tcBorders>
          </w:tcPr>
          <w:p w14:paraId="7274A933" w14:textId="77777777" w:rsidR="00CA03B4" w:rsidRDefault="00000000">
            <w:pPr>
              <w:pStyle w:val="TableParagraph"/>
              <w:ind w:left="625" w:right="601"/>
              <w:jc w:val="center"/>
              <w:rPr>
                <w:rFonts w:ascii="Calibri"/>
                <w:sz w:val="23"/>
              </w:rPr>
            </w:pPr>
            <w:r>
              <w:rPr>
                <w:rFonts w:ascii="Calibri"/>
                <w:sz w:val="23"/>
              </w:rPr>
              <w:t>0%</w:t>
            </w:r>
          </w:p>
        </w:tc>
      </w:tr>
      <w:tr w:rsidR="00CA03B4" w14:paraId="4FA02BE4" w14:textId="77777777">
        <w:trPr>
          <w:trHeight w:val="282"/>
        </w:trPr>
        <w:tc>
          <w:tcPr>
            <w:tcW w:w="2434" w:type="dxa"/>
            <w:tcBorders>
              <w:left w:val="single" w:sz="8" w:space="0" w:color="000000"/>
            </w:tcBorders>
          </w:tcPr>
          <w:p w14:paraId="163609EE" w14:textId="77777777" w:rsidR="00CA03B4" w:rsidRDefault="00000000">
            <w:pPr>
              <w:pStyle w:val="TableParagraph"/>
              <w:spacing w:before="4"/>
              <w:ind w:left="110"/>
              <w:rPr>
                <w:rFonts w:ascii="Calibri"/>
                <w:sz w:val="23"/>
              </w:rPr>
            </w:pPr>
            <w:r>
              <w:rPr>
                <w:rFonts w:ascii="Calibri"/>
                <w:sz w:val="23"/>
              </w:rPr>
              <w:t>N/A</w:t>
            </w:r>
          </w:p>
        </w:tc>
        <w:tc>
          <w:tcPr>
            <w:tcW w:w="1132" w:type="dxa"/>
          </w:tcPr>
          <w:p w14:paraId="3227A4F6" w14:textId="77777777" w:rsidR="00CA03B4" w:rsidRDefault="00000000">
            <w:pPr>
              <w:pStyle w:val="TableParagraph"/>
              <w:spacing w:before="4"/>
              <w:ind w:left="88" w:right="71"/>
              <w:jc w:val="center"/>
              <w:rPr>
                <w:rFonts w:ascii="Calibri"/>
                <w:sz w:val="23"/>
              </w:rPr>
            </w:pPr>
            <w:r>
              <w:rPr>
                <w:rFonts w:ascii="Calibri"/>
                <w:sz w:val="23"/>
              </w:rPr>
              <w:t>Kenai</w:t>
            </w:r>
          </w:p>
        </w:tc>
        <w:tc>
          <w:tcPr>
            <w:tcW w:w="1002" w:type="dxa"/>
            <w:tcBorders>
              <w:right w:val="single" w:sz="8" w:space="0" w:color="000000"/>
            </w:tcBorders>
          </w:tcPr>
          <w:p w14:paraId="35F04ADF" w14:textId="77777777" w:rsidR="00CA03B4" w:rsidRDefault="00000000">
            <w:pPr>
              <w:pStyle w:val="TableParagraph"/>
              <w:spacing w:before="4"/>
              <w:ind w:left="28"/>
              <w:jc w:val="center"/>
              <w:rPr>
                <w:rFonts w:ascii="Calibri"/>
                <w:sz w:val="23"/>
              </w:rPr>
            </w:pPr>
            <w:r>
              <w:rPr>
                <w:rFonts w:ascii="Calibri"/>
                <w:sz w:val="23"/>
              </w:rPr>
              <w:t>2</w:t>
            </w:r>
          </w:p>
        </w:tc>
        <w:tc>
          <w:tcPr>
            <w:tcW w:w="1194" w:type="dxa"/>
            <w:tcBorders>
              <w:left w:val="single" w:sz="8" w:space="0" w:color="000000"/>
            </w:tcBorders>
          </w:tcPr>
          <w:p w14:paraId="5E751282" w14:textId="77777777" w:rsidR="00CA03B4" w:rsidRDefault="00000000">
            <w:pPr>
              <w:pStyle w:val="TableParagraph"/>
              <w:spacing w:before="4"/>
              <w:ind w:right="90"/>
              <w:jc w:val="right"/>
              <w:rPr>
                <w:rFonts w:ascii="Calibri"/>
                <w:sz w:val="23"/>
              </w:rPr>
            </w:pPr>
            <w:r>
              <w:rPr>
                <w:rFonts w:ascii="Calibri"/>
                <w:sz w:val="23"/>
              </w:rPr>
              <w:t>$0.00</w:t>
            </w:r>
          </w:p>
        </w:tc>
        <w:tc>
          <w:tcPr>
            <w:tcW w:w="1248" w:type="dxa"/>
          </w:tcPr>
          <w:p w14:paraId="4C53DDF1" w14:textId="77777777" w:rsidR="00CA03B4" w:rsidRDefault="00000000">
            <w:pPr>
              <w:pStyle w:val="TableParagraph"/>
              <w:spacing w:before="4"/>
              <w:ind w:right="90"/>
              <w:jc w:val="right"/>
              <w:rPr>
                <w:rFonts w:ascii="Calibri"/>
                <w:sz w:val="23"/>
              </w:rPr>
            </w:pPr>
            <w:r>
              <w:rPr>
                <w:rFonts w:ascii="Calibri"/>
                <w:sz w:val="23"/>
              </w:rPr>
              <w:t>$0.00</w:t>
            </w:r>
          </w:p>
        </w:tc>
        <w:tc>
          <w:tcPr>
            <w:tcW w:w="1270" w:type="dxa"/>
            <w:tcBorders>
              <w:right w:val="single" w:sz="8" w:space="0" w:color="000000"/>
            </w:tcBorders>
          </w:tcPr>
          <w:p w14:paraId="487642CA" w14:textId="77777777" w:rsidR="00CA03B4" w:rsidRDefault="00000000">
            <w:pPr>
              <w:pStyle w:val="TableParagraph"/>
              <w:spacing w:before="4"/>
              <w:ind w:right="83"/>
              <w:jc w:val="right"/>
              <w:rPr>
                <w:rFonts w:ascii="Calibri"/>
                <w:sz w:val="23"/>
              </w:rPr>
            </w:pPr>
            <w:r>
              <w:rPr>
                <w:rFonts w:ascii="Calibri"/>
                <w:sz w:val="23"/>
              </w:rPr>
              <w:t>$0.00</w:t>
            </w:r>
          </w:p>
        </w:tc>
        <w:tc>
          <w:tcPr>
            <w:tcW w:w="1800" w:type="dxa"/>
            <w:tcBorders>
              <w:left w:val="single" w:sz="8" w:space="0" w:color="000000"/>
              <w:right w:val="single" w:sz="8" w:space="0" w:color="000000"/>
            </w:tcBorders>
          </w:tcPr>
          <w:p w14:paraId="7BED09DC" w14:textId="77777777" w:rsidR="00CA03B4" w:rsidRDefault="00000000">
            <w:pPr>
              <w:pStyle w:val="TableParagraph"/>
              <w:spacing w:before="4"/>
              <w:ind w:left="625" w:right="601"/>
              <w:jc w:val="center"/>
              <w:rPr>
                <w:rFonts w:ascii="Calibri"/>
                <w:sz w:val="23"/>
              </w:rPr>
            </w:pPr>
            <w:r>
              <w:rPr>
                <w:rFonts w:ascii="Calibri"/>
                <w:sz w:val="23"/>
              </w:rPr>
              <w:t>0%</w:t>
            </w:r>
          </w:p>
        </w:tc>
      </w:tr>
      <w:tr w:rsidR="00CA03B4" w14:paraId="43B60D61" w14:textId="77777777">
        <w:trPr>
          <w:trHeight w:val="281"/>
        </w:trPr>
        <w:tc>
          <w:tcPr>
            <w:tcW w:w="2434" w:type="dxa"/>
            <w:tcBorders>
              <w:left w:val="single" w:sz="8" w:space="0" w:color="000000"/>
            </w:tcBorders>
          </w:tcPr>
          <w:p w14:paraId="4EC0A41E" w14:textId="77777777" w:rsidR="00CA03B4" w:rsidRDefault="00000000">
            <w:pPr>
              <w:pStyle w:val="TableParagraph"/>
              <w:spacing w:line="262" w:lineRule="exact"/>
              <w:ind w:left="110"/>
              <w:rPr>
                <w:rFonts w:ascii="Calibri"/>
                <w:sz w:val="23"/>
              </w:rPr>
            </w:pPr>
            <w:r>
              <w:rPr>
                <w:rFonts w:ascii="Calibri"/>
                <w:sz w:val="23"/>
              </w:rPr>
              <w:t>N/A</w:t>
            </w:r>
          </w:p>
        </w:tc>
        <w:tc>
          <w:tcPr>
            <w:tcW w:w="1132" w:type="dxa"/>
          </w:tcPr>
          <w:p w14:paraId="4F64E804" w14:textId="77777777" w:rsidR="00CA03B4" w:rsidRDefault="00000000">
            <w:pPr>
              <w:pStyle w:val="TableParagraph"/>
              <w:spacing w:line="262" w:lineRule="exact"/>
              <w:ind w:left="88" w:right="71"/>
              <w:jc w:val="center"/>
              <w:rPr>
                <w:rFonts w:ascii="Calibri"/>
                <w:sz w:val="23"/>
              </w:rPr>
            </w:pPr>
            <w:r>
              <w:rPr>
                <w:rFonts w:ascii="Calibri"/>
                <w:sz w:val="23"/>
              </w:rPr>
              <w:t>Kenai</w:t>
            </w:r>
          </w:p>
        </w:tc>
        <w:tc>
          <w:tcPr>
            <w:tcW w:w="1002" w:type="dxa"/>
            <w:tcBorders>
              <w:right w:val="single" w:sz="8" w:space="0" w:color="000000"/>
            </w:tcBorders>
          </w:tcPr>
          <w:p w14:paraId="6D25C87A" w14:textId="77777777" w:rsidR="00CA03B4" w:rsidRDefault="00000000">
            <w:pPr>
              <w:pStyle w:val="TableParagraph"/>
              <w:spacing w:line="262" w:lineRule="exact"/>
              <w:ind w:left="28"/>
              <w:jc w:val="center"/>
              <w:rPr>
                <w:rFonts w:ascii="Calibri"/>
                <w:sz w:val="23"/>
              </w:rPr>
            </w:pPr>
            <w:r>
              <w:rPr>
                <w:rFonts w:ascii="Calibri"/>
                <w:sz w:val="23"/>
              </w:rPr>
              <w:t>3</w:t>
            </w:r>
          </w:p>
        </w:tc>
        <w:tc>
          <w:tcPr>
            <w:tcW w:w="1194" w:type="dxa"/>
            <w:tcBorders>
              <w:left w:val="single" w:sz="8" w:space="0" w:color="000000"/>
            </w:tcBorders>
          </w:tcPr>
          <w:p w14:paraId="5D88E728" w14:textId="77777777" w:rsidR="00CA03B4" w:rsidRDefault="00000000">
            <w:pPr>
              <w:pStyle w:val="TableParagraph"/>
              <w:spacing w:line="262" w:lineRule="exact"/>
              <w:ind w:right="90"/>
              <w:jc w:val="right"/>
              <w:rPr>
                <w:rFonts w:ascii="Calibri"/>
                <w:sz w:val="23"/>
              </w:rPr>
            </w:pPr>
            <w:r>
              <w:rPr>
                <w:rFonts w:ascii="Calibri"/>
                <w:sz w:val="23"/>
              </w:rPr>
              <w:t>$0.00</w:t>
            </w:r>
          </w:p>
        </w:tc>
        <w:tc>
          <w:tcPr>
            <w:tcW w:w="1248" w:type="dxa"/>
          </w:tcPr>
          <w:p w14:paraId="6818C6AA" w14:textId="77777777" w:rsidR="00CA03B4" w:rsidRDefault="00000000">
            <w:pPr>
              <w:pStyle w:val="TableParagraph"/>
              <w:spacing w:line="262" w:lineRule="exact"/>
              <w:ind w:right="90"/>
              <w:jc w:val="right"/>
              <w:rPr>
                <w:rFonts w:ascii="Calibri"/>
                <w:sz w:val="23"/>
              </w:rPr>
            </w:pPr>
            <w:r>
              <w:rPr>
                <w:rFonts w:ascii="Calibri"/>
                <w:sz w:val="23"/>
              </w:rPr>
              <w:t>$0.00</w:t>
            </w:r>
          </w:p>
        </w:tc>
        <w:tc>
          <w:tcPr>
            <w:tcW w:w="1270" w:type="dxa"/>
            <w:tcBorders>
              <w:right w:val="single" w:sz="8" w:space="0" w:color="000000"/>
            </w:tcBorders>
          </w:tcPr>
          <w:p w14:paraId="198A5F7F" w14:textId="77777777" w:rsidR="00CA03B4" w:rsidRDefault="00000000">
            <w:pPr>
              <w:pStyle w:val="TableParagraph"/>
              <w:spacing w:line="262" w:lineRule="exact"/>
              <w:ind w:right="83"/>
              <w:jc w:val="right"/>
              <w:rPr>
                <w:rFonts w:ascii="Calibri"/>
                <w:sz w:val="23"/>
              </w:rPr>
            </w:pPr>
            <w:r>
              <w:rPr>
                <w:rFonts w:ascii="Calibri"/>
                <w:sz w:val="23"/>
              </w:rPr>
              <w:t>$0.00</w:t>
            </w:r>
          </w:p>
        </w:tc>
        <w:tc>
          <w:tcPr>
            <w:tcW w:w="1800" w:type="dxa"/>
            <w:tcBorders>
              <w:left w:val="single" w:sz="8" w:space="0" w:color="000000"/>
              <w:right w:val="single" w:sz="8" w:space="0" w:color="000000"/>
            </w:tcBorders>
          </w:tcPr>
          <w:p w14:paraId="6C7E48A7" w14:textId="77777777" w:rsidR="00CA03B4" w:rsidRDefault="00000000">
            <w:pPr>
              <w:pStyle w:val="TableParagraph"/>
              <w:spacing w:line="262" w:lineRule="exact"/>
              <w:ind w:left="625" w:right="600"/>
              <w:jc w:val="center"/>
              <w:rPr>
                <w:rFonts w:ascii="Calibri"/>
                <w:sz w:val="23"/>
              </w:rPr>
            </w:pPr>
            <w:r>
              <w:rPr>
                <w:rFonts w:ascii="Calibri"/>
                <w:sz w:val="23"/>
              </w:rPr>
              <w:t>0%</w:t>
            </w:r>
          </w:p>
        </w:tc>
      </w:tr>
      <w:tr w:rsidR="00CA03B4" w14:paraId="55743DD0" w14:textId="77777777">
        <w:trPr>
          <w:trHeight w:val="278"/>
        </w:trPr>
        <w:tc>
          <w:tcPr>
            <w:tcW w:w="4568" w:type="dxa"/>
            <w:gridSpan w:val="3"/>
            <w:tcBorders>
              <w:left w:val="single" w:sz="8" w:space="0" w:color="000000"/>
              <w:right w:val="single" w:sz="8" w:space="0" w:color="000000"/>
            </w:tcBorders>
          </w:tcPr>
          <w:p w14:paraId="3A2C0C7E" w14:textId="77777777" w:rsidR="00CA03B4" w:rsidRDefault="00CA03B4">
            <w:pPr>
              <w:pStyle w:val="TableParagraph"/>
              <w:spacing w:line="240" w:lineRule="auto"/>
              <w:rPr>
                <w:rFonts w:ascii="Times New Roman"/>
                <w:sz w:val="20"/>
              </w:rPr>
            </w:pPr>
          </w:p>
        </w:tc>
        <w:tc>
          <w:tcPr>
            <w:tcW w:w="3712" w:type="dxa"/>
            <w:gridSpan w:val="3"/>
            <w:tcBorders>
              <w:left w:val="single" w:sz="8" w:space="0" w:color="000000"/>
              <w:right w:val="single" w:sz="8" w:space="0" w:color="000000"/>
            </w:tcBorders>
          </w:tcPr>
          <w:p w14:paraId="46E817D6" w14:textId="77777777" w:rsidR="00CA03B4" w:rsidRDefault="00CA03B4">
            <w:pPr>
              <w:pStyle w:val="TableParagraph"/>
              <w:spacing w:line="240" w:lineRule="auto"/>
              <w:rPr>
                <w:rFonts w:ascii="Times New Roman"/>
                <w:sz w:val="20"/>
              </w:rPr>
            </w:pPr>
          </w:p>
        </w:tc>
        <w:tc>
          <w:tcPr>
            <w:tcW w:w="1800" w:type="dxa"/>
            <w:tcBorders>
              <w:left w:val="single" w:sz="8" w:space="0" w:color="000000"/>
              <w:right w:val="single" w:sz="8" w:space="0" w:color="000000"/>
            </w:tcBorders>
          </w:tcPr>
          <w:p w14:paraId="50E75351" w14:textId="77777777" w:rsidR="00CA03B4" w:rsidRDefault="00CA03B4">
            <w:pPr>
              <w:pStyle w:val="TableParagraph"/>
              <w:spacing w:line="240" w:lineRule="auto"/>
              <w:rPr>
                <w:rFonts w:ascii="Times New Roman"/>
                <w:sz w:val="20"/>
              </w:rPr>
            </w:pPr>
          </w:p>
        </w:tc>
      </w:tr>
      <w:tr w:rsidR="00CA03B4" w14:paraId="7CB1E39D" w14:textId="77777777">
        <w:trPr>
          <w:trHeight w:val="281"/>
        </w:trPr>
        <w:tc>
          <w:tcPr>
            <w:tcW w:w="2434" w:type="dxa"/>
            <w:tcBorders>
              <w:left w:val="single" w:sz="8" w:space="0" w:color="000000"/>
            </w:tcBorders>
          </w:tcPr>
          <w:p w14:paraId="67744A46" w14:textId="77777777" w:rsidR="00CA03B4" w:rsidRDefault="00000000">
            <w:pPr>
              <w:pStyle w:val="TableParagraph"/>
              <w:spacing w:before="4"/>
              <w:ind w:left="110"/>
              <w:rPr>
                <w:rFonts w:ascii="Calibri"/>
                <w:sz w:val="23"/>
              </w:rPr>
            </w:pPr>
            <w:r>
              <w:rPr>
                <w:rFonts w:ascii="Calibri"/>
                <w:sz w:val="23"/>
              </w:rPr>
              <w:t>Ever/ Island Electric</w:t>
            </w:r>
          </w:p>
        </w:tc>
        <w:tc>
          <w:tcPr>
            <w:tcW w:w="1132" w:type="dxa"/>
          </w:tcPr>
          <w:p w14:paraId="735246FA" w14:textId="77777777" w:rsidR="00CA03B4" w:rsidRDefault="00000000">
            <w:pPr>
              <w:pStyle w:val="TableParagraph"/>
              <w:spacing w:before="4"/>
              <w:ind w:left="88" w:right="75"/>
              <w:jc w:val="center"/>
              <w:rPr>
                <w:rFonts w:ascii="Calibri"/>
                <w:sz w:val="23"/>
              </w:rPr>
            </w:pPr>
            <w:r>
              <w:rPr>
                <w:rFonts w:ascii="Calibri"/>
                <w:sz w:val="23"/>
              </w:rPr>
              <w:t>Ketchikan</w:t>
            </w:r>
          </w:p>
        </w:tc>
        <w:tc>
          <w:tcPr>
            <w:tcW w:w="1002" w:type="dxa"/>
            <w:tcBorders>
              <w:right w:val="single" w:sz="8" w:space="0" w:color="000000"/>
            </w:tcBorders>
          </w:tcPr>
          <w:p w14:paraId="3679E613" w14:textId="77777777" w:rsidR="00CA03B4" w:rsidRDefault="00000000">
            <w:pPr>
              <w:pStyle w:val="TableParagraph"/>
              <w:spacing w:before="4"/>
              <w:ind w:left="28"/>
              <w:jc w:val="center"/>
              <w:rPr>
                <w:rFonts w:ascii="Calibri"/>
                <w:sz w:val="23"/>
              </w:rPr>
            </w:pPr>
            <w:r>
              <w:rPr>
                <w:rFonts w:ascii="Calibri"/>
                <w:sz w:val="23"/>
              </w:rPr>
              <w:t>1</w:t>
            </w:r>
          </w:p>
        </w:tc>
        <w:tc>
          <w:tcPr>
            <w:tcW w:w="1194" w:type="dxa"/>
            <w:tcBorders>
              <w:left w:val="single" w:sz="8" w:space="0" w:color="000000"/>
            </w:tcBorders>
          </w:tcPr>
          <w:p w14:paraId="7D7C271D" w14:textId="77777777" w:rsidR="00CA03B4" w:rsidRDefault="00000000">
            <w:pPr>
              <w:pStyle w:val="TableParagraph"/>
              <w:spacing w:before="4"/>
              <w:ind w:right="90"/>
              <w:jc w:val="right"/>
              <w:rPr>
                <w:rFonts w:ascii="Calibri"/>
                <w:sz w:val="23"/>
              </w:rPr>
            </w:pPr>
            <w:r>
              <w:rPr>
                <w:rFonts w:ascii="Calibri"/>
                <w:sz w:val="23"/>
              </w:rPr>
              <w:t>$95.00</w:t>
            </w:r>
          </w:p>
        </w:tc>
        <w:tc>
          <w:tcPr>
            <w:tcW w:w="1248" w:type="dxa"/>
          </w:tcPr>
          <w:p w14:paraId="1EF576ED" w14:textId="77777777" w:rsidR="00CA03B4" w:rsidRDefault="00000000">
            <w:pPr>
              <w:pStyle w:val="TableParagraph"/>
              <w:spacing w:before="4"/>
              <w:ind w:right="90"/>
              <w:jc w:val="right"/>
              <w:rPr>
                <w:rFonts w:ascii="Calibri"/>
                <w:sz w:val="23"/>
              </w:rPr>
            </w:pPr>
            <w:r>
              <w:rPr>
                <w:rFonts w:ascii="Calibri"/>
                <w:sz w:val="23"/>
              </w:rPr>
              <w:t>$125.00</w:t>
            </w:r>
          </w:p>
        </w:tc>
        <w:tc>
          <w:tcPr>
            <w:tcW w:w="1270" w:type="dxa"/>
            <w:tcBorders>
              <w:right w:val="single" w:sz="8" w:space="0" w:color="000000"/>
            </w:tcBorders>
          </w:tcPr>
          <w:p w14:paraId="49E03172" w14:textId="77777777" w:rsidR="00CA03B4" w:rsidRDefault="00000000">
            <w:pPr>
              <w:pStyle w:val="TableParagraph"/>
              <w:spacing w:before="4"/>
              <w:ind w:right="83"/>
              <w:jc w:val="right"/>
              <w:rPr>
                <w:rFonts w:ascii="Calibri"/>
                <w:sz w:val="23"/>
              </w:rPr>
            </w:pPr>
            <w:r>
              <w:rPr>
                <w:rFonts w:ascii="Calibri"/>
                <w:sz w:val="23"/>
              </w:rPr>
              <w:t>$150.00</w:t>
            </w:r>
          </w:p>
        </w:tc>
        <w:tc>
          <w:tcPr>
            <w:tcW w:w="1800" w:type="dxa"/>
            <w:tcBorders>
              <w:left w:val="single" w:sz="8" w:space="0" w:color="000000"/>
              <w:right w:val="single" w:sz="8" w:space="0" w:color="000000"/>
            </w:tcBorders>
          </w:tcPr>
          <w:p w14:paraId="38D5C9F7" w14:textId="77777777" w:rsidR="00CA03B4" w:rsidRDefault="00000000">
            <w:pPr>
              <w:pStyle w:val="TableParagraph"/>
              <w:spacing w:before="4"/>
              <w:ind w:left="625" w:right="601"/>
              <w:jc w:val="center"/>
              <w:rPr>
                <w:rFonts w:ascii="Calibri"/>
                <w:sz w:val="23"/>
              </w:rPr>
            </w:pPr>
            <w:r>
              <w:rPr>
                <w:rFonts w:ascii="Calibri"/>
                <w:sz w:val="23"/>
              </w:rPr>
              <w:t>+15%</w:t>
            </w:r>
          </w:p>
        </w:tc>
      </w:tr>
      <w:tr w:rsidR="00CA03B4" w14:paraId="049EAE97" w14:textId="77777777">
        <w:trPr>
          <w:trHeight w:val="282"/>
        </w:trPr>
        <w:tc>
          <w:tcPr>
            <w:tcW w:w="2434" w:type="dxa"/>
            <w:tcBorders>
              <w:left w:val="single" w:sz="8" w:space="0" w:color="000000"/>
            </w:tcBorders>
          </w:tcPr>
          <w:p w14:paraId="4F760AE6" w14:textId="77777777" w:rsidR="00CA03B4" w:rsidRDefault="00000000">
            <w:pPr>
              <w:pStyle w:val="TableParagraph"/>
              <w:spacing w:before="4"/>
              <w:ind w:left="110"/>
              <w:rPr>
                <w:rFonts w:ascii="Calibri"/>
                <w:sz w:val="23"/>
              </w:rPr>
            </w:pPr>
            <w:r>
              <w:rPr>
                <w:rFonts w:ascii="Calibri"/>
                <w:sz w:val="23"/>
              </w:rPr>
              <w:t>N/A</w:t>
            </w:r>
          </w:p>
        </w:tc>
        <w:tc>
          <w:tcPr>
            <w:tcW w:w="1132" w:type="dxa"/>
          </w:tcPr>
          <w:p w14:paraId="7E8D05F9" w14:textId="77777777" w:rsidR="00CA03B4" w:rsidRDefault="00000000">
            <w:pPr>
              <w:pStyle w:val="TableParagraph"/>
              <w:spacing w:before="4"/>
              <w:ind w:left="88" w:right="75"/>
              <w:jc w:val="center"/>
              <w:rPr>
                <w:rFonts w:ascii="Calibri"/>
                <w:sz w:val="23"/>
              </w:rPr>
            </w:pPr>
            <w:r>
              <w:rPr>
                <w:rFonts w:ascii="Calibri"/>
                <w:sz w:val="23"/>
              </w:rPr>
              <w:t>Ketchikan</w:t>
            </w:r>
          </w:p>
        </w:tc>
        <w:tc>
          <w:tcPr>
            <w:tcW w:w="1002" w:type="dxa"/>
            <w:tcBorders>
              <w:right w:val="single" w:sz="8" w:space="0" w:color="000000"/>
            </w:tcBorders>
          </w:tcPr>
          <w:p w14:paraId="032B1B4B" w14:textId="77777777" w:rsidR="00CA03B4" w:rsidRDefault="00000000">
            <w:pPr>
              <w:pStyle w:val="TableParagraph"/>
              <w:spacing w:before="4"/>
              <w:ind w:left="28"/>
              <w:jc w:val="center"/>
              <w:rPr>
                <w:rFonts w:ascii="Calibri"/>
                <w:sz w:val="23"/>
              </w:rPr>
            </w:pPr>
            <w:r>
              <w:rPr>
                <w:rFonts w:ascii="Calibri"/>
                <w:sz w:val="23"/>
              </w:rPr>
              <w:t>2</w:t>
            </w:r>
          </w:p>
        </w:tc>
        <w:tc>
          <w:tcPr>
            <w:tcW w:w="1194" w:type="dxa"/>
            <w:tcBorders>
              <w:left w:val="single" w:sz="8" w:space="0" w:color="000000"/>
            </w:tcBorders>
          </w:tcPr>
          <w:p w14:paraId="27C2CD36" w14:textId="77777777" w:rsidR="00CA03B4" w:rsidRDefault="00000000">
            <w:pPr>
              <w:pStyle w:val="TableParagraph"/>
              <w:spacing w:before="4"/>
              <w:ind w:right="90"/>
              <w:jc w:val="right"/>
              <w:rPr>
                <w:rFonts w:ascii="Calibri"/>
                <w:sz w:val="23"/>
              </w:rPr>
            </w:pPr>
            <w:r>
              <w:rPr>
                <w:rFonts w:ascii="Calibri"/>
                <w:sz w:val="23"/>
              </w:rPr>
              <w:t>$0.00</w:t>
            </w:r>
          </w:p>
        </w:tc>
        <w:tc>
          <w:tcPr>
            <w:tcW w:w="1248" w:type="dxa"/>
          </w:tcPr>
          <w:p w14:paraId="77475699" w14:textId="77777777" w:rsidR="00CA03B4" w:rsidRDefault="00000000">
            <w:pPr>
              <w:pStyle w:val="TableParagraph"/>
              <w:spacing w:before="4"/>
              <w:ind w:right="90"/>
              <w:jc w:val="right"/>
              <w:rPr>
                <w:rFonts w:ascii="Calibri"/>
                <w:sz w:val="23"/>
              </w:rPr>
            </w:pPr>
            <w:r>
              <w:rPr>
                <w:rFonts w:ascii="Calibri"/>
                <w:sz w:val="23"/>
              </w:rPr>
              <w:t>$0.00</w:t>
            </w:r>
          </w:p>
        </w:tc>
        <w:tc>
          <w:tcPr>
            <w:tcW w:w="1270" w:type="dxa"/>
            <w:tcBorders>
              <w:right w:val="single" w:sz="8" w:space="0" w:color="000000"/>
            </w:tcBorders>
          </w:tcPr>
          <w:p w14:paraId="06D23574" w14:textId="77777777" w:rsidR="00CA03B4" w:rsidRDefault="00000000">
            <w:pPr>
              <w:pStyle w:val="TableParagraph"/>
              <w:spacing w:before="4"/>
              <w:ind w:right="83"/>
              <w:jc w:val="right"/>
              <w:rPr>
                <w:rFonts w:ascii="Calibri"/>
                <w:sz w:val="23"/>
              </w:rPr>
            </w:pPr>
            <w:r>
              <w:rPr>
                <w:rFonts w:ascii="Calibri"/>
                <w:sz w:val="23"/>
              </w:rPr>
              <w:t>$0.00</w:t>
            </w:r>
          </w:p>
        </w:tc>
        <w:tc>
          <w:tcPr>
            <w:tcW w:w="1800" w:type="dxa"/>
            <w:tcBorders>
              <w:left w:val="single" w:sz="8" w:space="0" w:color="000000"/>
              <w:right w:val="single" w:sz="8" w:space="0" w:color="000000"/>
            </w:tcBorders>
          </w:tcPr>
          <w:p w14:paraId="49595F02" w14:textId="77777777" w:rsidR="00CA03B4" w:rsidRDefault="00000000">
            <w:pPr>
              <w:pStyle w:val="TableParagraph"/>
              <w:spacing w:before="4"/>
              <w:ind w:left="625" w:right="601"/>
              <w:jc w:val="center"/>
              <w:rPr>
                <w:rFonts w:ascii="Calibri"/>
                <w:sz w:val="23"/>
              </w:rPr>
            </w:pPr>
            <w:r>
              <w:rPr>
                <w:rFonts w:ascii="Calibri"/>
                <w:sz w:val="23"/>
              </w:rPr>
              <w:t>0%</w:t>
            </w:r>
          </w:p>
        </w:tc>
      </w:tr>
      <w:tr w:rsidR="00CA03B4" w14:paraId="179EE513" w14:textId="77777777">
        <w:trPr>
          <w:trHeight w:val="277"/>
        </w:trPr>
        <w:tc>
          <w:tcPr>
            <w:tcW w:w="2434" w:type="dxa"/>
            <w:tcBorders>
              <w:left w:val="single" w:sz="8" w:space="0" w:color="000000"/>
            </w:tcBorders>
          </w:tcPr>
          <w:p w14:paraId="569C88AF" w14:textId="77777777" w:rsidR="00CA03B4" w:rsidRDefault="00000000">
            <w:pPr>
              <w:pStyle w:val="TableParagraph"/>
              <w:ind w:left="110"/>
              <w:rPr>
                <w:rFonts w:ascii="Calibri"/>
                <w:sz w:val="23"/>
              </w:rPr>
            </w:pPr>
            <w:r>
              <w:rPr>
                <w:rFonts w:ascii="Calibri"/>
                <w:sz w:val="23"/>
              </w:rPr>
              <w:t>N/A</w:t>
            </w:r>
          </w:p>
        </w:tc>
        <w:tc>
          <w:tcPr>
            <w:tcW w:w="1132" w:type="dxa"/>
          </w:tcPr>
          <w:p w14:paraId="4E347365" w14:textId="77777777" w:rsidR="00CA03B4" w:rsidRDefault="00000000">
            <w:pPr>
              <w:pStyle w:val="TableParagraph"/>
              <w:ind w:left="88" w:right="75"/>
              <w:jc w:val="center"/>
              <w:rPr>
                <w:rFonts w:ascii="Calibri"/>
                <w:sz w:val="23"/>
              </w:rPr>
            </w:pPr>
            <w:r>
              <w:rPr>
                <w:rFonts w:ascii="Calibri"/>
                <w:sz w:val="23"/>
              </w:rPr>
              <w:t>Ketchikan</w:t>
            </w:r>
          </w:p>
        </w:tc>
        <w:tc>
          <w:tcPr>
            <w:tcW w:w="1002" w:type="dxa"/>
            <w:tcBorders>
              <w:right w:val="single" w:sz="8" w:space="0" w:color="000000"/>
            </w:tcBorders>
          </w:tcPr>
          <w:p w14:paraId="4D3BD104" w14:textId="77777777" w:rsidR="00CA03B4" w:rsidRDefault="00000000">
            <w:pPr>
              <w:pStyle w:val="TableParagraph"/>
              <w:ind w:left="28"/>
              <w:jc w:val="center"/>
              <w:rPr>
                <w:rFonts w:ascii="Calibri"/>
                <w:sz w:val="23"/>
              </w:rPr>
            </w:pPr>
            <w:r>
              <w:rPr>
                <w:rFonts w:ascii="Calibri"/>
                <w:sz w:val="23"/>
              </w:rPr>
              <w:t>3</w:t>
            </w:r>
          </w:p>
        </w:tc>
        <w:tc>
          <w:tcPr>
            <w:tcW w:w="1194" w:type="dxa"/>
            <w:tcBorders>
              <w:left w:val="single" w:sz="8" w:space="0" w:color="000000"/>
            </w:tcBorders>
          </w:tcPr>
          <w:p w14:paraId="0ACE72CE" w14:textId="77777777" w:rsidR="00CA03B4" w:rsidRDefault="00000000">
            <w:pPr>
              <w:pStyle w:val="TableParagraph"/>
              <w:ind w:right="90"/>
              <w:jc w:val="right"/>
              <w:rPr>
                <w:rFonts w:ascii="Calibri"/>
                <w:sz w:val="23"/>
              </w:rPr>
            </w:pPr>
            <w:r>
              <w:rPr>
                <w:rFonts w:ascii="Calibri"/>
                <w:sz w:val="23"/>
              </w:rPr>
              <w:t>$0.00</w:t>
            </w:r>
          </w:p>
        </w:tc>
        <w:tc>
          <w:tcPr>
            <w:tcW w:w="1248" w:type="dxa"/>
          </w:tcPr>
          <w:p w14:paraId="2D16EEFA" w14:textId="77777777" w:rsidR="00CA03B4" w:rsidRDefault="00000000">
            <w:pPr>
              <w:pStyle w:val="TableParagraph"/>
              <w:ind w:right="90"/>
              <w:jc w:val="right"/>
              <w:rPr>
                <w:rFonts w:ascii="Calibri"/>
                <w:sz w:val="23"/>
              </w:rPr>
            </w:pPr>
            <w:r>
              <w:rPr>
                <w:rFonts w:ascii="Calibri"/>
                <w:sz w:val="23"/>
              </w:rPr>
              <w:t>$0.00</w:t>
            </w:r>
          </w:p>
        </w:tc>
        <w:tc>
          <w:tcPr>
            <w:tcW w:w="1270" w:type="dxa"/>
            <w:tcBorders>
              <w:right w:val="single" w:sz="8" w:space="0" w:color="000000"/>
            </w:tcBorders>
          </w:tcPr>
          <w:p w14:paraId="63DAB1C1" w14:textId="77777777" w:rsidR="00CA03B4" w:rsidRDefault="00000000">
            <w:pPr>
              <w:pStyle w:val="TableParagraph"/>
              <w:ind w:right="83"/>
              <w:jc w:val="right"/>
              <w:rPr>
                <w:rFonts w:ascii="Calibri"/>
                <w:sz w:val="23"/>
              </w:rPr>
            </w:pPr>
            <w:r>
              <w:rPr>
                <w:rFonts w:ascii="Calibri"/>
                <w:sz w:val="23"/>
              </w:rPr>
              <w:t>$0.00</w:t>
            </w:r>
          </w:p>
        </w:tc>
        <w:tc>
          <w:tcPr>
            <w:tcW w:w="1800" w:type="dxa"/>
            <w:tcBorders>
              <w:left w:val="single" w:sz="8" w:space="0" w:color="000000"/>
              <w:right w:val="single" w:sz="8" w:space="0" w:color="000000"/>
            </w:tcBorders>
          </w:tcPr>
          <w:p w14:paraId="57E21726" w14:textId="77777777" w:rsidR="00CA03B4" w:rsidRDefault="00000000">
            <w:pPr>
              <w:pStyle w:val="TableParagraph"/>
              <w:ind w:left="625" w:right="601"/>
              <w:jc w:val="center"/>
              <w:rPr>
                <w:rFonts w:ascii="Calibri"/>
                <w:sz w:val="23"/>
              </w:rPr>
            </w:pPr>
            <w:r>
              <w:rPr>
                <w:rFonts w:ascii="Calibri"/>
                <w:sz w:val="23"/>
              </w:rPr>
              <w:t>0%</w:t>
            </w:r>
          </w:p>
        </w:tc>
      </w:tr>
      <w:tr w:rsidR="00CA03B4" w14:paraId="6BC953BB" w14:textId="77777777">
        <w:trPr>
          <w:trHeight w:val="282"/>
        </w:trPr>
        <w:tc>
          <w:tcPr>
            <w:tcW w:w="4568" w:type="dxa"/>
            <w:gridSpan w:val="3"/>
            <w:tcBorders>
              <w:left w:val="single" w:sz="8" w:space="0" w:color="000000"/>
              <w:right w:val="single" w:sz="8" w:space="0" w:color="000000"/>
            </w:tcBorders>
          </w:tcPr>
          <w:p w14:paraId="45C6BC54" w14:textId="77777777" w:rsidR="00CA03B4" w:rsidRDefault="00CA03B4">
            <w:pPr>
              <w:pStyle w:val="TableParagraph"/>
              <w:spacing w:line="240" w:lineRule="auto"/>
              <w:rPr>
                <w:rFonts w:ascii="Times New Roman"/>
                <w:sz w:val="20"/>
              </w:rPr>
            </w:pPr>
          </w:p>
        </w:tc>
        <w:tc>
          <w:tcPr>
            <w:tcW w:w="3712" w:type="dxa"/>
            <w:gridSpan w:val="3"/>
            <w:tcBorders>
              <w:left w:val="single" w:sz="8" w:space="0" w:color="000000"/>
              <w:right w:val="single" w:sz="8" w:space="0" w:color="000000"/>
            </w:tcBorders>
          </w:tcPr>
          <w:p w14:paraId="7433C5B8" w14:textId="77777777" w:rsidR="00CA03B4" w:rsidRDefault="00CA03B4">
            <w:pPr>
              <w:pStyle w:val="TableParagraph"/>
              <w:spacing w:line="240" w:lineRule="auto"/>
              <w:rPr>
                <w:rFonts w:ascii="Times New Roman"/>
                <w:sz w:val="20"/>
              </w:rPr>
            </w:pPr>
          </w:p>
        </w:tc>
        <w:tc>
          <w:tcPr>
            <w:tcW w:w="1800" w:type="dxa"/>
            <w:tcBorders>
              <w:left w:val="single" w:sz="8" w:space="0" w:color="000000"/>
              <w:right w:val="single" w:sz="8" w:space="0" w:color="000000"/>
            </w:tcBorders>
          </w:tcPr>
          <w:p w14:paraId="01351092" w14:textId="77777777" w:rsidR="00CA03B4" w:rsidRDefault="00CA03B4">
            <w:pPr>
              <w:pStyle w:val="TableParagraph"/>
              <w:spacing w:line="240" w:lineRule="auto"/>
              <w:rPr>
                <w:rFonts w:ascii="Times New Roman"/>
                <w:sz w:val="20"/>
              </w:rPr>
            </w:pPr>
          </w:p>
        </w:tc>
      </w:tr>
      <w:tr w:rsidR="00CA03B4" w14:paraId="4EE530B7" w14:textId="77777777">
        <w:trPr>
          <w:trHeight w:val="282"/>
        </w:trPr>
        <w:tc>
          <w:tcPr>
            <w:tcW w:w="2434" w:type="dxa"/>
            <w:tcBorders>
              <w:left w:val="single" w:sz="8" w:space="0" w:color="000000"/>
            </w:tcBorders>
          </w:tcPr>
          <w:p w14:paraId="259E0A99" w14:textId="77777777" w:rsidR="00CA03B4" w:rsidRDefault="00000000">
            <w:pPr>
              <w:pStyle w:val="TableParagraph"/>
              <w:spacing w:before="4"/>
              <w:ind w:left="110"/>
              <w:rPr>
                <w:rFonts w:ascii="Calibri"/>
                <w:sz w:val="23"/>
              </w:rPr>
            </w:pPr>
            <w:r>
              <w:rPr>
                <w:rFonts w:ascii="Calibri"/>
                <w:sz w:val="23"/>
              </w:rPr>
              <w:t>Alcan Electric</w:t>
            </w:r>
          </w:p>
        </w:tc>
        <w:tc>
          <w:tcPr>
            <w:tcW w:w="1132" w:type="dxa"/>
          </w:tcPr>
          <w:p w14:paraId="3B09508C" w14:textId="77777777" w:rsidR="00CA03B4" w:rsidRDefault="00000000">
            <w:pPr>
              <w:pStyle w:val="TableParagraph"/>
              <w:spacing w:before="4"/>
              <w:ind w:left="82" w:right="75"/>
              <w:jc w:val="center"/>
              <w:rPr>
                <w:rFonts w:ascii="Calibri"/>
                <w:sz w:val="23"/>
              </w:rPr>
            </w:pPr>
            <w:r>
              <w:rPr>
                <w:rFonts w:ascii="Calibri"/>
                <w:sz w:val="23"/>
              </w:rPr>
              <w:t>Mat-</w:t>
            </w:r>
            <w:proofErr w:type="spellStart"/>
            <w:r>
              <w:rPr>
                <w:rFonts w:ascii="Calibri"/>
                <w:sz w:val="23"/>
              </w:rPr>
              <w:t>Su</w:t>
            </w:r>
            <w:proofErr w:type="spellEnd"/>
          </w:p>
        </w:tc>
        <w:tc>
          <w:tcPr>
            <w:tcW w:w="1002" w:type="dxa"/>
            <w:tcBorders>
              <w:right w:val="single" w:sz="8" w:space="0" w:color="000000"/>
            </w:tcBorders>
          </w:tcPr>
          <w:p w14:paraId="6F63D0D7" w14:textId="77777777" w:rsidR="00CA03B4" w:rsidRDefault="00000000">
            <w:pPr>
              <w:pStyle w:val="TableParagraph"/>
              <w:spacing w:before="4"/>
              <w:ind w:left="28"/>
              <w:jc w:val="center"/>
              <w:rPr>
                <w:rFonts w:ascii="Calibri"/>
                <w:sz w:val="23"/>
              </w:rPr>
            </w:pPr>
            <w:r>
              <w:rPr>
                <w:rFonts w:ascii="Calibri"/>
                <w:sz w:val="23"/>
              </w:rPr>
              <w:t>1</w:t>
            </w:r>
          </w:p>
        </w:tc>
        <w:tc>
          <w:tcPr>
            <w:tcW w:w="1194" w:type="dxa"/>
            <w:tcBorders>
              <w:left w:val="single" w:sz="8" w:space="0" w:color="000000"/>
            </w:tcBorders>
          </w:tcPr>
          <w:p w14:paraId="634FBAF8" w14:textId="77777777" w:rsidR="00CA03B4" w:rsidRDefault="00000000">
            <w:pPr>
              <w:pStyle w:val="TableParagraph"/>
              <w:spacing w:before="4"/>
              <w:ind w:right="90"/>
              <w:jc w:val="right"/>
              <w:rPr>
                <w:rFonts w:ascii="Calibri"/>
                <w:sz w:val="23"/>
              </w:rPr>
            </w:pPr>
            <w:r>
              <w:rPr>
                <w:rFonts w:ascii="Calibri"/>
                <w:sz w:val="23"/>
              </w:rPr>
              <w:t>$92.56</w:t>
            </w:r>
          </w:p>
        </w:tc>
        <w:tc>
          <w:tcPr>
            <w:tcW w:w="1248" w:type="dxa"/>
          </w:tcPr>
          <w:p w14:paraId="04C4A778" w14:textId="77777777" w:rsidR="00CA03B4" w:rsidRDefault="00000000">
            <w:pPr>
              <w:pStyle w:val="TableParagraph"/>
              <w:spacing w:before="4"/>
              <w:ind w:right="90"/>
              <w:jc w:val="right"/>
              <w:rPr>
                <w:rFonts w:ascii="Calibri"/>
                <w:sz w:val="23"/>
              </w:rPr>
            </w:pPr>
            <w:r>
              <w:rPr>
                <w:rFonts w:ascii="Calibri"/>
                <w:sz w:val="23"/>
              </w:rPr>
              <w:t>$121.00</w:t>
            </w:r>
          </w:p>
        </w:tc>
        <w:tc>
          <w:tcPr>
            <w:tcW w:w="1270" w:type="dxa"/>
            <w:tcBorders>
              <w:right w:val="single" w:sz="8" w:space="0" w:color="000000"/>
            </w:tcBorders>
          </w:tcPr>
          <w:p w14:paraId="0759653D" w14:textId="77777777" w:rsidR="00CA03B4" w:rsidRDefault="00000000">
            <w:pPr>
              <w:pStyle w:val="TableParagraph"/>
              <w:spacing w:before="4"/>
              <w:ind w:right="83"/>
              <w:jc w:val="right"/>
              <w:rPr>
                <w:rFonts w:ascii="Calibri"/>
                <w:sz w:val="23"/>
              </w:rPr>
            </w:pPr>
            <w:r>
              <w:rPr>
                <w:rFonts w:ascii="Calibri"/>
                <w:sz w:val="23"/>
              </w:rPr>
              <w:t>$149.45</w:t>
            </w:r>
          </w:p>
        </w:tc>
        <w:tc>
          <w:tcPr>
            <w:tcW w:w="1800" w:type="dxa"/>
            <w:tcBorders>
              <w:left w:val="single" w:sz="8" w:space="0" w:color="000000"/>
              <w:right w:val="single" w:sz="8" w:space="0" w:color="000000"/>
            </w:tcBorders>
          </w:tcPr>
          <w:p w14:paraId="0B8D82F2" w14:textId="77777777" w:rsidR="00CA03B4" w:rsidRDefault="00000000">
            <w:pPr>
              <w:pStyle w:val="TableParagraph"/>
              <w:spacing w:before="4"/>
              <w:ind w:left="625" w:right="601"/>
              <w:jc w:val="center"/>
              <w:rPr>
                <w:rFonts w:ascii="Calibri"/>
                <w:sz w:val="23"/>
              </w:rPr>
            </w:pPr>
            <w:r>
              <w:rPr>
                <w:rFonts w:ascii="Calibri"/>
                <w:sz w:val="23"/>
              </w:rPr>
              <w:t>+20%</w:t>
            </w:r>
          </w:p>
        </w:tc>
      </w:tr>
      <w:tr w:rsidR="00CA03B4" w14:paraId="5A5B2022" w14:textId="77777777">
        <w:trPr>
          <w:trHeight w:val="281"/>
        </w:trPr>
        <w:tc>
          <w:tcPr>
            <w:tcW w:w="2434" w:type="dxa"/>
            <w:tcBorders>
              <w:left w:val="single" w:sz="8" w:space="0" w:color="000000"/>
            </w:tcBorders>
          </w:tcPr>
          <w:p w14:paraId="498ABC2A" w14:textId="77777777" w:rsidR="00CA03B4" w:rsidRDefault="00000000">
            <w:pPr>
              <w:pStyle w:val="TableParagraph"/>
              <w:spacing w:line="262" w:lineRule="exact"/>
              <w:ind w:left="110"/>
              <w:rPr>
                <w:rFonts w:ascii="Calibri"/>
                <w:sz w:val="23"/>
              </w:rPr>
            </w:pPr>
            <w:r>
              <w:rPr>
                <w:rFonts w:ascii="Calibri"/>
                <w:sz w:val="23"/>
              </w:rPr>
              <w:t>Premier Electric</w:t>
            </w:r>
          </w:p>
        </w:tc>
        <w:tc>
          <w:tcPr>
            <w:tcW w:w="1132" w:type="dxa"/>
          </w:tcPr>
          <w:p w14:paraId="6A616F5F" w14:textId="77777777" w:rsidR="00CA03B4" w:rsidRDefault="00000000">
            <w:pPr>
              <w:pStyle w:val="TableParagraph"/>
              <w:spacing w:line="262" w:lineRule="exact"/>
              <w:ind w:left="82" w:right="75"/>
              <w:jc w:val="center"/>
              <w:rPr>
                <w:rFonts w:ascii="Calibri"/>
                <w:sz w:val="23"/>
              </w:rPr>
            </w:pPr>
            <w:r>
              <w:rPr>
                <w:rFonts w:ascii="Calibri"/>
                <w:sz w:val="23"/>
              </w:rPr>
              <w:t>Mat-</w:t>
            </w:r>
            <w:proofErr w:type="spellStart"/>
            <w:r>
              <w:rPr>
                <w:rFonts w:ascii="Calibri"/>
                <w:sz w:val="23"/>
              </w:rPr>
              <w:t>Su</w:t>
            </w:r>
            <w:proofErr w:type="spellEnd"/>
          </w:p>
        </w:tc>
        <w:tc>
          <w:tcPr>
            <w:tcW w:w="1002" w:type="dxa"/>
            <w:tcBorders>
              <w:right w:val="single" w:sz="8" w:space="0" w:color="000000"/>
            </w:tcBorders>
          </w:tcPr>
          <w:p w14:paraId="36FA80BB" w14:textId="77777777" w:rsidR="00CA03B4" w:rsidRDefault="00000000">
            <w:pPr>
              <w:pStyle w:val="TableParagraph"/>
              <w:spacing w:line="262" w:lineRule="exact"/>
              <w:ind w:left="28"/>
              <w:jc w:val="center"/>
              <w:rPr>
                <w:rFonts w:ascii="Calibri"/>
                <w:sz w:val="23"/>
              </w:rPr>
            </w:pPr>
            <w:r>
              <w:rPr>
                <w:rFonts w:ascii="Calibri"/>
                <w:sz w:val="23"/>
              </w:rPr>
              <w:t>2</w:t>
            </w:r>
          </w:p>
        </w:tc>
        <w:tc>
          <w:tcPr>
            <w:tcW w:w="1194" w:type="dxa"/>
            <w:tcBorders>
              <w:left w:val="single" w:sz="8" w:space="0" w:color="000000"/>
            </w:tcBorders>
          </w:tcPr>
          <w:p w14:paraId="43294B05" w14:textId="77777777" w:rsidR="00CA03B4" w:rsidRDefault="00000000">
            <w:pPr>
              <w:pStyle w:val="TableParagraph"/>
              <w:spacing w:line="262" w:lineRule="exact"/>
              <w:ind w:right="90"/>
              <w:jc w:val="right"/>
              <w:rPr>
                <w:rFonts w:ascii="Calibri"/>
                <w:sz w:val="23"/>
              </w:rPr>
            </w:pPr>
            <w:r>
              <w:rPr>
                <w:rFonts w:ascii="Calibri"/>
                <w:sz w:val="23"/>
              </w:rPr>
              <w:t>$94.00</w:t>
            </w:r>
          </w:p>
        </w:tc>
        <w:tc>
          <w:tcPr>
            <w:tcW w:w="1248" w:type="dxa"/>
          </w:tcPr>
          <w:p w14:paraId="222FC46D" w14:textId="77777777" w:rsidR="00CA03B4" w:rsidRDefault="00000000">
            <w:pPr>
              <w:pStyle w:val="TableParagraph"/>
              <w:spacing w:line="262" w:lineRule="exact"/>
              <w:ind w:right="90"/>
              <w:jc w:val="right"/>
              <w:rPr>
                <w:rFonts w:ascii="Calibri"/>
                <w:sz w:val="23"/>
              </w:rPr>
            </w:pPr>
            <w:r>
              <w:rPr>
                <w:rFonts w:ascii="Calibri"/>
                <w:sz w:val="23"/>
              </w:rPr>
              <w:t>$124.00</w:t>
            </w:r>
          </w:p>
        </w:tc>
        <w:tc>
          <w:tcPr>
            <w:tcW w:w="1270" w:type="dxa"/>
            <w:tcBorders>
              <w:right w:val="single" w:sz="8" w:space="0" w:color="000000"/>
            </w:tcBorders>
          </w:tcPr>
          <w:p w14:paraId="1D8F59A0" w14:textId="77777777" w:rsidR="00CA03B4" w:rsidRDefault="00000000">
            <w:pPr>
              <w:pStyle w:val="TableParagraph"/>
              <w:spacing w:line="262" w:lineRule="exact"/>
              <w:ind w:right="83"/>
              <w:jc w:val="right"/>
              <w:rPr>
                <w:rFonts w:ascii="Calibri"/>
                <w:sz w:val="23"/>
              </w:rPr>
            </w:pPr>
            <w:r>
              <w:rPr>
                <w:rFonts w:ascii="Calibri"/>
                <w:sz w:val="23"/>
              </w:rPr>
              <w:t>$190.00</w:t>
            </w:r>
          </w:p>
        </w:tc>
        <w:tc>
          <w:tcPr>
            <w:tcW w:w="1800" w:type="dxa"/>
            <w:tcBorders>
              <w:left w:val="single" w:sz="8" w:space="0" w:color="000000"/>
              <w:right w:val="single" w:sz="8" w:space="0" w:color="000000"/>
            </w:tcBorders>
          </w:tcPr>
          <w:p w14:paraId="1F6E024E" w14:textId="77777777" w:rsidR="00CA03B4" w:rsidRDefault="00000000">
            <w:pPr>
              <w:pStyle w:val="TableParagraph"/>
              <w:spacing w:line="262" w:lineRule="exact"/>
              <w:ind w:left="625" w:right="601"/>
              <w:jc w:val="center"/>
              <w:rPr>
                <w:rFonts w:ascii="Calibri"/>
                <w:sz w:val="23"/>
              </w:rPr>
            </w:pPr>
            <w:r>
              <w:rPr>
                <w:rFonts w:ascii="Calibri"/>
                <w:sz w:val="23"/>
              </w:rPr>
              <w:t>+15%</w:t>
            </w:r>
          </w:p>
        </w:tc>
      </w:tr>
      <w:tr w:rsidR="00CA03B4" w14:paraId="6180D467" w14:textId="77777777">
        <w:trPr>
          <w:trHeight w:val="278"/>
        </w:trPr>
        <w:tc>
          <w:tcPr>
            <w:tcW w:w="2434" w:type="dxa"/>
            <w:tcBorders>
              <w:left w:val="single" w:sz="8" w:space="0" w:color="000000"/>
            </w:tcBorders>
          </w:tcPr>
          <w:p w14:paraId="74ECA239" w14:textId="77777777" w:rsidR="00CA03B4" w:rsidRDefault="00000000">
            <w:pPr>
              <w:pStyle w:val="TableParagraph"/>
              <w:ind w:left="110"/>
              <w:rPr>
                <w:rFonts w:ascii="Calibri"/>
                <w:sz w:val="23"/>
              </w:rPr>
            </w:pPr>
            <w:r>
              <w:rPr>
                <w:rFonts w:ascii="Calibri"/>
                <w:sz w:val="23"/>
              </w:rPr>
              <w:t>Megawatt Electric</w:t>
            </w:r>
          </w:p>
        </w:tc>
        <w:tc>
          <w:tcPr>
            <w:tcW w:w="1132" w:type="dxa"/>
          </w:tcPr>
          <w:p w14:paraId="351857CC" w14:textId="77777777" w:rsidR="00CA03B4" w:rsidRDefault="00000000">
            <w:pPr>
              <w:pStyle w:val="TableParagraph"/>
              <w:ind w:left="82" w:right="75"/>
              <w:jc w:val="center"/>
              <w:rPr>
                <w:rFonts w:ascii="Calibri"/>
                <w:sz w:val="23"/>
              </w:rPr>
            </w:pPr>
            <w:r>
              <w:rPr>
                <w:rFonts w:ascii="Calibri"/>
                <w:sz w:val="23"/>
              </w:rPr>
              <w:t>Mat-</w:t>
            </w:r>
            <w:proofErr w:type="spellStart"/>
            <w:r>
              <w:rPr>
                <w:rFonts w:ascii="Calibri"/>
                <w:sz w:val="23"/>
              </w:rPr>
              <w:t>Su</w:t>
            </w:r>
            <w:proofErr w:type="spellEnd"/>
          </w:p>
        </w:tc>
        <w:tc>
          <w:tcPr>
            <w:tcW w:w="1002" w:type="dxa"/>
            <w:tcBorders>
              <w:right w:val="single" w:sz="8" w:space="0" w:color="000000"/>
            </w:tcBorders>
          </w:tcPr>
          <w:p w14:paraId="01ED06F4" w14:textId="77777777" w:rsidR="00CA03B4" w:rsidRDefault="00000000">
            <w:pPr>
              <w:pStyle w:val="TableParagraph"/>
              <w:ind w:left="28"/>
              <w:jc w:val="center"/>
              <w:rPr>
                <w:rFonts w:ascii="Calibri"/>
                <w:sz w:val="23"/>
              </w:rPr>
            </w:pPr>
            <w:r>
              <w:rPr>
                <w:rFonts w:ascii="Calibri"/>
                <w:sz w:val="23"/>
              </w:rPr>
              <w:t>3</w:t>
            </w:r>
          </w:p>
        </w:tc>
        <w:tc>
          <w:tcPr>
            <w:tcW w:w="1194" w:type="dxa"/>
            <w:tcBorders>
              <w:left w:val="single" w:sz="8" w:space="0" w:color="000000"/>
            </w:tcBorders>
          </w:tcPr>
          <w:p w14:paraId="7D3069F2" w14:textId="77777777" w:rsidR="00CA03B4" w:rsidRDefault="00000000">
            <w:pPr>
              <w:pStyle w:val="TableParagraph"/>
              <w:ind w:right="90"/>
              <w:jc w:val="right"/>
              <w:rPr>
                <w:rFonts w:ascii="Calibri"/>
                <w:sz w:val="23"/>
              </w:rPr>
            </w:pPr>
            <w:r>
              <w:rPr>
                <w:rFonts w:ascii="Calibri"/>
                <w:sz w:val="23"/>
              </w:rPr>
              <w:t>$95.92</w:t>
            </w:r>
          </w:p>
        </w:tc>
        <w:tc>
          <w:tcPr>
            <w:tcW w:w="1248" w:type="dxa"/>
          </w:tcPr>
          <w:p w14:paraId="455D68AB" w14:textId="77777777" w:rsidR="00CA03B4" w:rsidRDefault="00000000">
            <w:pPr>
              <w:pStyle w:val="TableParagraph"/>
              <w:ind w:right="90"/>
              <w:jc w:val="right"/>
              <w:rPr>
                <w:rFonts w:ascii="Calibri"/>
                <w:sz w:val="23"/>
              </w:rPr>
            </w:pPr>
            <w:r>
              <w:rPr>
                <w:rFonts w:ascii="Calibri"/>
                <w:sz w:val="23"/>
              </w:rPr>
              <w:t>$124.51</w:t>
            </w:r>
          </w:p>
        </w:tc>
        <w:tc>
          <w:tcPr>
            <w:tcW w:w="1270" w:type="dxa"/>
            <w:tcBorders>
              <w:right w:val="single" w:sz="8" w:space="0" w:color="000000"/>
            </w:tcBorders>
          </w:tcPr>
          <w:p w14:paraId="2B854D5A" w14:textId="77777777" w:rsidR="00CA03B4" w:rsidRDefault="00000000">
            <w:pPr>
              <w:pStyle w:val="TableParagraph"/>
              <w:ind w:right="83"/>
              <w:jc w:val="right"/>
              <w:rPr>
                <w:rFonts w:ascii="Calibri"/>
                <w:sz w:val="23"/>
              </w:rPr>
            </w:pPr>
            <w:r>
              <w:rPr>
                <w:rFonts w:ascii="Calibri"/>
                <w:sz w:val="23"/>
              </w:rPr>
              <w:t>$124.51</w:t>
            </w:r>
          </w:p>
        </w:tc>
        <w:tc>
          <w:tcPr>
            <w:tcW w:w="1800" w:type="dxa"/>
            <w:tcBorders>
              <w:left w:val="single" w:sz="8" w:space="0" w:color="000000"/>
              <w:right w:val="single" w:sz="8" w:space="0" w:color="000000"/>
            </w:tcBorders>
          </w:tcPr>
          <w:p w14:paraId="33F53862" w14:textId="77777777" w:rsidR="00CA03B4" w:rsidRDefault="00000000">
            <w:pPr>
              <w:pStyle w:val="TableParagraph"/>
              <w:ind w:left="625" w:right="601"/>
              <w:jc w:val="center"/>
              <w:rPr>
                <w:rFonts w:ascii="Calibri"/>
                <w:sz w:val="23"/>
              </w:rPr>
            </w:pPr>
            <w:r>
              <w:rPr>
                <w:rFonts w:ascii="Calibri"/>
                <w:sz w:val="23"/>
              </w:rPr>
              <w:t>+12%</w:t>
            </w:r>
          </w:p>
        </w:tc>
      </w:tr>
      <w:tr w:rsidR="00CA03B4" w14:paraId="128E70E6" w14:textId="77777777">
        <w:trPr>
          <w:trHeight w:val="281"/>
        </w:trPr>
        <w:tc>
          <w:tcPr>
            <w:tcW w:w="4568" w:type="dxa"/>
            <w:gridSpan w:val="3"/>
            <w:tcBorders>
              <w:left w:val="single" w:sz="8" w:space="0" w:color="000000"/>
              <w:right w:val="single" w:sz="8" w:space="0" w:color="000000"/>
            </w:tcBorders>
          </w:tcPr>
          <w:p w14:paraId="2661543A" w14:textId="77777777" w:rsidR="00CA03B4" w:rsidRDefault="00CA03B4">
            <w:pPr>
              <w:pStyle w:val="TableParagraph"/>
              <w:spacing w:line="240" w:lineRule="auto"/>
              <w:rPr>
                <w:rFonts w:ascii="Times New Roman"/>
                <w:sz w:val="20"/>
              </w:rPr>
            </w:pPr>
          </w:p>
        </w:tc>
        <w:tc>
          <w:tcPr>
            <w:tcW w:w="3712" w:type="dxa"/>
            <w:gridSpan w:val="3"/>
            <w:tcBorders>
              <w:left w:val="single" w:sz="8" w:space="0" w:color="000000"/>
              <w:right w:val="single" w:sz="8" w:space="0" w:color="000000"/>
            </w:tcBorders>
          </w:tcPr>
          <w:p w14:paraId="7EE9029E" w14:textId="77777777" w:rsidR="00CA03B4" w:rsidRDefault="00CA03B4">
            <w:pPr>
              <w:pStyle w:val="TableParagraph"/>
              <w:spacing w:line="240" w:lineRule="auto"/>
              <w:rPr>
                <w:rFonts w:ascii="Times New Roman"/>
                <w:sz w:val="20"/>
              </w:rPr>
            </w:pPr>
          </w:p>
        </w:tc>
        <w:tc>
          <w:tcPr>
            <w:tcW w:w="1800" w:type="dxa"/>
            <w:tcBorders>
              <w:left w:val="single" w:sz="8" w:space="0" w:color="000000"/>
              <w:right w:val="single" w:sz="8" w:space="0" w:color="000000"/>
            </w:tcBorders>
          </w:tcPr>
          <w:p w14:paraId="4C166787" w14:textId="77777777" w:rsidR="00CA03B4" w:rsidRDefault="00CA03B4">
            <w:pPr>
              <w:pStyle w:val="TableParagraph"/>
              <w:spacing w:line="240" w:lineRule="auto"/>
              <w:rPr>
                <w:rFonts w:ascii="Times New Roman"/>
                <w:sz w:val="20"/>
              </w:rPr>
            </w:pPr>
          </w:p>
        </w:tc>
      </w:tr>
      <w:tr w:rsidR="00CA03B4" w14:paraId="68F49CE5" w14:textId="77777777">
        <w:trPr>
          <w:trHeight w:val="281"/>
        </w:trPr>
        <w:tc>
          <w:tcPr>
            <w:tcW w:w="2434" w:type="dxa"/>
            <w:tcBorders>
              <w:left w:val="single" w:sz="8" w:space="0" w:color="000000"/>
            </w:tcBorders>
          </w:tcPr>
          <w:p w14:paraId="7D8DECA3" w14:textId="77777777" w:rsidR="00CA03B4" w:rsidRDefault="00000000">
            <w:pPr>
              <w:pStyle w:val="TableParagraph"/>
              <w:spacing w:line="262" w:lineRule="exact"/>
              <w:ind w:left="110"/>
              <w:rPr>
                <w:rFonts w:ascii="Calibri"/>
                <w:sz w:val="23"/>
              </w:rPr>
            </w:pPr>
            <w:r>
              <w:rPr>
                <w:rFonts w:ascii="Calibri"/>
                <w:sz w:val="23"/>
              </w:rPr>
              <w:t>Alcan Electric</w:t>
            </w:r>
          </w:p>
        </w:tc>
        <w:tc>
          <w:tcPr>
            <w:tcW w:w="1132" w:type="dxa"/>
          </w:tcPr>
          <w:p w14:paraId="48BC1530" w14:textId="77777777" w:rsidR="00CA03B4" w:rsidRDefault="00000000">
            <w:pPr>
              <w:pStyle w:val="TableParagraph"/>
              <w:spacing w:line="262" w:lineRule="exact"/>
              <w:ind w:left="80" w:right="75"/>
              <w:jc w:val="center"/>
              <w:rPr>
                <w:rFonts w:ascii="Calibri"/>
                <w:sz w:val="23"/>
              </w:rPr>
            </w:pPr>
            <w:r>
              <w:rPr>
                <w:rFonts w:ascii="Calibri"/>
                <w:sz w:val="23"/>
              </w:rPr>
              <w:t>Northern</w:t>
            </w:r>
          </w:p>
        </w:tc>
        <w:tc>
          <w:tcPr>
            <w:tcW w:w="1002" w:type="dxa"/>
            <w:tcBorders>
              <w:right w:val="single" w:sz="8" w:space="0" w:color="000000"/>
            </w:tcBorders>
          </w:tcPr>
          <w:p w14:paraId="7285A288" w14:textId="77777777" w:rsidR="00CA03B4" w:rsidRDefault="00000000">
            <w:pPr>
              <w:pStyle w:val="TableParagraph"/>
              <w:spacing w:line="262" w:lineRule="exact"/>
              <w:ind w:left="28"/>
              <w:jc w:val="center"/>
              <w:rPr>
                <w:rFonts w:ascii="Calibri"/>
                <w:sz w:val="23"/>
              </w:rPr>
            </w:pPr>
            <w:r>
              <w:rPr>
                <w:rFonts w:ascii="Calibri"/>
                <w:sz w:val="23"/>
              </w:rPr>
              <w:t>1</w:t>
            </w:r>
          </w:p>
        </w:tc>
        <w:tc>
          <w:tcPr>
            <w:tcW w:w="1194" w:type="dxa"/>
            <w:tcBorders>
              <w:left w:val="single" w:sz="8" w:space="0" w:color="000000"/>
            </w:tcBorders>
          </w:tcPr>
          <w:p w14:paraId="0BB94248" w14:textId="77777777" w:rsidR="00CA03B4" w:rsidRDefault="00000000">
            <w:pPr>
              <w:pStyle w:val="TableParagraph"/>
              <w:spacing w:line="262" w:lineRule="exact"/>
              <w:ind w:right="90"/>
              <w:jc w:val="right"/>
              <w:rPr>
                <w:rFonts w:ascii="Calibri"/>
                <w:sz w:val="23"/>
              </w:rPr>
            </w:pPr>
            <w:r>
              <w:rPr>
                <w:rFonts w:ascii="Calibri"/>
                <w:sz w:val="23"/>
              </w:rPr>
              <w:t>$92.56</w:t>
            </w:r>
          </w:p>
        </w:tc>
        <w:tc>
          <w:tcPr>
            <w:tcW w:w="1248" w:type="dxa"/>
          </w:tcPr>
          <w:p w14:paraId="5D3075D5" w14:textId="77777777" w:rsidR="00CA03B4" w:rsidRDefault="00000000">
            <w:pPr>
              <w:pStyle w:val="TableParagraph"/>
              <w:spacing w:line="262" w:lineRule="exact"/>
              <w:ind w:right="90"/>
              <w:jc w:val="right"/>
              <w:rPr>
                <w:rFonts w:ascii="Calibri"/>
                <w:sz w:val="23"/>
              </w:rPr>
            </w:pPr>
            <w:r>
              <w:rPr>
                <w:rFonts w:ascii="Calibri"/>
                <w:sz w:val="23"/>
              </w:rPr>
              <w:t>$121.00</w:t>
            </w:r>
          </w:p>
        </w:tc>
        <w:tc>
          <w:tcPr>
            <w:tcW w:w="1270" w:type="dxa"/>
            <w:tcBorders>
              <w:right w:val="single" w:sz="8" w:space="0" w:color="000000"/>
            </w:tcBorders>
          </w:tcPr>
          <w:p w14:paraId="272556A1" w14:textId="77777777" w:rsidR="00CA03B4" w:rsidRDefault="00000000">
            <w:pPr>
              <w:pStyle w:val="TableParagraph"/>
              <w:spacing w:line="262" w:lineRule="exact"/>
              <w:ind w:right="83"/>
              <w:jc w:val="right"/>
              <w:rPr>
                <w:rFonts w:ascii="Calibri"/>
                <w:sz w:val="23"/>
              </w:rPr>
            </w:pPr>
            <w:r>
              <w:rPr>
                <w:rFonts w:ascii="Calibri"/>
                <w:sz w:val="23"/>
              </w:rPr>
              <w:t>$149.45</w:t>
            </w:r>
          </w:p>
        </w:tc>
        <w:tc>
          <w:tcPr>
            <w:tcW w:w="1800" w:type="dxa"/>
            <w:tcBorders>
              <w:left w:val="single" w:sz="8" w:space="0" w:color="000000"/>
              <w:right w:val="single" w:sz="8" w:space="0" w:color="000000"/>
            </w:tcBorders>
          </w:tcPr>
          <w:p w14:paraId="5E7927B1" w14:textId="77777777" w:rsidR="00CA03B4" w:rsidRDefault="00000000">
            <w:pPr>
              <w:pStyle w:val="TableParagraph"/>
              <w:spacing w:line="262" w:lineRule="exact"/>
              <w:ind w:left="625" w:right="601"/>
              <w:jc w:val="center"/>
              <w:rPr>
                <w:rFonts w:ascii="Calibri"/>
                <w:sz w:val="23"/>
              </w:rPr>
            </w:pPr>
            <w:r>
              <w:rPr>
                <w:rFonts w:ascii="Calibri"/>
                <w:sz w:val="23"/>
              </w:rPr>
              <w:t>+20%</w:t>
            </w:r>
          </w:p>
        </w:tc>
      </w:tr>
      <w:tr w:rsidR="00CA03B4" w14:paraId="0EC16427" w14:textId="77777777">
        <w:trPr>
          <w:trHeight w:val="278"/>
        </w:trPr>
        <w:tc>
          <w:tcPr>
            <w:tcW w:w="2434" w:type="dxa"/>
            <w:tcBorders>
              <w:left w:val="single" w:sz="8" w:space="0" w:color="000000"/>
            </w:tcBorders>
          </w:tcPr>
          <w:p w14:paraId="0B33F71A" w14:textId="77777777" w:rsidR="00CA03B4" w:rsidRDefault="00000000">
            <w:pPr>
              <w:pStyle w:val="TableParagraph"/>
              <w:ind w:left="110"/>
              <w:rPr>
                <w:rFonts w:ascii="Calibri"/>
                <w:sz w:val="23"/>
              </w:rPr>
            </w:pPr>
            <w:proofErr w:type="spellStart"/>
            <w:r>
              <w:rPr>
                <w:rFonts w:ascii="Calibri"/>
                <w:sz w:val="23"/>
              </w:rPr>
              <w:t>Fullford</w:t>
            </w:r>
            <w:proofErr w:type="spellEnd"/>
            <w:r>
              <w:rPr>
                <w:rFonts w:ascii="Calibri"/>
                <w:sz w:val="23"/>
              </w:rPr>
              <w:t xml:space="preserve"> Electric</w:t>
            </w:r>
          </w:p>
        </w:tc>
        <w:tc>
          <w:tcPr>
            <w:tcW w:w="1132" w:type="dxa"/>
          </w:tcPr>
          <w:p w14:paraId="639B683A" w14:textId="77777777" w:rsidR="00CA03B4" w:rsidRDefault="00000000">
            <w:pPr>
              <w:pStyle w:val="TableParagraph"/>
              <w:ind w:left="80" w:right="75"/>
              <w:jc w:val="center"/>
              <w:rPr>
                <w:rFonts w:ascii="Calibri"/>
                <w:sz w:val="23"/>
              </w:rPr>
            </w:pPr>
            <w:r>
              <w:rPr>
                <w:rFonts w:ascii="Calibri"/>
                <w:sz w:val="23"/>
              </w:rPr>
              <w:t>Northern</w:t>
            </w:r>
          </w:p>
        </w:tc>
        <w:tc>
          <w:tcPr>
            <w:tcW w:w="1002" w:type="dxa"/>
            <w:tcBorders>
              <w:right w:val="single" w:sz="8" w:space="0" w:color="000000"/>
            </w:tcBorders>
          </w:tcPr>
          <w:p w14:paraId="5BFA535C" w14:textId="77777777" w:rsidR="00CA03B4" w:rsidRDefault="00000000">
            <w:pPr>
              <w:pStyle w:val="TableParagraph"/>
              <w:ind w:left="28"/>
              <w:jc w:val="center"/>
              <w:rPr>
                <w:rFonts w:ascii="Calibri"/>
                <w:sz w:val="23"/>
              </w:rPr>
            </w:pPr>
            <w:r>
              <w:rPr>
                <w:rFonts w:ascii="Calibri"/>
                <w:sz w:val="23"/>
              </w:rPr>
              <w:t>2</w:t>
            </w:r>
          </w:p>
        </w:tc>
        <w:tc>
          <w:tcPr>
            <w:tcW w:w="1194" w:type="dxa"/>
            <w:tcBorders>
              <w:left w:val="single" w:sz="8" w:space="0" w:color="000000"/>
            </w:tcBorders>
          </w:tcPr>
          <w:p w14:paraId="2D5CC58B" w14:textId="77777777" w:rsidR="00CA03B4" w:rsidRDefault="00000000">
            <w:pPr>
              <w:pStyle w:val="TableParagraph"/>
              <w:ind w:right="90"/>
              <w:jc w:val="right"/>
              <w:rPr>
                <w:rFonts w:ascii="Calibri"/>
                <w:sz w:val="23"/>
              </w:rPr>
            </w:pPr>
            <w:r>
              <w:rPr>
                <w:rFonts w:ascii="Calibri"/>
                <w:sz w:val="23"/>
              </w:rPr>
              <w:t>$95.03</w:t>
            </w:r>
          </w:p>
        </w:tc>
        <w:tc>
          <w:tcPr>
            <w:tcW w:w="1248" w:type="dxa"/>
          </w:tcPr>
          <w:p w14:paraId="5B132628" w14:textId="77777777" w:rsidR="00CA03B4" w:rsidRDefault="00000000">
            <w:pPr>
              <w:pStyle w:val="TableParagraph"/>
              <w:ind w:right="90"/>
              <w:jc w:val="right"/>
              <w:rPr>
                <w:rFonts w:ascii="Calibri"/>
                <w:sz w:val="23"/>
              </w:rPr>
            </w:pPr>
            <w:r>
              <w:rPr>
                <w:rFonts w:ascii="Calibri"/>
                <w:sz w:val="23"/>
              </w:rPr>
              <w:t>$124.85</w:t>
            </w:r>
          </w:p>
        </w:tc>
        <w:tc>
          <w:tcPr>
            <w:tcW w:w="1270" w:type="dxa"/>
            <w:tcBorders>
              <w:right w:val="single" w:sz="8" w:space="0" w:color="000000"/>
            </w:tcBorders>
          </w:tcPr>
          <w:p w14:paraId="08ABC35F" w14:textId="77777777" w:rsidR="00CA03B4" w:rsidRDefault="00000000">
            <w:pPr>
              <w:pStyle w:val="TableParagraph"/>
              <w:ind w:right="83"/>
              <w:jc w:val="right"/>
              <w:rPr>
                <w:rFonts w:ascii="Calibri"/>
                <w:sz w:val="23"/>
              </w:rPr>
            </w:pPr>
            <w:r>
              <w:rPr>
                <w:rFonts w:ascii="Calibri"/>
                <w:sz w:val="23"/>
              </w:rPr>
              <w:t>$154.67</w:t>
            </w:r>
          </w:p>
        </w:tc>
        <w:tc>
          <w:tcPr>
            <w:tcW w:w="1800" w:type="dxa"/>
            <w:tcBorders>
              <w:left w:val="single" w:sz="8" w:space="0" w:color="000000"/>
              <w:right w:val="single" w:sz="8" w:space="0" w:color="000000"/>
            </w:tcBorders>
          </w:tcPr>
          <w:p w14:paraId="4072CA22" w14:textId="77777777" w:rsidR="00CA03B4" w:rsidRDefault="00000000">
            <w:pPr>
              <w:pStyle w:val="TableParagraph"/>
              <w:ind w:left="625" w:right="601"/>
              <w:jc w:val="center"/>
              <w:rPr>
                <w:rFonts w:ascii="Calibri"/>
                <w:sz w:val="23"/>
              </w:rPr>
            </w:pPr>
            <w:r>
              <w:rPr>
                <w:rFonts w:ascii="Calibri"/>
                <w:sz w:val="23"/>
              </w:rPr>
              <w:t>+20%</w:t>
            </w:r>
          </w:p>
        </w:tc>
      </w:tr>
      <w:tr w:rsidR="00CA03B4" w14:paraId="4DFE422D" w14:textId="77777777">
        <w:trPr>
          <w:trHeight w:val="282"/>
        </w:trPr>
        <w:tc>
          <w:tcPr>
            <w:tcW w:w="2434" w:type="dxa"/>
            <w:tcBorders>
              <w:left w:val="single" w:sz="8" w:space="0" w:color="000000"/>
              <w:bottom w:val="single" w:sz="8" w:space="0" w:color="000000"/>
            </w:tcBorders>
          </w:tcPr>
          <w:p w14:paraId="2C2BF1EE" w14:textId="77777777" w:rsidR="00CA03B4" w:rsidRDefault="00000000">
            <w:pPr>
              <w:pStyle w:val="TableParagraph"/>
              <w:spacing w:before="4" w:line="259" w:lineRule="exact"/>
              <w:ind w:left="110"/>
              <w:rPr>
                <w:rFonts w:ascii="Calibri"/>
                <w:sz w:val="23"/>
              </w:rPr>
            </w:pPr>
            <w:r>
              <w:rPr>
                <w:rFonts w:ascii="Calibri"/>
                <w:sz w:val="23"/>
              </w:rPr>
              <w:t>N/A</w:t>
            </w:r>
          </w:p>
        </w:tc>
        <w:tc>
          <w:tcPr>
            <w:tcW w:w="1132" w:type="dxa"/>
            <w:tcBorders>
              <w:bottom w:val="single" w:sz="8" w:space="0" w:color="000000"/>
            </w:tcBorders>
          </w:tcPr>
          <w:p w14:paraId="2CECEF0F" w14:textId="77777777" w:rsidR="00CA03B4" w:rsidRDefault="00000000">
            <w:pPr>
              <w:pStyle w:val="TableParagraph"/>
              <w:spacing w:before="4" w:line="259" w:lineRule="exact"/>
              <w:ind w:left="80" w:right="75"/>
              <w:jc w:val="center"/>
              <w:rPr>
                <w:rFonts w:ascii="Calibri"/>
                <w:sz w:val="23"/>
              </w:rPr>
            </w:pPr>
            <w:r>
              <w:rPr>
                <w:rFonts w:ascii="Calibri"/>
                <w:sz w:val="23"/>
              </w:rPr>
              <w:t>Northern</w:t>
            </w:r>
          </w:p>
        </w:tc>
        <w:tc>
          <w:tcPr>
            <w:tcW w:w="1002" w:type="dxa"/>
            <w:tcBorders>
              <w:bottom w:val="single" w:sz="8" w:space="0" w:color="000000"/>
              <w:right w:val="single" w:sz="8" w:space="0" w:color="000000"/>
            </w:tcBorders>
          </w:tcPr>
          <w:p w14:paraId="189BE3C0" w14:textId="77777777" w:rsidR="00CA03B4" w:rsidRDefault="00000000">
            <w:pPr>
              <w:pStyle w:val="TableParagraph"/>
              <w:spacing w:before="4" w:line="259" w:lineRule="exact"/>
              <w:ind w:left="28"/>
              <w:jc w:val="center"/>
              <w:rPr>
                <w:rFonts w:ascii="Calibri"/>
                <w:sz w:val="23"/>
              </w:rPr>
            </w:pPr>
            <w:r>
              <w:rPr>
                <w:rFonts w:ascii="Calibri"/>
                <w:sz w:val="23"/>
              </w:rPr>
              <w:t>3</w:t>
            </w:r>
          </w:p>
        </w:tc>
        <w:tc>
          <w:tcPr>
            <w:tcW w:w="1194" w:type="dxa"/>
            <w:tcBorders>
              <w:left w:val="single" w:sz="8" w:space="0" w:color="000000"/>
              <w:bottom w:val="single" w:sz="8" w:space="0" w:color="000000"/>
            </w:tcBorders>
          </w:tcPr>
          <w:p w14:paraId="2F7CF34D" w14:textId="77777777" w:rsidR="00CA03B4" w:rsidRDefault="00000000">
            <w:pPr>
              <w:pStyle w:val="TableParagraph"/>
              <w:spacing w:before="4" w:line="259" w:lineRule="exact"/>
              <w:ind w:right="90"/>
              <w:jc w:val="right"/>
              <w:rPr>
                <w:rFonts w:ascii="Calibri"/>
                <w:sz w:val="23"/>
              </w:rPr>
            </w:pPr>
            <w:r>
              <w:rPr>
                <w:rFonts w:ascii="Calibri"/>
                <w:sz w:val="23"/>
              </w:rPr>
              <w:t>$0.00</w:t>
            </w:r>
          </w:p>
        </w:tc>
        <w:tc>
          <w:tcPr>
            <w:tcW w:w="1248" w:type="dxa"/>
            <w:tcBorders>
              <w:bottom w:val="single" w:sz="8" w:space="0" w:color="000000"/>
            </w:tcBorders>
          </w:tcPr>
          <w:p w14:paraId="678E8D70" w14:textId="77777777" w:rsidR="00CA03B4" w:rsidRDefault="00000000">
            <w:pPr>
              <w:pStyle w:val="TableParagraph"/>
              <w:spacing w:before="4" w:line="259" w:lineRule="exact"/>
              <w:ind w:right="90"/>
              <w:jc w:val="right"/>
              <w:rPr>
                <w:rFonts w:ascii="Calibri"/>
                <w:sz w:val="23"/>
              </w:rPr>
            </w:pPr>
            <w:r>
              <w:rPr>
                <w:rFonts w:ascii="Calibri"/>
                <w:sz w:val="23"/>
              </w:rPr>
              <w:t>$0.00</w:t>
            </w:r>
          </w:p>
        </w:tc>
        <w:tc>
          <w:tcPr>
            <w:tcW w:w="1270" w:type="dxa"/>
            <w:tcBorders>
              <w:bottom w:val="single" w:sz="8" w:space="0" w:color="000000"/>
              <w:right w:val="single" w:sz="8" w:space="0" w:color="000000"/>
            </w:tcBorders>
          </w:tcPr>
          <w:p w14:paraId="62D4F1EE" w14:textId="77777777" w:rsidR="00CA03B4" w:rsidRDefault="00000000">
            <w:pPr>
              <w:pStyle w:val="TableParagraph"/>
              <w:spacing w:before="4" w:line="259" w:lineRule="exact"/>
              <w:ind w:right="83"/>
              <w:jc w:val="right"/>
              <w:rPr>
                <w:rFonts w:ascii="Calibri"/>
                <w:sz w:val="23"/>
              </w:rPr>
            </w:pPr>
            <w:r>
              <w:rPr>
                <w:rFonts w:ascii="Calibri"/>
                <w:sz w:val="23"/>
              </w:rPr>
              <w:t>$0.00</w:t>
            </w:r>
          </w:p>
        </w:tc>
        <w:tc>
          <w:tcPr>
            <w:tcW w:w="1800" w:type="dxa"/>
            <w:tcBorders>
              <w:left w:val="single" w:sz="8" w:space="0" w:color="000000"/>
              <w:bottom w:val="single" w:sz="8" w:space="0" w:color="000000"/>
              <w:right w:val="single" w:sz="8" w:space="0" w:color="000000"/>
            </w:tcBorders>
          </w:tcPr>
          <w:p w14:paraId="1E52150C" w14:textId="77777777" w:rsidR="00CA03B4" w:rsidRDefault="00000000">
            <w:pPr>
              <w:pStyle w:val="TableParagraph"/>
              <w:spacing w:before="4" w:line="259" w:lineRule="exact"/>
              <w:ind w:left="625" w:right="601"/>
              <w:jc w:val="center"/>
              <w:rPr>
                <w:rFonts w:ascii="Calibri"/>
                <w:sz w:val="23"/>
              </w:rPr>
            </w:pPr>
            <w:r>
              <w:rPr>
                <w:rFonts w:ascii="Calibri"/>
                <w:sz w:val="23"/>
              </w:rPr>
              <w:t>0%</w:t>
            </w:r>
          </w:p>
        </w:tc>
      </w:tr>
    </w:tbl>
    <w:p w14:paraId="2E3DA9DE" w14:textId="77777777" w:rsidR="00CA03B4" w:rsidRDefault="00CA03B4">
      <w:pPr>
        <w:spacing w:line="259" w:lineRule="exact"/>
        <w:jc w:val="center"/>
        <w:rPr>
          <w:rFonts w:ascii="Calibri"/>
          <w:sz w:val="23"/>
        </w:rPr>
        <w:sectPr w:rsidR="00CA03B4">
          <w:footerReference w:type="default" r:id="rId7"/>
          <w:type w:val="continuous"/>
          <w:pgSz w:w="12240" w:h="15840"/>
          <w:pgMar w:top="900" w:right="700" w:bottom="520" w:left="860" w:header="720" w:footer="329" w:gutter="0"/>
          <w:cols w:space="720"/>
        </w:sectPr>
      </w:pPr>
    </w:p>
    <w:p w14:paraId="0EAA643F" w14:textId="77777777" w:rsidR="00CA03B4" w:rsidRDefault="00000000">
      <w:pPr>
        <w:spacing w:before="33"/>
        <w:ind w:left="219" w:right="372"/>
        <w:jc w:val="both"/>
        <w:rPr>
          <w:rFonts w:ascii="Calibri"/>
          <w:sz w:val="23"/>
        </w:rPr>
      </w:pPr>
      <w:r>
        <w:rPr>
          <w:rFonts w:ascii="Calibri"/>
          <w:b/>
          <w:sz w:val="23"/>
        </w:rPr>
        <w:lastRenderedPageBreak/>
        <w:t xml:space="preserve">NOTE: Please state </w:t>
      </w:r>
      <w:r>
        <w:rPr>
          <w:rFonts w:ascii="Calibri"/>
          <w:b/>
          <w:i/>
          <w:sz w:val="23"/>
        </w:rPr>
        <w:t xml:space="preserve">the contract number and the ordering agency </w:t>
      </w:r>
      <w:r>
        <w:rPr>
          <w:rFonts w:ascii="Calibri"/>
          <w:b/>
          <w:sz w:val="23"/>
        </w:rPr>
        <w:t xml:space="preserve">when requesting quotes for services from a Contractor. </w:t>
      </w:r>
      <w:r>
        <w:rPr>
          <w:rFonts w:ascii="Calibri"/>
          <w:sz w:val="23"/>
        </w:rPr>
        <w:t>Contract number and ordering agency name should be listed on all documents associated with that purchase to ensure you receive the contract prices listed below. Failure to identify contract number and purchasing agency when requesting a quote may result in quotes with retail prices that cannot be converted into discounted contract prices after the fact.</w:t>
      </w:r>
    </w:p>
    <w:p w14:paraId="39D47A03" w14:textId="77777777" w:rsidR="00CA03B4" w:rsidRDefault="00CA03B4">
      <w:pPr>
        <w:pStyle w:val="BodyText"/>
        <w:spacing w:before="11"/>
        <w:rPr>
          <w:rFonts w:ascii="Calibri"/>
        </w:rPr>
      </w:pPr>
    </w:p>
    <w:p w14:paraId="2759969D" w14:textId="77777777" w:rsidR="00CA03B4" w:rsidRDefault="00000000">
      <w:pPr>
        <w:pStyle w:val="Heading2"/>
        <w:spacing w:before="0"/>
        <w:ind w:right="371"/>
      </w:pPr>
      <w:r>
        <w:rPr>
          <w:b/>
        </w:rPr>
        <w:t>CONTRACTOR SELECTION PROCESS</w:t>
      </w:r>
      <w:r>
        <w:t xml:space="preserve">: On all projects, the using agency will contact the highest ranked contractor first. If, for any reason, the contractor is not available to perform the needed service, the using agency will contact the next ranked contractor for that location. This process will continue until a contractor who can perform the service </w:t>
      </w:r>
      <w:r>
        <w:rPr>
          <w:spacing w:val="-3"/>
        </w:rPr>
        <w:t xml:space="preserve">is </w:t>
      </w:r>
      <w:r>
        <w:t xml:space="preserve">located. On complex projects, the using agency can choose </w:t>
      </w:r>
      <w:r>
        <w:rPr>
          <w:spacing w:val="-3"/>
        </w:rPr>
        <w:t xml:space="preserve">to </w:t>
      </w:r>
      <w:r>
        <w:t>solicit bids from one, two or all three of the contractors that are selected for this</w:t>
      </w:r>
      <w:r>
        <w:rPr>
          <w:spacing w:val="-34"/>
        </w:rPr>
        <w:t xml:space="preserve"> </w:t>
      </w:r>
      <w:r>
        <w:t>contract.</w:t>
      </w:r>
    </w:p>
    <w:p w14:paraId="32F3D07D" w14:textId="77777777" w:rsidR="00CA03B4" w:rsidRDefault="00CA03B4">
      <w:pPr>
        <w:pStyle w:val="BodyText"/>
        <w:rPr>
          <w:rFonts w:ascii="Calibri"/>
          <w:sz w:val="23"/>
        </w:rPr>
      </w:pPr>
    </w:p>
    <w:p w14:paraId="4E9221E0" w14:textId="77777777" w:rsidR="00CA03B4" w:rsidRDefault="00000000">
      <w:pPr>
        <w:ind w:left="219" w:right="372"/>
        <w:jc w:val="both"/>
        <w:rPr>
          <w:rFonts w:ascii="Calibri"/>
          <w:sz w:val="23"/>
        </w:rPr>
      </w:pPr>
      <w:r>
        <w:rPr>
          <w:rFonts w:ascii="Calibri"/>
          <w:b/>
          <w:sz w:val="23"/>
        </w:rPr>
        <w:t>Written Quotes</w:t>
      </w:r>
      <w:r>
        <w:rPr>
          <w:rFonts w:ascii="Calibri"/>
          <w:sz w:val="23"/>
        </w:rPr>
        <w:t xml:space="preserve">: </w:t>
      </w:r>
      <w:r>
        <w:rPr>
          <w:rFonts w:ascii="Calibri"/>
          <w:b/>
          <w:sz w:val="23"/>
        </w:rPr>
        <w:t xml:space="preserve">For state owned or leased building, only those employees who are acting under the delegated authority and hold a warrant certificate from the DOT&amp;PF for construction activities may process request for quotes under this contract. </w:t>
      </w:r>
      <w:r>
        <w:rPr>
          <w:rFonts w:ascii="Calibri"/>
          <w:sz w:val="23"/>
        </w:rPr>
        <w:t xml:space="preserve">The DOT&amp;PF Construction Contracting Warrant System applies to all employees responsible for encumbering Department or delegated operating agencies via procurement of professional services and construction related activities. Refer to the </w:t>
      </w:r>
      <w:hyperlink r:id="rId8">
        <w:r>
          <w:rPr>
            <w:rFonts w:ascii="Calibri"/>
            <w:color w:val="0000FF"/>
            <w:sz w:val="23"/>
            <w:u w:val="single" w:color="0000FF"/>
          </w:rPr>
          <w:t>Construction</w:t>
        </w:r>
      </w:hyperlink>
      <w:r>
        <w:rPr>
          <w:rFonts w:ascii="Calibri"/>
          <w:color w:val="0000FF"/>
          <w:sz w:val="23"/>
        </w:rPr>
        <w:t xml:space="preserve"> </w:t>
      </w:r>
      <w:hyperlink r:id="rId9">
        <w:r>
          <w:rPr>
            <w:rFonts w:ascii="Calibri"/>
            <w:color w:val="0000FF"/>
            <w:sz w:val="23"/>
            <w:u w:val="single" w:color="0000FF"/>
          </w:rPr>
          <w:t>Contracting Warrant System</w:t>
        </w:r>
      </w:hyperlink>
      <w:r>
        <w:rPr>
          <w:rFonts w:ascii="Calibri"/>
          <w:sz w:val="23"/>
        </w:rPr>
        <w:t>.</w:t>
      </w:r>
    </w:p>
    <w:p w14:paraId="572A7FBE" w14:textId="77777777" w:rsidR="00CA03B4" w:rsidRDefault="00CA03B4">
      <w:pPr>
        <w:pStyle w:val="BodyText"/>
        <w:rPr>
          <w:rFonts w:ascii="Calibri"/>
          <w:sz w:val="20"/>
        </w:rPr>
      </w:pPr>
    </w:p>
    <w:p w14:paraId="14736F0C" w14:textId="77777777" w:rsidR="00CA03B4" w:rsidRDefault="00CA03B4">
      <w:pPr>
        <w:pStyle w:val="BodyText"/>
        <w:spacing w:before="8"/>
        <w:rPr>
          <w:rFonts w:ascii="Calibri"/>
          <w:sz w:val="21"/>
        </w:rPr>
      </w:pPr>
    </w:p>
    <w:p w14:paraId="2B77DCBA" w14:textId="77777777" w:rsidR="00CA03B4" w:rsidRDefault="00000000">
      <w:pPr>
        <w:pStyle w:val="Heading2"/>
        <w:ind w:left="271"/>
        <w:jc w:val="left"/>
      </w:pPr>
      <w:r>
        <w:t>For additional information regarding this contract, please contact the Statewide Contracting Office at:</w:t>
      </w:r>
    </w:p>
    <w:p w14:paraId="305B9C58" w14:textId="77777777" w:rsidR="00CA03B4" w:rsidRDefault="00CA03B4">
      <w:pPr>
        <w:pStyle w:val="BodyText"/>
        <w:spacing w:before="7"/>
        <w:rPr>
          <w:rFonts w:ascii="Calibri"/>
        </w:rPr>
      </w:pPr>
    </w:p>
    <w:p w14:paraId="4589AE77" w14:textId="77777777" w:rsidR="00CA03B4" w:rsidRDefault="00000000">
      <w:pPr>
        <w:spacing w:line="252" w:lineRule="exact"/>
        <w:ind w:left="2213" w:right="2464"/>
        <w:jc w:val="center"/>
        <w:rPr>
          <w:rFonts w:ascii="Arial"/>
          <w:b/>
        </w:rPr>
      </w:pPr>
      <w:r>
        <w:rPr>
          <w:rFonts w:ascii="Arial"/>
          <w:b/>
        </w:rPr>
        <w:t>State of Alaska</w:t>
      </w:r>
    </w:p>
    <w:p w14:paraId="4DF6E48B" w14:textId="77777777" w:rsidR="00CA03B4" w:rsidRDefault="00000000">
      <w:pPr>
        <w:spacing w:line="482" w:lineRule="auto"/>
        <w:ind w:left="2219" w:right="2464"/>
        <w:jc w:val="center"/>
        <w:rPr>
          <w:rFonts w:ascii="Arial"/>
          <w:b/>
        </w:rPr>
      </w:pPr>
      <w:r>
        <w:rPr>
          <w:rFonts w:ascii="Arial"/>
          <w:b/>
        </w:rPr>
        <w:t xml:space="preserve">Office of Procurement and Property Management (OPPM) </w:t>
      </w:r>
      <w:hyperlink r:id="rId10">
        <w:r>
          <w:rPr>
            <w:rFonts w:ascii="Arial"/>
            <w:b/>
            <w:color w:val="0000FF"/>
            <w:u w:val="thick" w:color="0000FF"/>
          </w:rPr>
          <w:t>doa.dgs.purchasing.statewide@alaska.gov</w:t>
        </w:r>
      </w:hyperlink>
    </w:p>
    <w:p w14:paraId="13AA961F" w14:textId="77777777" w:rsidR="00CA03B4" w:rsidRDefault="00CA03B4">
      <w:pPr>
        <w:pStyle w:val="BodyText"/>
        <w:rPr>
          <w:rFonts w:ascii="Arial"/>
          <w:b/>
          <w:sz w:val="20"/>
        </w:rPr>
      </w:pPr>
    </w:p>
    <w:p w14:paraId="124DCCC6" w14:textId="77777777" w:rsidR="00CA03B4" w:rsidRDefault="00CA03B4">
      <w:pPr>
        <w:pStyle w:val="BodyText"/>
        <w:rPr>
          <w:rFonts w:ascii="Arial"/>
          <w:b/>
          <w:sz w:val="20"/>
        </w:rPr>
      </w:pPr>
    </w:p>
    <w:p w14:paraId="4DB59388" w14:textId="77777777" w:rsidR="00CA03B4" w:rsidRDefault="00CA03B4">
      <w:pPr>
        <w:pStyle w:val="BodyText"/>
        <w:rPr>
          <w:rFonts w:ascii="Arial"/>
          <w:b/>
          <w:sz w:val="20"/>
        </w:rPr>
      </w:pPr>
    </w:p>
    <w:p w14:paraId="49E9ACCF" w14:textId="77777777" w:rsidR="00CA03B4" w:rsidRDefault="00CA03B4">
      <w:pPr>
        <w:pStyle w:val="BodyText"/>
        <w:rPr>
          <w:rFonts w:ascii="Arial"/>
          <w:b/>
          <w:sz w:val="20"/>
        </w:rPr>
      </w:pPr>
    </w:p>
    <w:p w14:paraId="24976A53" w14:textId="77777777" w:rsidR="00CA03B4" w:rsidRDefault="00CA03B4">
      <w:pPr>
        <w:pStyle w:val="BodyText"/>
        <w:rPr>
          <w:rFonts w:ascii="Arial"/>
          <w:b/>
          <w:sz w:val="20"/>
        </w:rPr>
      </w:pPr>
    </w:p>
    <w:p w14:paraId="5FD6C5EC" w14:textId="77777777" w:rsidR="00CA03B4" w:rsidRDefault="00CA03B4">
      <w:pPr>
        <w:pStyle w:val="BodyText"/>
        <w:rPr>
          <w:rFonts w:ascii="Arial"/>
          <w:b/>
          <w:sz w:val="20"/>
        </w:rPr>
      </w:pPr>
    </w:p>
    <w:p w14:paraId="4D73CB6C" w14:textId="77777777" w:rsidR="00CA03B4" w:rsidRDefault="00CA03B4">
      <w:pPr>
        <w:pStyle w:val="BodyText"/>
        <w:rPr>
          <w:rFonts w:ascii="Arial"/>
          <w:b/>
          <w:sz w:val="20"/>
        </w:rPr>
      </w:pPr>
    </w:p>
    <w:p w14:paraId="6E4FBC28" w14:textId="77777777" w:rsidR="00CA03B4" w:rsidRDefault="00CA03B4">
      <w:pPr>
        <w:pStyle w:val="BodyText"/>
        <w:rPr>
          <w:rFonts w:ascii="Arial"/>
          <w:b/>
          <w:sz w:val="20"/>
        </w:rPr>
      </w:pPr>
    </w:p>
    <w:p w14:paraId="03F24724" w14:textId="77777777" w:rsidR="00CA03B4" w:rsidRDefault="00CA03B4">
      <w:pPr>
        <w:pStyle w:val="BodyText"/>
        <w:rPr>
          <w:rFonts w:ascii="Arial"/>
          <w:b/>
          <w:sz w:val="20"/>
        </w:rPr>
      </w:pPr>
    </w:p>
    <w:p w14:paraId="009FE641" w14:textId="77777777" w:rsidR="00CA03B4" w:rsidRDefault="00CA03B4">
      <w:pPr>
        <w:pStyle w:val="BodyText"/>
        <w:rPr>
          <w:rFonts w:ascii="Arial"/>
          <w:b/>
          <w:sz w:val="20"/>
        </w:rPr>
      </w:pPr>
    </w:p>
    <w:p w14:paraId="11510B9B" w14:textId="77777777" w:rsidR="00CA03B4" w:rsidRDefault="00CA03B4">
      <w:pPr>
        <w:pStyle w:val="BodyText"/>
        <w:rPr>
          <w:rFonts w:ascii="Arial"/>
          <w:b/>
          <w:sz w:val="20"/>
        </w:rPr>
      </w:pPr>
    </w:p>
    <w:p w14:paraId="6D36F16E" w14:textId="77777777" w:rsidR="00CA03B4" w:rsidRDefault="00CA03B4">
      <w:pPr>
        <w:pStyle w:val="BodyText"/>
        <w:rPr>
          <w:rFonts w:ascii="Arial"/>
          <w:b/>
          <w:sz w:val="20"/>
        </w:rPr>
      </w:pPr>
    </w:p>
    <w:p w14:paraId="6FD8F02C" w14:textId="77777777" w:rsidR="00CA03B4" w:rsidRDefault="00CA03B4">
      <w:pPr>
        <w:pStyle w:val="BodyText"/>
        <w:rPr>
          <w:rFonts w:ascii="Arial"/>
          <w:b/>
          <w:sz w:val="20"/>
        </w:rPr>
      </w:pPr>
    </w:p>
    <w:p w14:paraId="7082BD18" w14:textId="77777777" w:rsidR="00CA03B4" w:rsidRDefault="00CA03B4">
      <w:pPr>
        <w:pStyle w:val="BodyText"/>
        <w:spacing w:before="4"/>
        <w:rPr>
          <w:rFonts w:ascii="Arial"/>
          <w:b/>
          <w:sz w:val="17"/>
        </w:rPr>
      </w:pPr>
    </w:p>
    <w:p w14:paraId="629D3E53" w14:textId="77777777" w:rsidR="00CA03B4" w:rsidRDefault="00000000">
      <w:pPr>
        <w:spacing w:before="93"/>
        <w:ind w:left="128"/>
        <w:rPr>
          <w:rFonts w:ascii="Arial"/>
          <w:b/>
        </w:rPr>
      </w:pPr>
      <w:r>
        <w:rPr>
          <w:rFonts w:ascii="Arial"/>
          <w:b/>
        </w:rPr>
        <w:t>Vendor Information and Contract Information Below</w:t>
      </w:r>
    </w:p>
    <w:p w14:paraId="456CD2B0" w14:textId="77777777" w:rsidR="00CA03B4" w:rsidRDefault="00CA03B4">
      <w:pPr>
        <w:rPr>
          <w:rFonts w:ascii="Arial"/>
        </w:rPr>
        <w:sectPr w:rsidR="00CA03B4">
          <w:pgSz w:w="12240" w:h="15840"/>
          <w:pgMar w:top="980" w:right="700" w:bottom="600" w:left="860" w:header="0" w:footer="329" w:gutter="0"/>
          <w:cols w:space="720"/>
        </w:sect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68"/>
        <w:gridCol w:w="4732"/>
        <w:gridCol w:w="3260"/>
      </w:tblGrid>
      <w:tr w:rsidR="00CA03B4" w14:paraId="543B455E" w14:textId="77777777">
        <w:trPr>
          <w:trHeight w:val="444"/>
        </w:trPr>
        <w:tc>
          <w:tcPr>
            <w:tcW w:w="10460" w:type="dxa"/>
            <w:gridSpan w:val="3"/>
            <w:shd w:val="clear" w:color="auto" w:fill="F1F1F1"/>
          </w:tcPr>
          <w:p w14:paraId="7ADB9049" w14:textId="77777777" w:rsidR="00CA03B4" w:rsidRDefault="00000000">
            <w:pPr>
              <w:pStyle w:val="TableParagraph"/>
              <w:spacing w:line="297" w:lineRule="exact"/>
              <w:ind w:left="3642" w:right="3639"/>
              <w:jc w:val="center"/>
              <w:rPr>
                <w:rFonts w:ascii="Times New Roman"/>
                <w:b/>
                <w:sz w:val="26"/>
              </w:rPr>
            </w:pPr>
            <w:r>
              <w:rPr>
                <w:rFonts w:ascii="Times New Roman"/>
                <w:b/>
                <w:sz w:val="26"/>
              </w:rPr>
              <w:lastRenderedPageBreak/>
              <w:t>VENDOR INFORMATION</w:t>
            </w:r>
          </w:p>
        </w:tc>
      </w:tr>
      <w:tr w:rsidR="00CA03B4" w14:paraId="15AFFCBF" w14:textId="77777777">
        <w:trPr>
          <w:trHeight w:val="1417"/>
        </w:trPr>
        <w:tc>
          <w:tcPr>
            <w:tcW w:w="2468" w:type="dxa"/>
          </w:tcPr>
          <w:p w14:paraId="00E102F1" w14:textId="77777777" w:rsidR="00CA03B4" w:rsidRDefault="00CA03B4">
            <w:pPr>
              <w:pStyle w:val="TableParagraph"/>
              <w:spacing w:before="7" w:line="240" w:lineRule="auto"/>
              <w:rPr>
                <w:b/>
                <w:sz w:val="9"/>
              </w:rPr>
            </w:pPr>
          </w:p>
          <w:p w14:paraId="533A7838" w14:textId="77777777" w:rsidR="00CA03B4" w:rsidRDefault="00000000">
            <w:pPr>
              <w:pStyle w:val="TableParagraph"/>
              <w:spacing w:line="240" w:lineRule="auto"/>
              <w:ind w:left="355"/>
              <w:rPr>
                <w:sz w:val="20"/>
              </w:rPr>
            </w:pPr>
            <w:r>
              <w:rPr>
                <w:noProof/>
                <w:sz w:val="20"/>
              </w:rPr>
              <w:drawing>
                <wp:inline distT="0" distB="0" distL="0" distR="0" wp14:anchorId="1CA28227" wp14:editId="2167D12F">
                  <wp:extent cx="1121500" cy="413861"/>
                  <wp:effectExtent l="0" t="0" r="0" b="0"/>
                  <wp:docPr id="3" name="image2.jpeg" descr="P256C2T3#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1" cstate="print"/>
                          <a:stretch>
                            <a:fillRect/>
                          </a:stretch>
                        </pic:blipFill>
                        <pic:spPr>
                          <a:xfrm>
                            <a:off x="0" y="0"/>
                            <a:ext cx="1121500" cy="413861"/>
                          </a:xfrm>
                          <a:prstGeom prst="rect">
                            <a:avLst/>
                          </a:prstGeom>
                        </pic:spPr>
                      </pic:pic>
                    </a:graphicData>
                  </a:graphic>
                </wp:inline>
              </w:drawing>
            </w:r>
          </w:p>
          <w:p w14:paraId="0522DDAE" w14:textId="77777777" w:rsidR="00CA03B4" w:rsidRDefault="00CA03B4">
            <w:pPr>
              <w:pStyle w:val="TableParagraph"/>
              <w:spacing w:before="6" w:line="240" w:lineRule="auto"/>
              <w:rPr>
                <w:b/>
                <w:sz w:val="23"/>
              </w:rPr>
            </w:pPr>
          </w:p>
          <w:p w14:paraId="259F1948" w14:textId="77777777" w:rsidR="00CA03B4" w:rsidRDefault="00000000">
            <w:pPr>
              <w:pStyle w:val="TableParagraph"/>
              <w:spacing w:line="240" w:lineRule="auto"/>
              <w:ind w:left="439"/>
              <w:rPr>
                <w:b/>
                <w:sz w:val="24"/>
              </w:rPr>
            </w:pPr>
            <w:r>
              <w:rPr>
                <w:b/>
                <w:sz w:val="24"/>
              </w:rPr>
              <w:t>180000003 - A</w:t>
            </w:r>
          </w:p>
        </w:tc>
        <w:tc>
          <w:tcPr>
            <w:tcW w:w="4732" w:type="dxa"/>
          </w:tcPr>
          <w:p w14:paraId="6399940E" w14:textId="77777777" w:rsidR="00CA03B4" w:rsidRDefault="00000000">
            <w:pPr>
              <w:pStyle w:val="TableParagraph"/>
              <w:spacing w:before="3" w:line="229" w:lineRule="exact"/>
              <w:ind w:left="102"/>
              <w:rPr>
                <w:b/>
                <w:sz w:val="20"/>
              </w:rPr>
            </w:pPr>
            <w:r>
              <w:rPr>
                <w:b/>
                <w:sz w:val="20"/>
              </w:rPr>
              <w:t>Alcan Electric</w:t>
            </w:r>
          </w:p>
          <w:p w14:paraId="15D1C012" w14:textId="77777777" w:rsidR="00CA03B4" w:rsidRDefault="00000000">
            <w:pPr>
              <w:pStyle w:val="TableParagraph"/>
              <w:spacing w:line="242" w:lineRule="auto"/>
              <w:ind w:left="102" w:right="2587"/>
              <w:rPr>
                <w:sz w:val="20"/>
              </w:rPr>
            </w:pPr>
            <w:r>
              <w:rPr>
                <w:sz w:val="20"/>
              </w:rPr>
              <w:t>6670 Arctic Spur Road Anchorage, AK 99518</w:t>
            </w:r>
          </w:p>
          <w:p w14:paraId="2AC223FE" w14:textId="77777777" w:rsidR="00CA03B4" w:rsidRDefault="00000000">
            <w:pPr>
              <w:pStyle w:val="TableParagraph"/>
              <w:spacing w:line="242" w:lineRule="auto"/>
              <w:ind w:left="102" w:right="1002"/>
              <w:rPr>
                <w:sz w:val="20"/>
              </w:rPr>
            </w:pPr>
            <w:r>
              <w:rPr>
                <w:sz w:val="20"/>
              </w:rPr>
              <w:t xml:space="preserve">Email: </w:t>
            </w:r>
            <w:hyperlink r:id="rId12">
              <w:r>
                <w:rPr>
                  <w:color w:val="0000FF"/>
                  <w:sz w:val="20"/>
                  <w:u w:val="single" w:color="0000FF"/>
                </w:rPr>
                <w:t>cfleming@alcanelectric.com</w:t>
              </w:r>
            </w:hyperlink>
            <w:r>
              <w:rPr>
                <w:color w:val="0000FF"/>
                <w:sz w:val="20"/>
              </w:rPr>
              <w:t xml:space="preserve"> </w:t>
            </w:r>
            <w:r>
              <w:rPr>
                <w:sz w:val="20"/>
              </w:rPr>
              <w:t>Website:</w:t>
            </w:r>
            <w:r>
              <w:rPr>
                <w:spacing w:val="52"/>
                <w:sz w:val="20"/>
              </w:rPr>
              <w:t xml:space="preserve"> </w:t>
            </w:r>
            <w:hyperlink r:id="rId13">
              <w:r>
                <w:rPr>
                  <w:color w:val="0000FF"/>
                  <w:sz w:val="20"/>
                  <w:u w:val="single" w:color="0000FF"/>
                </w:rPr>
                <w:t>www.alcanelectric.com/</w:t>
              </w:r>
            </w:hyperlink>
          </w:p>
        </w:tc>
        <w:tc>
          <w:tcPr>
            <w:tcW w:w="3260" w:type="dxa"/>
          </w:tcPr>
          <w:p w14:paraId="74EB9C9D" w14:textId="77777777" w:rsidR="00CA03B4" w:rsidRDefault="00000000">
            <w:pPr>
              <w:pStyle w:val="TableParagraph"/>
              <w:spacing w:before="3" w:line="240" w:lineRule="auto"/>
              <w:ind w:left="103"/>
              <w:rPr>
                <w:sz w:val="20"/>
              </w:rPr>
            </w:pPr>
            <w:r>
              <w:rPr>
                <w:sz w:val="20"/>
              </w:rPr>
              <w:t xml:space="preserve">Contact Person: </w:t>
            </w:r>
            <w:proofErr w:type="spellStart"/>
            <w:r>
              <w:rPr>
                <w:sz w:val="20"/>
              </w:rPr>
              <w:t>Chrys</w:t>
            </w:r>
            <w:proofErr w:type="spellEnd"/>
            <w:r>
              <w:rPr>
                <w:sz w:val="20"/>
              </w:rPr>
              <w:t xml:space="preserve"> Fleming Phone: (907)</w:t>
            </w:r>
            <w:r>
              <w:rPr>
                <w:spacing w:val="55"/>
                <w:sz w:val="20"/>
              </w:rPr>
              <w:t xml:space="preserve"> </w:t>
            </w:r>
            <w:r>
              <w:rPr>
                <w:sz w:val="20"/>
              </w:rPr>
              <w:t>563-3787</w:t>
            </w:r>
          </w:p>
          <w:p w14:paraId="0DE42EF8" w14:textId="77777777" w:rsidR="00CA03B4" w:rsidRDefault="00000000">
            <w:pPr>
              <w:pStyle w:val="TableParagraph"/>
              <w:spacing w:line="229" w:lineRule="exact"/>
              <w:ind w:left="102"/>
              <w:rPr>
                <w:sz w:val="20"/>
              </w:rPr>
            </w:pPr>
            <w:r>
              <w:rPr>
                <w:sz w:val="20"/>
              </w:rPr>
              <w:t>Emergency: (907) 952-8765</w:t>
            </w:r>
          </w:p>
          <w:p w14:paraId="05EAA45B" w14:textId="77777777" w:rsidR="00CA03B4" w:rsidRDefault="00000000">
            <w:pPr>
              <w:pStyle w:val="TableParagraph"/>
              <w:spacing w:line="229" w:lineRule="exact"/>
              <w:ind w:left="102"/>
              <w:rPr>
                <w:sz w:val="20"/>
              </w:rPr>
            </w:pPr>
            <w:r>
              <w:rPr>
                <w:sz w:val="20"/>
              </w:rPr>
              <w:t>Fax Number: (907) 561-4072</w:t>
            </w:r>
          </w:p>
        </w:tc>
      </w:tr>
      <w:tr w:rsidR="00CA03B4" w14:paraId="33590E3D" w14:textId="77777777">
        <w:trPr>
          <w:trHeight w:val="1518"/>
        </w:trPr>
        <w:tc>
          <w:tcPr>
            <w:tcW w:w="2468" w:type="dxa"/>
          </w:tcPr>
          <w:p w14:paraId="1B7FDC05" w14:textId="77777777" w:rsidR="00CA03B4" w:rsidRDefault="00CA03B4">
            <w:pPr>
              <w:pStyle w:val="TableParagraph"/>
              <w:spacing w:before="2" w:line="240" w:lineRule="auto"/>
              <w:rPr>
                <w:b/>
                <w:sz w:val="14"/>
              </w:rPr>
            </w:pPr>
          </w:p>
          <w:p w14:paraId="13285AE0" w14:textId="77777777" w:rsidR="00CA03B4" w:rsidRDefault="00000000">
            <w:pPr>
              <w:pStyle w:val="TableParagraph"/>
              <w:spacing w:line="240" w:lineRule="auto"/>
              <w:ind w:left="503"/>
              <w:rPr>
                <w:sz w:val="20"/>
              </w:rPr>
            </w:pPr>
            <w:r>
              <w:rPr>
                <w:noProof/>
                <w:sz w:val="20"/>
              </w:rPr>
              <w:drawing>
                <wp:inline distT="0" distB="0" distL="0" distR="0" wp14:anchorId="26D0C8B3" wp14:editId="32B03F96">
                  <wp:extent cx="911997" cy="403383"/>
                  <wp:effectExtent l="0" t="0" r="0" b="0"/>
                  <wp:docPr id="5" name="image3.jpeg" descr="P269C5T3#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4" cstate="print"/>
                          <a:stretch>
                            <a:fillRect/>
                          </a:stretch>
                        </pic:blipFill>
                        <pic:spPr>
                          <a:xfrm>
                            <a:off x="0" y="0"/>
                            <a:ext cx="911997" cy="403383"/>
                          </a:xfrm>
                          <a:prstGeom prst="rect">
                            <a:avLst/>
                          </a:prstGeom>
                        </pic:spPr>
                      </pic:pic>
                    </a:graphicData>
                  </a:graphic>
                </wp:inline>
              </w:drawing>
            </w:r>
          </w:p>
          <w:p w14:paraId="0E32F98D" w14:textId="77777777" w:rsidR="00CA03B4" w:rsidRDefault="00CA03B4">
            <w:pPr>
              <w:pStyle w:val="TableParagraph"/>
              <w:spacing w:before="6" w:line="240" w:lineRule="auto"/>
              <w:rPr>
                <w:b/>
                <w:sz w:val="24"/>
              </w:rPr>
            </w:pPr>
          </w:p>
          <w:p w14:paraId="549C5636" w14:textId="77777777" w:rsidR="00CA03B4" w:rsidRDefault="00000000">
            <w:pPr>
              <w:pStyle w:val="TableParagraph"/>
              <w:spacing w:before="1" w:line="240" w:lineRule="auto"/>
              <w:ind w:left="439"/>
              <w:rPr>
                <w:b/>
                <w:sz w:val="24"/>
              </w:rPr>
            </w:pPr>
            <w:r>
              <w:rPr>
                <w:b/>
                <w:sz w:val="24"/>
              </w:rPr>
              <w:t>180000003 - B</w:t>
            </w:r>
          </w:p>
        </w:tc>
        <w:tc>
          <w:tcPr>
            <w:tcW w:w="4732" w:type="dxa"/>
          </w:tcPr>
          <w:p w14:paraId="0CA4341B" w14:textId="77777777" w:rsidR="00CA03B4" w:rsidRDefault="00000000">
            <w:pPr>
              <w:pStyle w:val="TableParagraph"/>
              <w:spacing w:before="3" w:line="229" w:lineRule="exact"/>
              <w:ind w:left="102"/>
              <w:rPr>
                <w:b/>
                <w:sz w:val="20"/>
              </w:rPr>
            </w:pPr>
            <w:proofErr w:type="spellStart"/>
            <w:r>
              <w:rPr>
                <w:b/>
                <w:sz w:val="20"/>
              </w:rPr>
              <w:t>Chatha</w:t>
            </w:r>
            <w:proofErr w:type="spellEnd"/>
            <w:r>
              <w:rPr>
                <w:b/>
                <w:sz w:val="20"/>
              </w:rPr>
              <w:t xml:space="preserve"> Electric</w:t>
            </w:r>
          </w:p>
          <w:p w14:paraId="126FA529" w14:textId="77777777" w:rsidR="00CA03B4" w:rsidRDefault="00000000">
            <w:pPr>
              <w:pStyle w:val="TableParagraph"/>
              <w:spacing w:line="229" w:lineRule="exact"/>
              <w:ind w:left="102"/>
              <w:rPr>
                <w:sz w:val="20"/>
              </w:rPr>
            </w:pPr>
            <w:r>
              <w:rPr>
                <w:sz w:val="20"/>
              </w:rPr>
              <w:t>PO Box 34977</w:t>
            </w:r>
          </w:p>
          <w:p w14:paraId="601FD5F5" w14:textId="77777777" w:rsidR="00CA03B4" w:rsidRDefault="00000000">
            <w:pPr>
              <w:pStyle w:val="TableParagraph"/>
              <w:spacing w:before="2" w:line="229" w:lineRule="exact"/>
              <w:ind w:left="102"/>
              <w:rPr>
                <w:sz w:val="20"/>
              </w:rPr>
            </w:pPr>
            <w:r>
              <w:rPr>
                <w:sz w:val="20"/>
              </w:rPr>
              <w:t>Juneau, AK 99801</w:t>
            </w:r>
          </w:p>
          <w:p w14:paraId="405FFD75" w14:textId="77777777" w:rsidR="00CA03B4" w:rsidRDefault="00000000">
            <w:pPr>
              <w:pStyle w:val="TableParagraph"/>
              <w:spacing w:line="242" w:lineRule="auto"/>
              <w:ind w:left="102" w:right="1002"/>
              <w:rPr>
                <w:sz w:val="20"/>
              </w:rPr>
            </w:pPr>
            <w:r>
              <w:rPr>
                <w:sz w:val="20"/>
              </w:rPr>
              <w:t xml:space="preserve">Email: </w:t>
            </w:r>
            <w:hyperlink r:id="rId15">
              <w:r>
                <w:rPr>
                  <w:color w:val="0000FF"/>
                  <w:sz w:val="20"/>
                  <w:u w:val="single" w:color="0000FF"/>
                </w:rPr>
                <w:t>Chuck@chathamelectric.com</w:t>
              </w:r>
            </w:hyperlink>
            <w:r>
              <w:rPr>
                <w:color w:val="0000FF"/>
                <w:sz w:val="20"/>
              </w:rPr>
              <w:t xml:space="preserve"> </w:t>
            </w:r>
            <w:r>
              <w:rPr>
                <w:sz w:val="20"/>
              </w:rPr>
              <w:t xml:space="preserve">Website: </w:t>
            </w:r>
            <w:hyperlink r:id="rId16">
              <w:r>
                <w:rPr>
                  <w:color w:val="0000FF"/>
                  <w:sz w:val="20"/>
                  <w:u w:val="single" w:color="0000FF"/>
                </w:rPr>
                <w:t>www.chathamelectric.com/</w:t>
              </w:r>
            </w:hyperlink>
          </w:p>
        </w:tc>
        <w:tc>
          <w:tcPr>
            <w:tcW w:w="3260" w:type="dxa"/>
          </w:tcPr>
          <w:p w14:paraId="3D8B4918" w14:textId="77777777" w:rsidR="00CA03B4" w:rsidRDefault="00000000">
            <w:pPr>
              <w:pStyle w:val="TableParagraph"/>
              <w:spacing w:before="3" w:line="240" w:lineRule="auto"/>
              <w:ind w:left="103" w:right="614"/>
              <w:rPr>
                <w:sz w:val="20"/>
              </w:rPr>
            </w:pPr>
            <w:r>
              <w:rPr>
                <w:sz w:val="20"/>
              </w:rPr>
              <w:t>Contact Person: Chuck Platt Phone: (907)</w:t>
            </w:r>
            <w:r>
              <w:rPr>
                <w:spacing w:val="54"/>
                <w:sz w:val="20"/>
              </w:rPr>
              <w:t xml:space="preserve"> </w:t>
            </w:r>
            <w:r>
              <w:rPr>
                <w:sz w:val="20"/>
              </w:rPr>
              <w:t>789-9899</w:t>
            </w:r>
          </w:p>
          <w:p w14:paraId="23800486" w14:textId="77777777" w:rsidR="00CA03B4" w:rsidRDefault="00000000">
            <w:pPr>
              <w:pStyle w:val="TableParagraph"/>
              <w:spacing w:line="229" w:lineRule="exact"/>
              <w:ind w:left="103"/>
              <w:rPr>
                <w:sz w:val="20"/>
              </w:rPr>
            </w:pPr>
            <w:r>
              <w:rPr>
                <w:sz w:val="20"/>
              </w:rPr>
              <w:t>Emergency:</w:t>
            </w:r>
            <w:proofErr w:type="gramStart"/>
            <w:r>
              <w:rPr>
                <w:sz w:val="20"/>
              </w:rPr>
              <w:t xml:space="preserve">   (</w:t>
            </w:r>
            <w:proofErr w:type="gramEnd"/>
            <w:r>
              <w:rPr>
                <w:sz w:val="20"/>
              </w:rPr>
              <w:t>907)</w:t>
            </w:r>
            <w:r>
              <w:rPr>
                <w:spacing w:val="-13"/>
                <w:sz w:val="20"/>
              </w:rPr>
              <w:t xml:space="preserve"> </w:t>
            </w:r>
            <w:r>
              <w:rPr>
                <w:sz w:val="20"/>
              </w:rPr>
              <w:t>957-1802</w:t>
            </w:r>
          </w:p>
          <w:p w14:paraId="013A4440" w14:textId="77777777" w:rsidR="00CA03B4" w:rsidRDefault="00000000">
            <w:pPr>
              <w:pStyle w:val="TableParagraph"/>
              <w:spacing w:line="229" w:lineRule="exact"/>
              <w:ind w:left="103"/>
              <w:rPr>
                <w:sz w:val="20"/>
              </w:rPr>
            </w:pPr>
            <w:r>
              <w:rPr>
                <w:sz w:val="20"/>
              </w:rPr>
              <w:t>Fax Number</w:t>
            </w:r>
            <w:proofErr w:type="gramStart"/>
            <w:r>
              <w:rPr>
                <w:sz w:val="20"/>
              </w:rPr>
              <w:t>:  (</w:t>
            </w:r>
            <w:proofErr w:type="gramEnd"/>
            <w:r>
              <w:rPr>
                <w:sz w:val="20"/>
              </w:rPr>
              <w:t>907)</w:t>
            </w:r>
            <w:r>
              <w:rPr>
                <w:spacing w:val="-10"/>
                <w:sz w:val="20"/>
              </w:rPr>
              <w:t xml:space="preserve"> </w:t>
            </w:r>
            <w:r>
              <w:rPr>
                <w:sz w:val="20"/>
              </w:rPr>
              <w:t>789-6954</w:t>
            </w:r>
          </w:p>
        </w:tc>
      </w:tr>
      <w:tr w:rsidR="00CA03B4" w14:paraId="00C65BE3" w14:textId="77777777">
        <w:trPr>
          <w:trHeight w:val="1425"/>
        </w:trPr>
        <w:tc>
          <w:tcPr>
            <w:tcW w:w="2468" w:type="dxa"/>
          </w:tcPr>
          <w:p w14:paraId="7A83FC78" w14:textId="77777777" w:rsidR="00CA03B4" w:rsidRDefault="00CA03B4">
            <w:pPr>
              <w:pStyle w:val="TableParagraph"/>
              <w:spacing w:before="2" w:line="240" w:lineRule="auto"/>
              <w:rPr>
                <w:b/>
                <w:sz w:val="14"/>
              </w:rPr>
            </w:pPr>
          </w:p>
          <w:p w14:paraId="347989C8" w14:textId="77777777" w:rsidR="00CA03B4" w:rsidRDefault="00000000">
            <w:pPr>
              <w:pStyle w:val="TableParagraph"/>
              <w:spacing w:line="240" w:lineRule="auto"/>
              <w:ind w:left="344"/>
              <w:rPr>
                <w:sz w:val="20"/>
              </w:rPr>
            </w:pPr>
            <w:r>
              <w:rPr>
                <w:noProof/>
                <w:sz w:val="20"/>
              </w:rPr>
              <w:drawing>
                <wp:inline distT="0" distB="0" distL="0" distR="0" wp14:anchorId="2E843F0D" wp14:editId="22739C3B">
                  <wp:extent cx="1165444" cy="523303"/>
                  <wp:effectExtent l="0" t="0" r="0" b="0"/>
                  <wp:docPr id="7" name="image4.jpeg" descr="P282C8T3#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7" cstate="print"/>
                          <a:stretch>
                            <a:fillRect/>
                          </a:stretch>
                        </pic:blipFill>
                        <pic:spPr>
                          <a:xfrm>
                            <a:off x="0" y="0"/>
                            <a:ext cx="1165444" cy="523303"/>
                          </a:xfrm>
                          <a:prstGeom prst="rect">
                            <a:avLst/>
                          </a:prstGeom>
                        </pic:spPr>
                      </pic:pic>
                    </a:graphicData>
                  </a:graphic>
                </wp:inline>
              </w:drawing>
            </w:r>
          </w:p>
          <w:p w14:paraId="35A79B64" w14:textId="77777777" w:rsidR="00CA03B4" w:rsidRDefault="00000000">
            <w:pPr>
              <w:pStyle w:val="TableParagraph"/>
              <w:spacing w:line="240" w:lineRule="auto"/>
              <w:ind w:left="411"/>
              <w:rPr>
                <w:b/>
                <w:sz w:val="24"/>
              </w:rPr>
            </w:pPr>
            <w:r>
              <w:rPr>
                <w:b/>
                <w:sz w:val="24"/>
              </w:rPr>
              <w:t>180000003 – C</w:t>
            </w:r>
          </w:p>
        </w:tc>
        <w:tc>
          <w:tcPr>
            <w:tcW w:w="4732" w:type="dxa"/>
          </w:tcPr>
          <w:p w14:paraId="7A012E15" w14:textId="77777777" w:rsidR="00CA03B4" w:rsidRDefault="00000000">
            <w:pPr>
              <w:pStyle w:val="TableParagraph"/>
              <w:spacing w:line="240" w:lineRule="auto"/>
              <w:ind w:left="102" w:right="2746"/>
              <w:rPr>
                <w:sz w:val="20"/>
              </w:rPr>
            </w:pPr>
            <w:proofErr w:type="spellStart"/>
            <w:r>
              <w:rPr>
                <w:b/>
                <w:sz w:val="20"/>
              </w:rPr>
              <w:t>Fullford</w:t>
            </w:r>
            <w:proofErr w:type="spellEnd"/>
            <w:r>
              <w:rPr>
                <w:b/>
                <w:sz w:val="20"/>
              </w:rPr>
              <w:t xml:space="preserve"> Electric </w:t>
            </w:r>
            <w:r>
              <w:rPr>
                <w:sz w:val="20"/>
              </w:rPr>
              <w:t xml:space="preserve">303 E. Van Horn </w:t>
            </w:r>
            <w:r>
              <w:rPr>
                <w:spacing w:val="-3"/>
                <w:sz w:val="20"/>
              </w:rPr>
              <w:t xml:space="preserve">Rd </w:t>
            </w:r>
            <w:r>
              <w:rPr>
                <w:sz w:val="20"/>
              </w:rPr>
              <w:t>Fairbanks, AK</w:t>
            </w:r>
            <w:r>
              <w:rPr>
                <w:spacing w:val="-7"/>
                <w:sz w:val="20"/>
              </w:rPr>
              <w:t xml:space="preserve"> </w:t>
            </w:r>
            <w:r>
              <w:rPr>
                <w:sz w:val="20"/>
              </w:rPr>
              <w:t>99701</w:t>
            </w:r>
          </w:p>
          <w:p w14:paraId="1A51C4E8" w14:textId="77777777" w:rsidR="00CA03B4" w:rsidRDefault="00000000">
            <w:pPr>
              <w:pStyle w:val="TableParagraph"/>
              <w:spacing w:before="1" w:line="240" w:lineRule="auto"/>
              <w:ind w:left="102" w:right="1002"/>
              <w:rPr>
                <w:sz w:val="20"/>
              </w:rPr>
            </w:pPr>
            <w:r>
              <w:rPr>
                <w:sz w:val="20"/>
              </w:rPr>
              <w:t xml:space="preserve">Email: </w:t>
            </w:r>
            <w:hyperlink r:id="rId18">
              <w:r>
                <w:rPr>
                  <w:color w:val="0000FF"/>
                  <w:sz w:val="20"/>
                  <w:u w:val="single" w:color="0000FF"/>
                </w:rPr>
                <w:t>Lael@fullfordelectric.com</w:t>
              </w:r>
            </w:hyperlink>
            <w:r>
              <w:rPr>
                <w:color w:val="0000FF"/>
                <w:sz w:val="20"/>
              </w:rPr>
              <w:t xml:space="preserve"> </w:t>
            </w:r>
            <w:r>
              <w:rPr>
                <w:sz w:val="20"/>
              </w:rPr>
              <w:t xml:space="preserve">Website: </w:t>
            </w:r>
            <w:hyperlink r:id="rId19">
              <w:r>
                <w:rPr>
                  <w:color w:val="0000FF"/>
                  <w:sz w:val="20"/>
                  <w:u w:val="single" w:color="0000FF"/>
                </w:rPr>
                <w:t>www.fullfordelectric.com/</w:t>
              </w:r>
            </w:hyperlink>
          </w:p>
        </w:tc>
        <w:tc>
          <w:tcPr>
            <w:tcW w:w="3260" w:type="dxa"/>
          </w:tcPr>
          <w:p w14:paraId="4DFBB3B3" w14:textId="77777777" w:rsidR="00CA03B4" w:rsidRDefault="00000000">
            <w:pPr>
              <w:pStyle w:val="TableParagraph"/>
              <w:spacing w:line="242" w:lineRule="auto"/>
              <w:ind w:left="103"/>
              <w:rPr>
                <w:sz w:val="20"/>
              </w:rPr>
            </w:pPr>
            <w:r>
              <w:rPr>
                <w:sz w:val="20"/>
              </w:rPr>
              <w:t xml:space="preserve">Contact Person: Lael </w:t>
            </w:r>
            <w:proofErr w:type="spellStart"/>
            <w:r>
              <w:rPr>
                <w:sz w:val="20"/>
              </w:rPr>
              <w:t>Fullford</w:t>
            </w:r>
            <w:proofErr w:type="spellEnd"/>
            <w:r>
              <w:rPr>
                <w:sz w:val="20"/>
              </w:rPr>
              <w:t xml:space="preserve"> Phone: (907)</w:t>
            </w:r>
            <w:r>
              <w:rPr>
                <w:spacing w:val="54"/>
                <w:sz w:val="20"/>
              </w:rPr>
              <w:t xml:space="preserve"> </w:t>
            </w:r>
            <w:r>
              <w:rPr>
                <w:sz w:val="20"/>
              </w:rPr>
              <w:t>465-7356</w:t>
            </w:r>
          </w:p>
          <w:p w14:paraId="4C29B570" w14:textId="77777777" w:rsidR="00CA03B4" w:rsidRDefault="00000000">
            <w:pPr>
              <w:pStyle w:val="TableParagraph"/>
              <w:spacing w:line="225" w:lineRule="exact"/>
              <w:ind w:left="103"/>
              <w:rPr>
                <w:sz w:val="20"/>
              </w:rPr>
            </w:pPr>
            <w:r>
              <w:rPr>
                <w:sz w:val="20"/>
              </w:rPr>
              <w:t>Emergency: (907) 460-4125</w:t>
            </w:r>
          </w:p>
          <w:p w14:paraId="77227A9A" w14:textId="77777777" w:rsidR="00CA03B4" w:rsidRDefault="00000000">
            <w:pPr>
              <w:pStyle w:val="TableParagraph"/>
              <w:spacing w:before="1" w:line="240" w:lineRule="auto"/>
              <w:ind w:left="103"/>
              <w:rPr>
                <w:sz w:val="20"/>
              </w:rPr>
            </w:pPr>
            <w:r>
              <w:rPr>
                <w:sz w:val="20"/>
              </w:rPr>
              <w:t>Fax Number: (907) 456-7288</w:t>
            </w:r>
          </w:p>
        </w:tc>
      </w:tr>
      <w:tr w:rsidR="00CA03B4" w14:paraId="4A2E8CEA" w14:textId="77777777">
        <w:trPr>
          <w:trHeight w:val="1533"/>
        </w:trPr>
        <w:tc>
          <w:tcPr>
            <w:tcW w:w="2468" w:type="dxa"/>
          </w:tcPr>
          <w:p w14:paraId="54BFC358" w14:textId="77777777" w:rsidR="00CA03B4" w:rsidRDefault="00CA03B4">
            <w:pPr>
              <w:pStyle w:val="TableParagraph"/>
              <w:spacing w:line="240" w:lineRule="auto"/>
              <w:rPr>
                <w:b/>
                <w:sz w:val="20"/>
              </w:rPr>
            </w:pPr>
          </w:p>
          <w:p w14:paraId="5BB5E36E" w14:textId="77777777" w:rsidR="00CA03B4" w:rsidRDefault="00CA03B4">
            <w:pPr>
              <w:pStyle w:val="TableParagraph"/>
              <w:spacing w:before="8" w:line="240" w:lineRule="auto"/>
              <w:rPr>
                <w:b/>
                <w:sz w:val="15"/>
              </w:rPr>
            </w:pPr>
          </w:p>
          <w:p w14:paraId="6BE2DDCE" w14:textId="77777777" w:rsidR="00CA03B4" w:rsidRDefault="00000000">
            <w:pPr>
              <w:pStyle w:val="TableParagraph"/>
              <w:spacing w:line="240" w:lineRule="auto"/>
              <w:ind w:left="387"/>
              <w:rPr>
                <w:sz w:val="20"/>
              </w:rPr>
            </w:pPr>
            <w:r>
              <w:rPr>
                <w:noProof/>
                <w:sz w:val="20"/>
              </w:rPr>
              <w:drawing>
                <wp:inline distT="0" distB="0" distL="0" distR="0" wp14:anchorId="483D5A5A" wp14:editId="74BFFD24">
                  <wp:extent cx="1068424" cy="424338"/>
                  <wp:effectExtent l="0" t="0" r="0" b="0"/>
                  <wp:docPr id="9" name="image5.png" descr="P295C11T3#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20" cstate="print"/>
                          <a:stretch>
                            <a:fillRect/>
                          </a:stretch>
                        </pic:blipFill>
                        <pic:spPr>
                          <a:xfrm>
                            <a:off x="0" y="0"/>
                            <a:ext cx="1068424" cy="424338"/>
                          </a:xfrm>
                          <a:prstGeom prst="rect">
                            <a:avLst/>
                          </a:prstGeom>
                        </pic:spPr>
                      </pic:pic>
                    </a:graphicData>
                  </a:graphic>
                </wp:inline>
              </w:drawing>
            </w:r>
          </w:p>
          <w:p w14:paraId="796428C9" w14:textId="77777777" w:rsidR="00CA03B4" w:rsidRDefault="00000000">
            <w:pPr>
              <w:pStyle w:val="TableParagraph"/>
              <w:spacing w:before="2" w:line="240" w:lineRule="auto"/>
              <w:ind w:left="439"/>
              <w:rPr>
                <w:b/>
                <w:sz w:val="24"/>
              </w:rPr>
            </w:pPr>
            <w:r>
              <w:rPr>
                <w:b/>
                <w:sz w:val="24"/>
              </w:rPr>
              <w:t>180000003 - D</w:t>
            </w:r>
          </w:p>
        </w:tc>
        <w:tc>
          <w:tcPr>
            <w:tcW w:w="4732" w:type="dxa"/>
          </w:tcPr>
          <w:p w14:paraId="127D9817" w14:textId="77777777" w:rsidR="00CA03B4" w:rsidRDefault="00000000">
            <w:pPr>
              <w:pStyle w:val="TableParagraph"/>
              <w:spacing w:before="3" w:line="240" w:lineRule="auto"/>
              <w:ind w:left="102" w:right="2596"/>
              <w:rPr>
                <w:sz w:val="20"/>
              </w:rPr>
            </w:pPr>
            <w:r>
              <w:rPr>
                <w:b/>
                <w:sz w:val="20"/>
              </w:rPr>
              <w:t xml:space="preserve">Megawatt Electric </w:t>
            </w:r>
            <w:r>
              <w:rPr>
                <w:sz w:val="20"/>
              </w:rPr>
              <w:t>510 W. Fireweed Lane Anchorage, AK 99503</w:t>
            </w:r>
          </w:p>
          <w:p w14:paraId="77406193" w14:textId="77777777" w:rsidR="00CA03B4" w:rsidRDefault="00000000">
            <w:pPr>
              <w:pStyle w:val="TableParagraph"/>
              <w:spacing w:line="242" w:lineRule="auto"/>
              <w:ind w:left="102" w:right="1002"/>
              <w:rPr>
                <w:sz w:val="20"/>
              </w:rPr>
            </w:pPr>
            <w:r>
              <w:rPr>
                <w:sz w:val="20"/>
              </w:rPr>
              <w:t xml:space="preserve">Email: </w:t>
            </w:r>
            <w:hyperlink r:id="rId21">
              <w:r>
                <w:rPr>
                  <w:color w:val="0000FF"/>
                  <w:sz w:val="20"/>
                  <w:u w:val="single" w:color="0000FF"/>
                </w:rPr>
                <w:t>eharris@megawattelectric.com</w:t>
              </w:r>
            </w:hyperlink>
            <w:r>
              <w:rPr>
                <w:color w:val="0000FF"/>
                <w:sz w:val="20"/>
              </w:rPr>
              <w:t xml:space="preserve"> </w:t>
            </w:r>
            <w:r>
              <w:rPr>
                <w:sz w:val="20"/>
              </w:rPr>
              <w:t xml:space="preserve">Website: </w:t>
            </w:r>
            <w:hyperlink r:id="rId22">
              <w:r>
                <w:rPr>
                  <w:color w:val="0000FF"/>
                  <w:sz w:val="20"/>
                  <w:u w:val="single" w:color="0000FF"/>
                </w:rPr>
                <w:t>www.megawattelectric.com/</w:t>
              </w:r>
            </w:hyperlink>
          </w:p>
        </w:tc>
        <w:tc>
          <w:tcPr>
            <w:tcW w:w="3260" w:type="dxa"/>
          </w:tcPr>
          <w:p w14:paraId="7BEC3F95" w14:textId="77777777" w:rsidR="00CA03B4" w:rsidRDefault="00000000">
            <w:pPr>
              <w:pStyle w:val="TableParagraph"/>
              <w:spacing w:before="3" w:line="240" w:lineRule="auto"/>
              <w:ind w:left="103" w:right="614"/>
              <w:rPr>
                <w:sz w:val="20"/>
              </w:rPr>
            </w:pPr>
            <w:r>
              <w:rPr>
                <w:sz w:val="20"/>
              </w:rPr>
              <w:t>Contact Person: Ed Harris Phone: (907) 333-4503</w:t>
            </w:r>
          </w:p>
          <w:p w14:paraId="315028A6" w14:textId="77777777" w:rsidR="00CA03B4" w:rsidRDefault="00000000">
            <w:pPr>
              <w:pStyle w:val="TableParagraph"/>
              <w:spacing w:line="229" w:lineRule="exact"/>
              <w:ind w:left="102"/>
              <w:rPr>
                <w:sz w:val="20"/>
              </w:rPr>
            </w:pPr>
            <w:r>
              <w:rPr>
                <w:sz w:val="20"/>
              </w:rPr>
              <w:t>Emergency: (907) 333-4503</w:t>
            </w:r>
          </w:p>
          <w:p w14:paraId="6B3422F9" w14:textId="77777777" w:rsidR="00CA03B4" w:rsidRDefault="00000000">
            <w:pPr>
              <w:pStyle w:val="TableParagraph"/>
              <w:spacing w:line="229" w:lineRule="exact"/>
              <w:ind w:left="102"/>
              <w:rPr>
                <w:sz w:val="20"/>
              </w:rPr>
            </w:pPr>
            <w:r>
              <w:rPr>
                <w:sz w:val="20"/>
              </w:rPr>
              <w:t>Fax Number: (907) 277-6003</w:t>
            </w:r>
          </w:p>
        </w:tc>
      </w:tr>
      <w:tr w:rsidR="00CA03B4" w14:paraId="3F419B6E" w14:textId="77777777">
        <w:trPr>
          <w:trHeight w:val="1518"/>
        </w:trPr>
        <w:tc>
          <w:tcPr>
            <w:tcW w:w="2468" w:type="dxa"/>
          </w:tcPr>
          <w:p w14:paraId="76E0BA8E" w14:textId="77777777" w:rsidR="00CA03B4" w:rsidRDefault="00CA03B4">
            <w:pPr>
              <w:pStyle w:val="TableParagraph"/>
              <w:spacing w:line="240" w:lineRule="auto"/>
              <w:rPr>
                <w:b/>
                <w:sz w:val="18"/>
              </w:rPr>
            </w:pPr>
          </w:p>
          <w:p w14:paraId="2661D9B7" w14:textId="77777777" w:rsidR="00CA03B4" w:rsidRDefault="00000000">
            <w:pPr>
              <w:pStyle w:val="TableParagraph"/>
              <w:spacing w:line="240" w:lineRule="auto"/>
              <w:ind w:left="375"/>
              <w:rPr>
                <w:sz w:val="20"/>
              </w:rPr>
            </w:pPr>
            <w:r>
              <w:rPr>
                <w:noProof/>
                <w:sz w:val="20"/>
              </w:rPr>
              <w:drawing>
                <wp:inline distT="0" distB="0" distL="0" distR="0" wp14:anchorId="045F551A" wp14:editId="58508635">
                  <wp:extent cx="1078454" cy="521588"/>
                  <wp:effectExtent l="0" t="0" r="0" b="0"/>
                  <wp:docPr id="11" name="image6.jpeg" descr="P308C14T3#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23" cstate="print"/>
                          <a:stretch>
                            <a:fillRect/>
                          </a:stretch>
                        </pic:blipFill>
                        <pic:spPr>
                          <a:xfrm>
                            <a:off x="0" y="0"/>
                            <a:ext cx="1078454" cy="521588"/>
                          </a:xfrm>
                          <a:prstGeom prst="rect">
                            <a:avLst/>
                          </a:prstGeom>
                        </pic:spPr>
                      </pic:pic>
                    </a:graphicData>
                  </a:graphic>
                </wp:inline>
              </w:drawing>
            </w:r>
          </w:p>
          <w:p w14:paraId="12EA0C56" w14:textId="77777777" w:rsidR="00CA03B4" w:rsidRDefault="00000000">
            <w:pPr>
              <w:pStyle w:val="TableParagraph"/>
              <w:spacing w:before="5" w:line="240" w:lineRule="auto"/>
              <w:ind w:left="419"/>
              <w:rPr>
                <w:b/>
                <w:sz w:val="24"/>
              </w:rPr>
            </w:pPr>
            <w:r>
              <w:rPr>
                <w:b/>
                <w:sz w:val="24"/>
              </w:rPr>
              <w:t>180000003 – E</w:t>
            </w:r>
          </w:p>
        </w:tc>
        <w:tc>
          <w:tcPr>
            <w:tcW w:w="4732" w:type="dxa"/>
          </w:tcPr>
          <w:p w14:paraId="37E80454" w14:textId="77777777" w:rsidR="00CA03B4" w:rsidRDefault="00000000">
            <w:pPr>
              <w:pStyle w:val="TableParagraph"/>
              <w:spacing w:before="3" w:line="229" w:lineRule="exact"/>
              <w:ind w:left="102"/>
              <w:rPr>
                <w:b/>
                <w:sz w:val="20"/>
              </w:rPr>
            </w:pPr>
            <w:r>
              <w:rPr>
                <w:b/>
                <w:sz w:val="20"/>
              </w:rPr>
              <w:t>Premier Electric</w:t>
            </w:r>
          </w:p>
          <w:p w14:paraId="5AFAD01F" w14:textId="77777777" w:rsidR="00CA03B4" w:rsidRDefault="00000000">
            <w:pPr>
              <w:pStyle w:val="TableParagraph"/>
              <w:spacing w:line="229" w:lineRule="exact"/>
              <w:ind w:left="102"/>
              <w:rPr>
                <w:sz w:val="20"/>
              </w:rPr>
            </w:pPr>
            <w:r>
              <w:rPr>
                <w:sz w:val="20"/>
              </w:rPr>
              <w:t>PO Box 874362</w:t>
            </w:r>
          </w:p>
          <w:p w14:paraId="630F2BA6" w14:textId="77777777" w:rsidR="00CA03B4" w:rsidRDefault="00000000">
            <w:pPr>
              <w:pStyle w:val="TableParagraph"/>
              <w:spacing w:before="2" w:line="229" w:lineRule="exact"/>
              <w:ind w:left="103"/>
              <w:rPr>
                <w:sz w:val="20"/>
              </w:rPr>
            </w:pPr>
            <w:r>
              <w:rPr>
                <w:sz w:val="20"/>
              </w:rPr>
              <w:t>Wasilla, AK</w:t>
            </w:r>
            <w:r>
              <w:rPr>
                <w:spacing w:val="54"/>
                <w:sz w:val="20"/>
              </w:rPr>
              <w:t xml:space="preserve"> </w:t>
            </w:r>
            <w:r>
              <w:rPr>
                <w:sz w:val="20"/>
              </w:rPr>
              <w:t>99687</w:t>
            </w:r>
          </w:p>
          <w:p w14:paraId="580A58D8" w14:textId="77777777" w:rsidR="00CA03B4" w:rsidRDefault="00000000">
            <w:pPr>
              <w:pStyle w:val="TableParagraph"/>
              <w:spacing w:line="242" w:lineRule="auto"/>
              <w:ind w:left="102" w:right="1002"/>
              <w:rPr>
                <w:sz w:val="20"/>
              </w:rPr>
            </w:pPr>
            <w:r>
              <w:rPr>
                <w:sz w:val="20"/>
              </w:rPr>
              <w:t xml:space="preserve">Email: </w:t>
            </w:r>
            <w:hyperlink r:id="rId24">
              <w:r>
                <w:rPr>
                  <w:color w:val="0000FF"/>
                  <w:sz w:val="20"/>
                  <w:u w:val="single" w:color="0000FF"/>
                </w:rPr>
                <w:t>premierelectric@mtaonline.net</w:t>
              </w:r>
            </w:hyperlink>
            <w:r>
              <w:rPr>
                <w:color w:val="0000FF"/>
                <w:sz w:val="20"/>
              </w:rPr>
              <w:t xml:space="preserve"> </w:t>
            </w:r>
            <w:r>
              <w:rPr>
                <w:sz w:val="20"/>
              </w:rPr>
              <w:t xml:space="preserve">Website: </w:t>
            </w:r>
            <w:hyperlink r:id="rId25">
              <w:r>
                <w:rPr>
                  <w:color w:val="0000FF"/>
                  <w:sz w:val="20"/>
                  <w:u w:val="single" w:color="0000FF"/>
                </w:rPr>
                <w:t>www.premierelectricak.com</w:t>
              </w:r>
            </w:hyperlink>
          </w:p>
        </w:tc>
        <w:tc>
          <w:tcPr>
            <w:tcW w:w="3260" w:type="dxa"/>
          </w:tcPr>
          <w:p w14:paraId="1FFF32A2" w14:textId="77777777" w:rsidR="00CA03B4" w:rsidRDefault="00000000">
            <w:pPr>
              <w:pStyle w:val="TableParagraph"/>
              <w:spacing w:before="3" w:line="240" w:lineRule="auto"/>
              <w:ind w:left="103" w:right="43"/>
              <w:rPr>
                <w:sz w:val="20"/>
              </w:rPr>
            </w:pPr>
            <w:r>
              <w:rPr>
                <w:sz w:val="20"/>
              </w:rPr>
              <w:t>Contact Person: Joel Florian Phone: (907) 357-4200</w:t>
            </w:r>
          </w:p>
          <w:p w14:paraId="1C46345D" w14:textId="77777777" w:rsidR="00CA03B4" w:rsidRDefault="00000000">
            <w:pPr>
              <w:pStyle w:val="TableParagraph"/>
              <w:spacing w:line="229" w:lineRule="exact"/>
              <w:ind w:left="102"/>
              <w:rPr>
                <w:sz w:val="20"/>
              </w:rPr>
            </w:pPr>
            <w:r>
              <w:rPr>
                <w:sz w:val="20"/>
              </w:rPr>
              <w:t>Emergency:</w:t>
            </w:r>
            <w:proofErr w:type="gramStart"/>
            <w:r>
              <w:rPr>
                <w:sz w:val="20"/>
              </w:rPr>
              <w:t xml:space="preserve">   (</w:t>
            </w:r>
            <w:proofErr w:type="gramEnd"/>
            <w:r>
              <w:rPr>
                <w:sz w:val="20"/>
              </w:rPr>
              <w:t>907)</w:t>
            </w:r>
            <w:r>
              <w:rPr>
                <w:spacing w:val="-13"/>
                <w:sz w:val="20"/>
              </w:rPr>
              <w:t xml:space="preserve"> </w:t>
            </w:r>
            <w:r>
              <w:rPr>
                <w:sz w:val="20"/>
              </w:rPr>
              <w:t>841-4246</w:t>
            </w:r>
          </w:p>
          <w:p w14:paraId="4C53A083" w14:textId="77777777" w:rsidR="00CA03B4" w:rsidRDefault="00000000">
            <w:pPr>
              <w:pStyle w:val="TableParagraph"/>
              <w:spacing w:line="229" w:lineRule="exact"/>
              <w:ind w:left="102"/>
              <w:rPr>
                <w:sz w:val="20"/>
              </w:rPr>
            </w:pPr>
            <w:r>
              <w:rPr>
                <w:sz w:val="20"/>
              </w:rPr>
              <w:t>Fax Number</w:t>
            </w:r>
            <w:proofErr w:type="gramStart"/>
            <w:r>
              <w:rPr>
                <w:sz w:val="20"/>
              </w:rPr>
              <w:t>:  (</w:t>
            </w:r>
            <w:proofErr w:type="gramEnd"/>
            <w:r>
              <w:rPr>
                <w:sz w:val="20"/>
              </w:rPr>
              <w:t>907)</w:t>
            </w:r>
            <w:r>
              <w:rPr>
                <w:spacing w:val="-10"/>
                <w:sz w:val="20"/>
              </w:rPr>
              <w:t xml:space="preserve"> </w:t>
            </w:r>
            <w:r>
              <w:rPr>
                <w:sz w:val="20"/>
              </w:rPr>
              <w:t>357-4225</w:t>
            </w:r>
          </w:p>
        </w:tc>
      </w:tr>
      <w:tr w:rsidR="00CA03B4" w14:paraId="0065751C" w14:textId="77777777">
        <w:trPr>
          <w:trHeight w:val="1517"/>
        </w:trPr>
        <w:tc>
          <w:tcPr>
            <w:tcW w:w="2468" w:type="dxa"/>
          </w:tcPr>
          <w:p w14:paraId="52F49CA2" w14:textId="77777777" w:rsidR="00CA03B4" w:rsidRDefault="00CA03B4">
            <w:pPr>
              <w:pStyle w:val="TableParagraph"/>
              <w:spacing w:before="9" w:line="240" w:lineRule="auto"/>
              <w:rPr>
                <w:b/>
                <w:sz w:val="20"/>
              </w:rPr>
            </w:pPr>
          </w:p>
          <w:p w14:paraId="0D29CC3F" w14:textId="77777777" w:rsidR="00CA03B4" w:rsidRDefault="00000000">
            <w:pPr>
              <w:pStyle w:val="TableParagraph"/>
              <w:spacing w:line="240" w:lineRule="auto"/>
              <w:ind w:left="355"/>
              <w:rPr>
                <w:sz w:val="20"/>
              </w:rPr>
            </w:pPr>
            <w:r>
              <w:rPr>
                <w:noProof/>
                <w:sz w:val="20"/>
              </w:rPr>
              <w:drawing>
                <wp:inline distT="0" distB="0" distL="0" distR="0" wp14:anchorId="24398F33" wp14:editId="4F37593D">
                  <wp:extent cx="1120712" cy="490156"/>
                  <wp:effectExtent l="0" t="0" r="0" b="0"/>
                  <wp:docPr id="13" name="image7.jpeg" descr="P320C17T3#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26" cstate="print"/>
                          <a:stretch>
                            <a:fillRect/>
                          </a:stretch>
                        </pic:blipFill>
                        <pic:spPr>
                          <a:xfrm>
                            <a:off x="0" y="0"/>
                            <a:ext cx="1120712" cy="490156"/>
                          </a:xfrm>
                          <a:prstGeom prst="rect">
                            <a:avLst/>
                          </a:prstGeom>
                        </pic:spPr>
                      </pic:pic>
                    </a:graphicData>
                  </a:graphic>
                </wp:inline>
              </w:drawing>
            </w:r>
          </w:p>
          <w:p w14:paraId="178D34C0" w14:textId="77777777" w:rsidR="00CA03B4" w:rsidRDefault="00000000">
            <w:pPr>
              <w:pStyle w:val="TableParagraph"/>
              <w:spacing w:line="240" w:lineRule="auto"/>
              <w:ind w:left="423"/>
              <w:rPr>
                <w:b/>
                <w:sz w:val="24"/>
              </w:rPr>
            </w:pPr>
            <w:r>
              <w:rPr>
                <w:b/>
                <w:sz w:val="24"/>
              </w:rPr>
              <w:t>180000003 – F</w:t>
            </w:r>
          </w:p>
        </w:tc>
        <w:tc>
          <w:tcPr>
            <w:tcW w:w="4732" w:type="dxa"/>
          </w:tcPr>
          <w:p w14:paraId="1F2D7581" w14:textId="77777777" w:rsidR="00CA03B4" w:rsidRDefault="00000000">
            <w:pPr>
              <w:pStyle w:val="TableParagraph"/>
              <w:spacing w:before="3" w:line="229" w:lineRule="exact"/>
              <w:ind w:left="102"/>
              <w:rPr>
                <w:b/>
                <w:sz w:val="20"/>
              </w:rPr>
            </w:pPr>
            <w:r>
              <w:rPr>
                <w:b/>
                <w:sz w:val="20"/>
              </w:rPr>
              <w:t>Wired AK, Inc</w:t>
            </w:r>
          </w:p>
          <w:p w14:paraId="2E01A1D8" w14:textId="77777777" w:rsidR="00CA03B4" w:rsidRDefault="00000000">
            <w:pPr>
              <w:pStyle w:val="TableParagraph"/>
              <w:spacing w:line="242" w:lineRule="auto"/>
              <w:ind w:left="102" w:right="1363"/>
              <w:rPr>
                <w:sz w:val="20"/>
              </w:rPr>
            </w:pPr>
            <w:r>
              <w:rPr>
                <w:sz w:val="20"/>
              </w:rPr>
              <w:t>600 West 58</w:t>
            </w:r>
            <w:r>
              <w:rPr>
                <w:sz w:val="20"/>
                <w:vertAlign w:val="superscript"/>
              </w:rPr>
              <w:t>th</w:t>
            </w:r>
            <w:r>
              <w:rPr>
                <w:sz w:val="20"/>
              </w:rPr>
              <w:t xml:space="preserve"> Ave. Unit J Anchorage, AK</w:t>
            </w:r>
            <w:r>
              <w:rPr>
                <w:spacing w:val="51"/>
                <w:sz w:val="20"/>
              </w:rPr>
              <w:t xml:space="preserve"> </w:t>
            </w:r>
            <w:r>
              <w:rPr>
                <w:sz w:val="20"/>
              </w:rPr>
              <w:t>99518</w:t>
            </w:r>
          </w:p>
          <w:p w14:paraId="0FAA95FE" w14:textId="77777777" w:rsidR="00CA03B4" w:rsidRDefault="00000000">
            <w:pPr>
              <w:pStyle w:val="TableParagraph"/>
              <w:spacing w:line="242" w:lineRule="auto"/>
              <w:ind w:left="102" w:right="1363"/>
              <w:rPr>
                <w:sz w:val="20"/>
              </w:rPr>
            </w:pPr>
            <w:r>
              <w:rPr>
                <w:sz w:val="20"/>
              </w:rPr>
              <w:t xml:space="preserve">Email: </w:t>
            </w:r>
            <w:hyperlink r:id="rId27">
              <w:r>
                <w:rPr>
                  <w:color w:val="0000FF"/>
                  <w:sz w:val="20"/>
                  <w:u w:val="single" w:color="0000FF"/>
                </w:rPr>
                <w:t>service@wiredak.com</w:t>
              </w:r>
            </w:hyperlink>
            <w:r>
              <w:rPr>
                <w:color w:val="0000FF"/>
                <w:sz w:val="20"/>
              </w:rPr>
              <w:t xml:space="preserve"> </w:t>
            </w:r>
            <w:r>
              <w:rPr>
                <w:sz w:val="20"/>
              </w:rPr>
              <w:t>Website:</w:t>
            </w:r>
            <w:r>
              <w:rPr>
                <w:spacing w:val="52"/>
                <w:sz w:val="20"/>
              </w:rPr>
              <w:t xml:space="preserve"> </w:t>
            </w:r>
            <w:hyperlink r:id="rId28">
              <w:r>
                <w:rPr>
                  <w:color w:val="0000FF"/>
                  <w:sz w:val="20"/>
                  <w:u w:val="single" w:color="0000FF"/>
                </w:rPr>
                <w:t>www.wiredak.com/</w:t>
              </w:r>
            </w:hyperlink>
          </w:p>
        </w:tc>
        <w:tc>
          <w:tcPr>
            <w:tcW w:w="3260" w:type="dxa"/>
          </w:tcPr>
          <w:p w14:paraId="1E48DF6F" w14:textId="77777777" w:rsidR="00CA03B4" w:rsidRDefault="00000000">
            <w:pPr>
              <w:pStyle w:val="TableParagraph"/>
              <w:spacing w:before="3" w:line="240" w:lineRule="auto"/>
              <w:ind w:left="103" w:right="43"/>
              <w:rPr>
                <w:sz w:val="20"/>
              </w:rPr>
            </w:pPr>
            <w:r>
              <w:rPr>
                <w:sz w:val="20"/>
              </w:rPr>
              <w:t>Contact Person: Ernesto Lopez Cell Phone: (907)</w:t>
            </w:r>
            <w:r>
              <w:rPr>
                <w:spacing w:val="-4"/>
                <w:sz w:val="20"/>
              </w:rPr>
              <w:t xml:space="preserve"> </w:t>
            </w:r>
            <w:r>
              <w:rPr>
                <w:sz w:val="20"/>
              </w:rPr>
              <w:t>227-0909</w:t>
            </w:r>
          </w:p>
          <w:p w14:paraId="6CB0549A" w14:textId="77777777" w:rsidR="00CA03B4" w:rsidRDefault="00000000">
            <w:pPr>
              <w:pStyle w:val="TableParagraph"/>
              <w:spacing w:line="229" w:lineRule="exact"/>
              <w:ind w:left="103"/>
              <w:rPr>
                <w:sz w:val="20"/>
              </w:rPr>
            </w:pPr>
            <w:proofErr w:type="gramStart"/>
            <w:r>
              <w:rPr>
                <w:sz w:val="20"/>
              </w:rPr>
              <w:t>Emergency  (</w:t>
            </w:r>
            <w:proofErr w:type="gramEnd"/>
            <w:r>
              <w:rPr>
                <w:sz w:val="20"/>
              </w:rPr>
              <w:t>907)</w:t>
            </w:r>
            <w:r>
              <w:rPr>
                <w:spacing w:val="-10"/>
                <w:sz w:val="20"/>
              </w:rPr>
              <w:t xml:space="preserve"> </w:t>
            </w:r>
            <w:r>
              <w:rPr>
                <w:sz w:val="20"/>
              </w:rPr>
              <w:t>562-2448</w:t>
            </w:r>
          </w:p>
          <w:p w14:paraId="43AA8963" w14:textId="77777777" w:rsidR="00CA03B4" w:rsidRDefault="00000000">
            <w:pPr>
              <w:pStyle w:val="TableParagraph"/>
              <w:spacing w:line="229" w:lineRule="exact"/>
              <w:ind w:left="103"/>
              <w:rPr>
                <w:sz w:val="20"/>
              </w:rPr>
            </w:pPr>
            <w:r>
              <w:rPr>
                <w:sz w:val="20"/>
              </w:rPr>
              <w:t>Fax Number: (907) 562-2488</w:t>
            </w:r>
          </w:p>
        </w:tc>
      </w:tr>
      <w:tr w:rsidR="00CA03B4" w14:paraId="42E1BDA7" w14:textId="77777777">
        <w:trPr>
          <w:trHeight w:val="1553"/>
        </w:trPr>
        <w:tc>
          <w:tcPr>
            <w:tcW w:w="2468" w:type="dxa"/>
          </w:tcPr>
          <w:p w14:paraId="4F4A53FD" w14:textId="77777777" w:rsidR="00CA03B4" w:rsidRDefault="00000000">
            <w:pPr>
              <w:pStyle w:val="TableParagraph"/>
              <w:spacing w:line="240" w:lineRule="auto"/>
              <w:ind w:left="454"/>
              <w:rPr>
                <w:sz w:val="20"/>
              </w:rPr>
            </w:pPr>
            <w:r>
              <w:rPr>
                <w:noProof/>
                <w:sz w:val="20"/>
              </w:rPr>
              <w:drawing>
                <wp:inline distT="0" distB="0" distL="0" distR="0" wp14:anchorId="19675E77" wp14:editId="2D9FC4E3">
                  <wp:extent cx="1013536" cy="646176"/>
                  <wp:effectExtent l="0" t="0" r="0" b="0"/>
                  <wp:docPr id="15" name="image8.jpeg" descr="P333C20T3#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29" cstate="print"/>
                          <a:stretch>
                            <a:fillRect/>
                          </a:stretch>
                        </pic:blipFill>
                        <pic:spPr>
                          <a:xfrm>
                            <a:off x="0" y="0"/>
                            <a:ext cx="1013536" cy="646176"/>
                          </a:xfrm>
                          <a:prstGeom prst="rect">
                            <a:avLst/>
                          </a:prstGeom>
                        </pic:spPr>
                      </pic:pic>
                    </a:graphicData>
                  </a:graphic>
                </wp:inline>
              </w:drawing>
            </w:r>
          </w:p>
          <w:p w14:paraId="7185002D" w14:textId="77777777" w:rsidR="00CA03B4" w:rsidRDefault="00000000">
            <w:pPr>
              <w:pStyle w:val="TableParagraph"/>
              <w:spacing w:before="32" w:line="240" w:lineRule="auto"/>
              <w:ind w:left="403"/>
              <w:rPr>
                <w:b/>
                <w:sz w:val="24"/>
              </w:rPr>
            </w:pPr>
            <w:r>
              <w:rPr>
                <w:b/>
                <w:sz w:val="24"/>
              </w:rPr>
              <w:t>180000003 – G</w:t>
            </w:r>
          </w:p>
        </w:tc>
        <w:tc>
          <w:tcPr>
            <w:tcW w:w="4732" w:type="dxa"/>
          </w:tcPr>
          <w:p w14:paraId="1664C2D3" w14:textId="77777777" w:rsidR="00CA03B4" w:rsidRDefault="00000000">
            <w:pPr>
              <w:pStyle w:val="TableParagraph"/>
              <w:spacing w:line="229" w:lineRule="exact"/>
              <w:ind w:left="102"/>
              <w:rPr>
                <w:b/>
                <w:sz w:val="20"/>
              </w:rPr>
            </w:pPr>
            <w:r>
              <w:rPr>
                <w:b/>
                <w:sz w:val="20"/>
              </w:rPr>
              <w:t>Yukon Electric</w:t>
            </w:r>
          </w:p>
          <w:p w14:paraId="3292D186" w14:textId="77777777" w:rsidR="00CA03B4" w:rsidRDefault="00000000">
            <w:pPr>
              <w:pStyle w:val="TableParagraph"/>
              <w:spacing w:before="2" w:line="229" w:lineRule="exact"/>
              <w:ind w:left="102"/>
              <w:rPr>
                <w:sz w:val="20"/>
              </w:rPr>
            </w:pPr>
            <w:r>
              <w:rPr>
                <w:sz w:val="20"/>
              </w:rPr>
              <w:t>301 Calista Court Suite 101</w:t>
            </w:r>
          </w:p>
          <w:p w14:paraId="457CD659" w14:textId="77777777" w:rsidR="00CA03B4" w:rsidRDefault="00000000">
            <w:pPr>
              <w:pStyle w:val="TableParagraph"/>
              <w:spacing w:line="229" w:lineRule="exact"/>
              <w:ind w:left="102"/>
              <w:rPr>
                <w:sz w:val="20"/>
              </w:rPr>
            </w:pPr>
            <w:r>
              <w:rPr>
                <w:sz w:val="20"/>
              </w:rPr>
              <w:t>Anchorage, AK</w:t>
            </w:r>
            <w:r>
              <w:rPr>
                <w:spacing w:val="53"/>
                <w:sz w:val="20"/>
              </w:rPr>
              <w:t xml:space="preserve"> </w:t>
            </w:r>
            <w:r>
              <w:rPr>
                <w:sz w:val="20"/>
              </w:rPr>
              <w:t>99518-3000</w:t>
            </w:r>
          </w:p>
          <w:p w14:paraId="6137F7E9" w14:textId="77777777" w:rsidR="00CA03B4" w:rsidRDefault="00000000">
            <w:pPr>
              <w:pStyle w:val="TableParagraph"/>
              <w:spacing w:before="2" w:line="240" w:lineRule="auto"/>
              <w:ind w:left="102" w:right="1262"/>
              <w:rPr>
                <w:sz w:val="20"/>
              </w:rPr>
            </w:pPr>
            <w:r>
              <w:rPr>
                <w:sz w:val="20"/>
              </w:rPr>
              <w:t xml:space="preserve">Email: </w:t>
            </w:r>
            <w:hyperlink r:id="rId30">
              <w:r>
                <w:rPr>
                  <w:color w:val="0000FF"/>
                  <w:sz w:val="20"/>
                  <w:u w:val="single" w:color="0000FF"/>
                </w:rPr>
                <w:t>JNovak@yukonelectricinc.com</w:t>
              </w:r>
            </w:hyperlink>
            <w:r>
              <w:rPr>
                <w:color w:val="0000FF"/>
                <w:sz w:val="20"/>
              </w:rPr>
              <w:t xml:space="preserve"> </w:t>
            </w:r>
            <w:r>
              <w:rPr>
                <w:sz w:val="20"/>
              </w:rPr>
              <w:t>Website:</w:t>
            </w:r>
          </w:p>
          <w:p w14:paraId="3B2E8ED8" w14:textId="77777777" w:rsidR="00CA03B4" w:rsidRDefault="00000000">
            <w:pPr>
              <w:pStyle w:val="TableParagraph"/>
              <w:spacing w:line="240" w:lineRule="auto"/>
              <w:ind w:left="102"/>
              <w:rPr>
                <w:sz w:val="20"/>
              </w:rPr>
            </w:pPr>
            <w:hyperlink r:id="rId31">
              <w:r>
                <w:rPr>
                  <w:color w:val="0000FF"/>
                  <w:sz w:val="20"/>
                  <w:u w:val="single" w:color="0000FF"/>
                </w:rPr>
                <w:t>Yukon Electric Inc. – Alaska Peninsula Corporation</w:t>
              </w:r>
            </w:hyperlink>
          </w:p>
        </w:tc>
        <w:tc>
          <w:tcPr>
            <w:tcW w:w="3260" w:type="dxa"/>
          </w:tcPr>
          <w:p w14:paraId="042ACF36" w14:textId="77777777" w:rsidR="00CA03B4" w:rsidRDefault="00000000">
            <w:pPr>
              <w:pStyle w:val="TableParagraph"/>
              <w:spacing w:line="242" w:lineRule="auto"/>
              <w:ind w:left="103"/>
              <w:rPr>
                <w:sz w:val="20"/>
              </w:rPr>
            </w:pPr>
            <w:r>
              <w:rPr>
                <w:sz w:val="20"/>
              </w:rPr>
              <w:t>Contact Person: Jeremy Novak Phone: (907)</w:t>
            </w:r>
            <w:r>
              <w:rPr>
                <w:spacing w:val="55"/>
                <w:sz w:val="20"/>
              </w:rPr>
              <w:t xml:space="preserve"> </w:t>
            </w:r>
            <w:r>
              <w:rPr>
                <w:sz w:val="20"/>
              </w:rPr>
              <w:t>569-5125</w:t>
            </w:r>
          </w:p>
          <w:p w14:paraId="795BFCD1" w14:textId="77777777" w:rsidR="00CA03B4" w:rsidRDefault="00000000">
            <w:pPr>
              <w:pStyle w:val="TableParagraph"/>
              <w:spacing w:line="225" w:lineRule="exact"/>
              <w:ind w:left="103"/>
              <w:rPr>
                <w:sz w:val="20"/>
              </w:rPr>
            </w:pPr>
            <w:r>
              <w:rPr>
                <w:sz w:val="20"/>
              </w:rPr>
              <w:t>Emergency: (907) 891-1089</w:t>
            </w:r>
          </w:p>
          <w:p w14:paraId="58FED297" w14:textId="77777777" w:rsidR="00CA03B4" w:rsidRDefault="00000000">
            <w:pPr>
              <w:pStyle w:val="TableParagraph"/>
              <w:spacing w:before="1" w:line="240" w:lineRule="auto"/>
              <w:ind w:left="103"/>
              <w:rPr>
                <w:sz w:val="20"/>
              </w:rPr>
            </w:pPr>
            <w:r>
              <w:rPr>
                <w:sz w:val="20"/>
              </w:rPr>
              <w:t>Fax Number: (907) 274-8694</w:t>
            </w:r>
          </w:p>
        </w:tc>
      </w:tr>
      <w:tr w:rsidR="00CA03B4" w14:paraId="53CC4A05" w14:textId="77777777">
        <w:trPr>
          <w:trHeight w:val="1838"/>
        </w:trPr>
        <w:tc>
          <w:tcPr>
            <w:tcW w:w="2468" w:type="dxa"/>
          </w:tcPr>
          <w:p w14:paraId="69357E7E" w14:textId="77777777" w:rsidR="00CA03B4" w:rsidRDefault="00CA03B4">
            <w:pPr>
              <w:pStyle w:val="TableParagraph"/>
              <w:spacing w:before="3" w:line="240" w:lineRule="auto"/>
              <w:rPr>
                <w:b/>
                <w:sz w:val="25"/>
              </w:rPr>
            </w:pPr>
          </w:p>
          <w:p w14:paraId="444284E9" w14:textId="77777777" w:rsidR="00CA03B4" w:rsidRDefault="00000000">
            <w:pPr>
              <w:pStyle w:val="TableParagraph"/>
              <w:spacing w:line="240" w:lineRule="auto"/>
              <w:ind w:left="107"/>
              <w:rPr>
                <w:sz w:val="20"/>
              </w:rPr>
            </w:pPr>
            <w:r>
              <w:rPr>
                <w:noProof/>
                <w:sz w:val="20"/>
              </w:rPr>
              <w:drawing>
                <wp:inline distT="0" distB="0" distL="0" distR="0" wp14:anchorId="65510125" wp14:editId="6FA5C99F">
                  <wp:extent cx="1430021" cy="495300"/>
                  <wp:effectExtent l="0" t="0" r="0" b="0"/>
                  <wp:docPr id="17" name="image9.jpeg" descr="P347C23T3#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jpeg"/>
                          <pic:cNvPicPr/>
                        </pic:nvPicPr>
                        <pic:blipFill>
                          <a:blip r:embed="rId32" cstate="print"/>
                          <a:stretch>
                            <a:fillRect/>
                          </a:stretch>
                        </pic:blipFill>
                        <pic:spPr>
                          <a:xfrm>
                            <a:off x="0" y="0"/>
                            <a:ext cx="1430021" cy="495300"/>
                          </a:xfrm>
                          <a:prstGeom prst="rect">
                            <a:avLst/>
                          </a:prstGeom>
                        </pic:spPr>
                      </pic:pic>
                    </a:graphicData>
                  </a:graphic>
                </wp:inline>
              </w:drawing>
            </w:r>
          </w:p>
          <w:p w14:paraId="46F1B004" w14:textId="77777777" w:rsidR="00CA03B4" w:rsidRDefault="00000000">
            <w:pPr>
              <w:pStyle w:val="TableParagraph"/>
              <w:spacing w:line="240" w:lineRule="auto"/>
              <w:ind w:left="411"/>
              <w:rPr>
                <w:b/>
                <w:sz w:val="24"/>
              </w:rPr>
            </w:pPr>
            <w:r>
              <w:rPr>
                <w:b/>
                <w:sz w:val="24"/>
              </w:rPr>
              <w:t>180000003 – H</w:t>
            </w:r>
          </w:p>
        </w:tc>
        <w:tc>
          <w:tcPr>
            <w:tcW w:w="4732" w:type="dxa"/>
          </w:tcPr>
          <w:p w14:paraId="40FA6D55" w14:textId="77777777" w:rsidR="00CA03B4" w:rsidRDefault="00000000">
            <w:pPr>
              <w:pStyle w:val="TableParagraph"/>
              <w:spacing w:before="3" w:line="229" w:lineRule="exact"/>
              <w:ind w:left="102"/>
              <w:rPr>
                <w:b/>
                <w:sz w:val="20"/>
              </w:rPr>
            </w:pPr>
            <w:r>
              <w:rPr>
                <w:b/>
                <w:sz w:val="20"/>
              </w:rPr>
              <w:t>Ever Electric</w:t>
            </w:r>
          </w:p>
          <w:p w14:paraId="62413496" w14:textId="77777777" w:rsidR="00CA03B4" w:rsidRDefault="00000000">
            <w:pPr>
              <w:pStyle w:val="TableParagraph"/>
              <w:spacing w:line="242" w:lineRule="auto"/>
              <w:ind w:left="103" w:right="1330"/>
              <w:rPr>
                <w:sz w:val="20"/>
              </w:rPr>
            </w:pPr>
            <w:r>
              <w:rPr>
                <w:sz w:val="20"/>
              </w:rPr>
              <w:t xml:space="preserve">4819 N. </w:t>
            </w:r>
            <w:proofErr w:type="spellStart"/>
            <w:r>
              <w:rPr>
                <w:sz w:val="20"/>
              </w:rPr>
              <w:t>Tongass</w:t>
            </w:r>
            <w:proofErr w:type="spellEnd"/>
            <w:r>
              <w:rPr>
                <w:sz w:val="20"/>
              </w:rPr>
              <w:t xml:space="preserve"> Hwy; PO Box 5626 Ketchikan, AK 99901</w:t>
            </w:r>
          </w:p>
          <w:p w14:paraId="7A8B4F1B" w14:textId="77777777" w:rsidR="00CA03B4" w:rsidRDefault="00000000">
            <w:pPr>
              <w:pStyle w:val="TableParagraph"/>
              <w:spacing w:line="242" w:lineRule="auto"/>
              <w:ind w:left="102" w:right="2587"/>
              <w:rPr>
                <w:sz w:val="20"/>
              </w:rPr>
            </w:pPr>
            <w:r>
              <w:rPr>
                <w:sz w:val="20"/>
              </w:rPr>
              <w:t xml:space="preserve">Email: </w:t>
            </w:r>
            <w:hyperlink r:id="rId33">
              <w:r>
                <w:rPr>
                  <w:color w:val="0000FF"/>
                  <w:sz w:val="20"/>
                  <w:u w:val="single" w:color="0000FF"/>
                </w:rPr>
                <w:t>ever@gci.net</w:t>
              </w:r>
            </w:hyperlink>
            <w:r>
              <w:rPr>
                <w:color w:val="0000FF"/>
                <w:sz w:val="20"/>
              </w:rPr>
              <w:t xml:space="preserve"> </w:t>
            </w:r>
            <w:r>
              <w:rPr>
                <w:sz w:val="20"/>
              </w:rPr>
              <w:t>Website:</w:t>
            </w:r>
          </w:p>
          <w:p w14:paraId="4D66BF3C" w14:textId="77777777" w:rsidR="00CA03B4" w:rsidRDefault="00000000">
            <w:pPr>
              <w:pStyle w:val="TableParagraph"/>
              <w:spacing w:line="242" w:lineRule="auto"/>
              <w:ind w:left="102" w:right="290"/>
              <w:rPr>
                <w:sz w:val="20"/>
              </w:rPr>
            </w:pPr>
            <w:hyperlink r:id="rId34">
              <w:r>
                <w:rPr>
                  <w:color w:val="0000FF"/>
                  <w:sz w:val="20"/>
                  <w:u w:val="single" w:color="0000FF"/>
                </w:rPr>
                <w:t>http://www.buzzfile.com/business/Island-Electric-</w:t>
              </w:r>
            </w:hyperlink>
            <w:r>
              <w:rPr>
                <w:color w:val="0000FF"/>
                <w:sz w:val="20"/>
              </w:rPr>
              <w:t xml:space="preserve"> </w:t>
            </w:r>
            <w:hyperlink r:id="rId35">
              <w:r>
                <w:rPr>
                  <w:color w:val="0000FF"/>
                  <w:sz w:val="20"/>
                  <w:u w:val="single" w:color="0000FF"/>
                </w:rPr>
                <w:t>907-225-580</w:t>
              </w:r>
            </w:hyperlink>
          </w:p>
        </w:tc>
        <w:tc>
          <w:tcPr>
            <w:tcW w:w="3260" w:type="dxa"/>
          </w:tcPr>
          <w:p w14:paraId="79C34785" w14:textId="77777777" w:rsidR="00CA03B4" w:rsidRDefault="00000000">
            <w:pPr>
              <w:pStyle w:val="TableParagraph"/>
              <w:spacing w:before="3" w:line="229" w:lineRule="exact"/>
              <w:ind w:left="103"/>
              <w:rPr>
                <w:sz w:val="20"/>
              </w:rPr>
            </w:pPr>
            <w:r>
              <w:rPr>
                <w:sz w:val="20"/>
              </w:rPr>
              <w:t>Contact Person: Jerry Gabor</w:t>
            </w:r>
          </w:p>
          <w:p w14:paraId="539BBAA4" w14:textId="77777777" w:rsidR="00CA03B4" w:rsidRDefault="00000000">
            <w:pPr>
              <w:pStyle w:val="TableParagraph"/>
              <w:spacing w:line="242" w:lineRule="auto"/>
              <w:ind w:left="103" w:right="566" w:firstLine="1560"/>
              <w:rPr>
                <w:sz w:val="20"/>
              </w:rPr>
            </w:pPr>
            <w:r>
              <w:rPr>
                <w:sz w:val="20"/>
              </w:rPr>
              <w:t>Mae Gabor Phone: (907) 225-5800</w:t>
            </w:r>
          </w:p>
          <w:p w14:paraId="18541333" w14:textId="77777777" w:rsidR="00CA03B4" w:rsidRDefault="00000000">
            <w:pPr>
              <w:pStyle w:val="TableParagraph"/>
              <w:spacing w:line="225" w:lineRule="exact"/>
              <w:ind w:left="102"/>
              <w:rPr>
                <w:sz w:val="20"/>
              </w:rPr>
            </w:pPr>
            <w:r>
              <w:rPr>
                <w:sz w:val="20"/>
              </w:rPr>
              <w:t>Emergency: (907) 891-1093</w:t>
            </w:r>
          </w:p>
          <w:p w14:paraId="6C715B66" w14:textId="77777777" w:rsidR="00CA03B4" w:rsidRDefault="00000000">
            <w:pPr>
              <w:pStyle w:val="TableParagraph"/>
              <w:spacing w:before="1" w:line="240" w:lineRule="auto"/>
              <w:ind w:left="102"/>
              <w:rPr>
                <w:sz w:val="20"/>
              </w:rPr>
            </w:pPr>
            <w:r>
              <w:rPr>
                <w:sz w:val="20"/>
              </w:rPr>
              <w:t>Fax Number: (907) 247-5800</w:t>
            </w:r>
          </w:p>
        </w:tc>
      </w:tr>
    </w:tbl>
    <w:p w14:paraId="5F40864B" w14:textId="77777777" w:rsidR="00CA03B4" w:rsidRDefault="00CA03B4">
      <w:pPr>
        <w:rPr>
          <w:sz w:val="20"/>
        </w:rPr>
        <w:sectPr w:rsidR="00CA03B4">
          <w:pgSz w:w="12240" w:h="15840"/>
          <w:pgMar w:top="1460" w:right="700" w:bottom="520" w:left="860" w:header="0" w:footer="329" w:gutter="0"/>
          <w:cols w:space="720"/>
        </w:sectPr>
      </w:pPr>
    </w:p>
    <w:p w14:paraId="496CDB57" w14:textId="77777777" w:rsidR="00CA03B4" w:rsidRDefault="00000000">
      <w:pPr>
        <w:pStyle w:val="BodyText"/>
        <w:ind w:left="159"/>
        <w:rPr>
          <w:rFonts w:ascii="Arial"/>
          <w:sz w:val="20"/>
        </w:rPr>
      </w:pPr>
      <w:r>
        <w:rPr>
          <w:rFonts w:ascii="Arial"/>
          <w:sz w:val="20"/>
        </w:rPr>
      </w:r>
      <w:r>
        <w:rPr>
          <w:rFonts w:ascii="Arial"/>
          <w:sz w:val="20"/>
        </w:rPr>
        <w:pict w14:anchorId="7215C8B0">
          <v:shapetype id="_x0000_t202" coordsize="21600,21600" o:spt="202" path="m,l,21600r21600,l21600,xe">
            <v:stroke joinstyle="miter"/>
            <v:path gradientshapeok="t" o:connecttype="rect"/>
          </v:shapetype>
          <v:shape id="_x0000_s2050" type="#_x0000_t202" style="width:509.4pt;height:22pt;mso-left-percent:-10001;mso-top-percent:-10001;mso-position-horizontal:absolute;mso-position-horizontal-relative:char;mso-position-vertical:absolute;mso-position-vertical-relative:line;mso-left-percent:-10001;mso-top-percent:-10001" fillcolor="#e4e4e4" strokeweight=".21131mm">
            <v:textbox inset="0,0,0,0">
              <w:txbxContent>
                <w:p w14:paraId="561CC82F" w14:textId="77777777" w:rsidR="00CA03B4" w:rsidRDefault="00000000">
                  <w:pPr>
                    <w:spacing w:before="19"/>
                    <w:ind w:left="2333" w:right="2334"/>
                    <w:jc w:val="center"/>
                    <w:rPr>
                      <w:rFonts w:ascii="Calibri" w:hAnsi="Calibri"/>
                      <w:b/>
                      <w:sz w:val="32"/>
                    </w:rPr>
                  </w:pPr>
                  <w:r>
                    <w:rPr>
                      <w:rFonts w:ascii="Calibri" w:hAnsi="Calibri"/>
                      <w:b/>
                      <w:sz w:val="32"/>
                    </w:rPr>
                    <w:t>Electrical Services – Contract Information</w:t>
                  </w:r>
                </w:p>
              </w:txbxContent>
            </v:textbox>
            <w10:anchorlock/>
          </v:shape>
        </w:pict>
      </w:r>
    </w:p>
    <w:p w14:paraId="70276840" w14:textId="77777777" w:rsidR="00CA03B4" w:rsidRDefault="00CA03B4">
      <w:pPr>
        <w:pStyle w:val="BodyText"/>
        <w:rPr>
          <w:rFonts w:ascii="Arial"/>
          <w:b/>
          <w:sz w:val="17"/>
        </w:rPr>
      </w:pPr>
    </w:p>
    <w:p w14:paraId="32D762AD" w14:textId="77777777" w:rsidR="00CA03B4" w:rsidRDefault="00000000">
      <w:pPr>
        <w:pStyle w:val="Heading1"/>
        <w:tabs>
          <w:tab w:val="left" w:pos="9519"/>
        </w:tabs>
        <w:spacing w:before="52"/>
        <w:rPr>
          <w:u w:val="none"/>
        </w:rPr>
      </w:pPr>
      <w:bookmarkStart w:id="0" w:name="SECTION_I_-_INTENT_OF_CONTRACT"/>
      <w:bookmarkEnd w:id="0"/>
      <w:r>
        <w:t>SECTION I - INTENT OF</w:t>
      </w:r>
      <w:r>
        <w:rPr>
          <w:spacing w:val="-6"/>
        </w:rPr>
        <w:t xml:space="preserve"> </w:t>
      </w:r>
      <w:r>
        <w:t>CONTRACT</w:t>
      </w:r>
      <w:r>
        <w:tab/>
      </w:r>
    </w:p>
    <w:p w14:paraId="0BF15168" w14:textId="77777777" w:rsidR="00CA03B4" w:rsidRDefault="00CA03B4">
      <w:pPr>
        <w:pStyle w:val="BodyText"/>
        <w:spacing w:before="3"/>
        <w:rPr>
          <w:sz w:val="13"/>
        </w:rPr>
      </w:pPr>
    </w:p>
    <w:p w14:paraId="43CCABFE" w14:textId="77777777" w:rsidR="00CA03B4" w:rsidRDefault="00000000">
      <w:pPr>
        <w:pStyle w:val="ListParagraph"/>
        <w:numPr>
          <w:ilvl w:val="0"/>
          <w:numId w:val="11"/>
        </w:numPr>
        <w:tabs>
          <w:tab w:val="left" w:pos="940"/>
        </w:tabs>
        <w:spacing w:before="56" w:line="242" w:lineRule="auto"/>
        <w:ind w:right="379" w:hanging="361"/>
        <w:jc w:val="both"/>
      </w:pPr>
      <w:r>
        <w:t>PURPOSE OF THE CONTRACT: This contract is intended to establish up to three electrical services contracts per defined regions, for state owned and state leased buildings in each of the defined six (6) zones for various electrical repairs and installation services on an as-needed</w:t>
      </w:r>
      <w:r>
        <w:rPr>
          <w:spacing w:val="-18"/>
        </w:rPr>
        <w:t xml:space="preserve"> </w:t>
      </w:r>
      <w:r>
        <w:t>basis.</w:t>
      </w:r>
    </w:p>
    <w:p w14:paraId="1DEF055E" w14:textId="77777777" w:rsidR="00CA03B4" w:rsidRDefault="00CA03B4">
      <w:pPr>
        <w:pStyle w:val="BodyText"/>
        <w:spacing w:before="6"/>
        <w:rPr>
          <w:sz w:val="21"/>
        </w:rPr>
      </w:pPr>
    </w:p>
    <w:p w14:paraId="75ADB5AC" w14:textId="77777777" w:rsidR="00CA03B4" w:rsidRDefault="00000000">
      <w:pPr>
        <w:pStyle w:val="BodyText"/>
        <w:ind w:left="940" w:right="377" w:hanging="1"/>
        <w:jc w:val="both"/>
      </w:pPr>
      <w:r>
        <w:t>Contracts shall be considered non-mandatory for all Executive Branch Agencies. All other State of Alaska governmental entities may purchase from the contract, such as the Alaska Legislative Branch, the Alaska Court System, the University of Alaska, Boards and Commissions, and State of Alaska political subdivisions</w:t>
      </w:r>
    </w:p>
    <w:p w14:paraId="241F6F1D" w14:textId="77777777" w:rsidR="00CA03B4" w:rsidRDefault="00000000">
      <w:pPr>
        <w:pStyle w:val="BodyText"/>
        <w:spacing w:line="267" w:lineRule="exact"/>
        <w:ind w:left="940"/>
        <w:jc w:val="both"/>
      </w:pPr>
      <w:r>
        <w:t xml:space="preserve">– cities, </w:t>
      </w:r>
      <w:proofErr w:type="gramStart"/>
      <w:r>
        <w:t>boroughs</w:t>
      </w:r>
      <w:proofErr w:type="gramEnd"/>
      <w:r>
        <w:t xml:space="preserve"> and school districts.</w:t>
      </w:r>
    </w:p>
    <w:p w14:paraId="64F6671A" w14:textId="77777777" w:rsidR="00CA03B4" w:rsidRDefault="00CA03B4">
      <w:pPr>
        <w:pStyle w:val="BodyText"/>
        <w:rPr>
          <w:sz w:val="18"/>
        </w:rPr>
      </w:pPr>
    </w:p>
    <w:p w14:paraId="5BDE39CB" w14:textId="77777777" w:rsidR="00CA03B4" w:rsidRDefault="00000000">
      <w:pPr>
        <w:pStyle w:val="BodyText"/>
        <w:ind w:left="940"/>
        <w:jc w:val="both"/>
      </w:pPr>
      <w:r>
        <w:t>Please review Section VII – Scope of Work and Specifications, for additional information.</w:t>
      </w:r>
    </w:p>
    <w:p w14:paraId="775C096B" w14:textId="77777777" w:rsidR="00CA03B4" w:rsidRDefault="00CA03B4">
      <w:pPr>
        <w:pStyle w:val="BodyText"/>
        <w:spacing w:before="12"/>
        <w:rPr>
          <w:sz w:val="17"/>
        </w:rPr>
      </w:pPr>
    </w:p>
    <w:p w14:paraId="20E2448F" w14:textId="77777777" w:rsidR="00CA03B4" w:rsidRDefault="00000000">
      <w:pPr>
        <w:pStyle w:val="ListParagraph"/>
        <w:numPr>
          <w:ilvl w:val="0"/>
          <w:numId w:val="11"/>
        </w:numPr>
        <w:tabs>
          <w:tab w:val="left" w:pos="940"/>
        </w:tabs>
        <w:spacing w:line="242" w:lineRule="auto"/>
        <w:ind w:left="939" w:right="374"/>
        <w:jc w:val="both"/>
      </w:pPr>
      <w:r>
        <w:t xml:space="preserve">CONTRACT PERIOD: The initial term for the resulting contract will be from date of contract award, (approximately August 1, 2017) through June 30, 2019, with the option </w:t>
      </w:r>
      <w:r>
        <w:rPr>
          <w:spacing w:val="-3"/>
        </w:rPr>
        <w:t xml:space="preserve">to </w:t>
      </w:r>
      <w:r>
        <w:t xml:space="preserve">renew for two additional, two- year terms at the state’s sole discretion, through </w:t>
      </w:r>
      <w:r>
        <w:rPr>
          <w:shd w:val="clear" w:color="auto" w:fill="FFFF00"/>
        </w:rPr>
        <w:t>June 30,</w:t>
      </w:r>
      <w:r>
        <w:rPr>
          <w:spacing w:val="-22"/>
          <w:shd w:val="clear" w:color="auto" w:fill="FFFF00"/>
        </w:rPr>
        <w:t xml:space="preserve"> </w:t>
      </w:r>
      <w:r>
        <w:rPr>
          <w:shd w:val="clear" w:color="auto" w:fill="FFFF00"/>
        </w:rPr>
        <w:t>2023</w:t>
      </w:r>
      <w:r>
        <w:t>.</w:t>
      </w:r>
    </w:p>
    <w:p w14:paraId="236CF100" w14:textId="77777777" w:rsidR="00CA03B4" w:rsidRDefault="00CA03B4">
      <w:pPr>
        <w:pStyle w:val="BodyText"/>
      </w:pPr>
    </w:p>
    <w:p w14:paraId="256658AE" w14:textId="77777777" w:rsidR="00CA03B4" w:rsidRDefault="00000000">
      <w:pPr>
        <w:pStyle w:val="Heading1"/>
        <w:tabs>
          <w:tab w:val="left" w:pos="9859"/>
        </w:tabs>
        <w:spacing w:before="146"/>
        <w:rPr>
          <w:u w:val="none"/>
        </w:rPr>
      </w:pPr>
      <w:bookmarkStart w:id="1" w:name="SECTION_II_-_CONTRACT_TERMS_&amp;_CONDITIONS"/>
      <w:bookmarkEnd w:id="1"/>
      <w:r>
        <w:t>SECTION II - CONTRACT TERMS &amp;</w:t>
      </w:r>
      <w:r>
        <w:rPr>
          <w:spacing w:val="-11"/>
        </w:rPr>
        <w:t xml:space="preserve"> </w:t>
      </w:r>
      <w:r>
        <w:t>CONDITIONS</w:t>
      </w:r>
      <w:r>
        <w:tab/>
      </w:r>
    </w:p>
    <w:p w14:paraId="6264D038" w14:textId="77777777" w:rsidR="00CA03B4" w:rsidRDefault="00CA03B4">
      <w:pPr>
        <w:pStyle w:val="BodyText"/>
        <w:spacing w:before="4"/>
        <w:rPr>
          <w:sz w:val="15"/>
        </w:rPr>
      </w:pPr>
    </w:p>
    <w:p w14:paraId="5094D959" w14:textId="77777777" w:rsidR="00CA03B4" w:rsidRDefault="00000000">
      <w:pPr>
        <w:pStyle w:val="ListParagraph"/>
        <w:numPr>
          <w:ilvl w:val="0"/>
          <w:numId w:val="10"/>
        </w:numPr>
        <w:tabs>
          <w:tab w:val="left" w:pos="939"/>
          <w:tab w:val="left" w:pos="940"/>
        </w:tabs>
        <w:spacing w:before="55"/>
      </w:pPr>
      <w:r>
        <w:t>AUTHORITY:</w:t>
      </w:r>
      <w:r>
        <w:rPr>
          <w:spacing w:val="-5"/>
        </w:rPr>
        <w:t xml:space="preserve"> </w:t>
      </w:r>
      <w:r>
        <w:t>The</w:t>
      </w:r>
      <w:r>
        <w:rPr>
          <w:spacing w:val="-3"/>
        </w:rPr>
        <w:t xml:space="preserve"> </w:t>
      </w:r>
      <w:r>
        <w:t>contract</w:t>
      </w:r>
      <w:r>
        <w:rPr>
          <w:spacing w:val="-4"/>
        </w:rPr>
        <w:t xml:space="preserve"> </w:t>
      </w:r>
      <w:r>
        <w:t>resulting</w:t>
      </w:r>
      <w:r>
        <w:rPr>
          <w:spacing w:val="-1"/>
        </w:rPr>
        <w:t xml:space="preserve"> </w:t>
      </w:r>
      <w:r>
        <w:t>from</w:t>
      </w:r>
      <w:r>
        <w:rPr>
          <w:spacing w:val="-1"/>
        </w:rPr>
        <w:t xml:space="preserve"> </w:t>
      </w:r>
      <w:r>
        <w:t>the</w:t>
      </w:r>
      <w:r>
        <w:rPr>
          <w:spacing w:val="-3"/>
        </w:rPr>
        <w:t xml:space="preserve"> </w:t>
      </w:r>
      <w:r>
        <w:t>ITB</w:t>
      </w:r>
      <w:r>
        <w:rPr>
          <w:spacing w:val="-4"/>
        </w:rPr>
        <w:t xml:space="preserve"> </w:t>
      </w:r>
      <w:r>
        <w:t>is written</w:t>
      </w:r>
      <w:r>
        <w:rPr>
          <w:spacing w:val="-1"/>
        </w:rPr>
        <w:t xml:space="preserve"> </w:t>
      </w:r>
      <w:r>
        <w:t>in</w:t>
      </w:r>
      <w:r>
        <w:rPr>
          <w:spacing w:val="-2"/>
        </w:rPr>
        <w:t xml:space="preserve"> </w:t>
      </w:r>
      <w:r>
        <w:t>accordance</w:t>
      </w:r>
      <w:r>
        <w:rPr>
          <w:spacing w:val="-3"/>
        </w:rPr>
        <w:t xml:space="preserve"> </w:t>
      </w:r>
      <w:r>
        <w:t>with</w:t>
      </w:r>
      <w:r>
        <w:rPr>
          <w:spacing w:val="-2"/>
        </w:rPr>
        <w:t xml:space="preserve"> </w:t>
      </w:r>
      <w:r>
        <w:t>AS</w:t>
      </w:r>
      <w:r>
        <w:rPr>
          <w:spacing w:val="2"/>
        </w:rPr>
        <w:t xml:space="preserve"> </w:t>
      </w:r>
      <w:r>
        <w:t>36.30</w:t>
      </w:r>
      <w:r>
        <w:rPr>
          <w:spacing w:val="-3"/>
        </w:rPr>
        <w:t xml:space="preserve"> </w:t>
      </w:r>
      <w:r>
        <w:t>and</w:t>
      </w:r>
      <w:r>
        <w:rPr>
          <w:spacing w:val="-1"/>
        </w:rPr>
        <w:t xml:space="preserve"> </w:t>
      </w:r>
      <w:r>
        <w:t>2</w:t>
      </w:r>
      <w:r>
        <w:rPr>
          <w:spacing w:val="-2"/>
        </w:rPr>
        <w:t xml:space="preserve"> </w:t>
      </w:r>
      <w:r>
        <w:t>AAC</w:t>
      </w:r>
      <w:r>
        <w:rPr>
          <w:spacing w:val="-5"/>
        </w:rPr>
        <w:t xml:space="preserve"> </w:t>
      </w:r>
      <w:r>
        <w:t>12.</w:t>
      </w:r>
    </w:p>
    <w:p w14:paraId="7962FF79" w14:textId="77777777" w:rsidR="00CA03B4" w:rsidRDefault="00CA03B4">
      <w:pPr>
        <w:pStyle w:val="BodyText"/>
        <w:spacing w:before="4"/>
        <w:rPr>
          <w:sz w:val="16"/>
        </w:rPr>
      </w:pPr>
    </w:p>
    <w:p w14:paraId="65EFC47C" w14:textId="77777777" w:rsidR="00CA03B4" w:rsidRDefault="00000000">
      <w:pPr>
        <w:pStyle w:val="ListParagraph"/>
        <w:numPr>
          <w:ilvl w:val="0"/>
          <w:numId w:val="10"/>
        </w:numPr>
        <w:tabs>
          <w:tab w:val="left" w:pos="940"/>
        </w:tabs>
        <w:spacing w:before="1"/>
        <w:ind w:right="376" w:hanging="361"/>
        <w:jc w:val="both"/>
      </w:pPr>
      <w:r>
        <w:t>ASSIGNMENT(S): Assignment of rights, duties, or payments under this contract are not permitted unless authorized</w:t>
      </w:r>
      <w:r>
        <w:rPr>
          <w:spacing w:val="-2"/>
        </w:rPr>
        <w:t xml:space="preserve"> </w:t>
      </w:r>
      <w:r>
        <w:t>in</w:t>
      </w:r>
      <w:r>
        <w:rPr>
          <w:spacing w:val="-2"/>
        </w:rPr>
        <w:t xml:space="preserve"> </w:t>
      </w:r>
      <w:r>
        <w:t>writing</w:t>
      </w:r>
      <w:r>
        <w:rPr>
          <w:spacing w:val="-2"/>
        </w:rPr>
        <w:t xml:space="preserve"> </w:t>
      </w:r>
      <w:r>
        <w:t>by</w:t>
      </w:r>
      <w:r>
        <w:rPr>
          <w:spacing w:val="-3"/>
        </w:rPr>
        <w:t xml:space="preserve"> </w:t>
      </w:r>
      <w:r>
        <w:t>the</w:t>
      </w:r>
      <w:r>
        <w:rPr>
          <w:spacing w:val="-4"/>
        </w:rPr>
        <w:t xml:space="preserve"> </w:t>
      </w:r>
      <w:r>
        <w:t>State</w:t>
      </w:r>
      <w:r>
        <w:rPr>
          <w:spacing w:val="-4"/>
        </w:rPr>
        <w:t xml:space="preserve"> </w:t>
      </w:r>
      <w:r>
        <w:rPr>
          <w:spacing w:val="2"/>
        </w:rPr>
        <w:t>of</w:t>
      </w:r>
      <w:r>
        <w:rPr>
          <w:spacing w:val="-4"/>
        </w:rPr>
        <w:t xml:space="preserve"> </w:t>
      </w:r>
      <w:r>
        <w:t>Alaska,</w:t>
      </w:r>
      <w:r>
        <w:rPr>
          <w:spacing w:val="-1"/>
        </w:rPr>
        <w:t xml:space="preserve"> </w:t>
      </w:r>
      <w:r>
        <w:t>Department</w:t>
      </w:r>
      <w:r>
        <w:rPr>
          <w:spacing w:val="-4"/>
        </w:rPr>
        <w:t xml:space="preserve"> </w:t>
      </w:r>
      <w:r>
        <w:t>of</w:t>
      </w:r>
      <w:r>
        <w:rPr>
          <w:spacing w:val="-5"/>
        </w:rPr>
        <w:t xml:space="preserve"> </w:t>
      </w:r>
      <w:r>
        <w:t>Administration,</w:t>
      </w:r>
      <w:r>
        <w:rPr>
          <w:spacing w:val="-4"/>
        </w:rPr>
        <w:t xml:space="preserve"> </w:t>
      </w:r>
      <w:r>
        <w:t>Shared</w:t>
      </w:r>
      <w:r>
        <w:rPr>
          <w:spacing w:val="-1"/>
        </w:rPr>
        <w:t xml:space="preserve"> </w:t>
      </w:r>
      <w:r>
        <w:t>Services of</w:t>
      </w:r>
      <w:r>
        <w:rPr>
          <w:spacing w:val="-4"/>
        </w:rPr>
        <w:t xml:space="preserve"> </w:t>
      </w:r>
      <w:r>
        <w:t>Alaska.</w:t>
      </w:r>
    </w:p>
    <w:p w14:paraId="3A51A8E1" w14:textId="77777777" w:rsidR="00CA03B4" w:rsidRDefault="00CA03B4">
      <w:pPr>
        <w:pStyle w:val="BodyText"/>
        <w:spacing w:before="3"/>
        <w:rPr>
          <w:sz w:val="16"/>
        </w:rPr>
      </w:pPr>
    </w:p>
    <w:p w14:paraId="69C8A5CA" w14:textId="77777777" w:rsidR="00CA03B4" w:rsidRDefault="00000000">
      <w:pPr>
        <w:pStyle w:val="ListParagraph"/>
        <w:numPr>
          <w:ilvl w:val="0"/>
          <w:numId w:val="10"/>
        </w:numPr>
        <w:tabs>
          <w:tab w:val="left" w:pos="940"/>
        </w:tabs>
        <w:spacing w:line="242" w:lineRule="auto"/>
        <w:ind w:left="939" w:right="229"/>
        <w:jc w:val="both"/>
      </w:pPr>
      <w:r>
        <w:t>COMPLIANCE WITH ADA: By signature of their bid, the contractor certifies that they comply with the Americans</w:t>
      </w:r>
      <w:r>
        <w:rPr>
          <w:spacing w:val="-4"/>
        </w:rPr>
        <w:t xml:space="preserve"> </w:t>
      </w:r>
      <w:r>
        <w:t>with</w:t>
      </w:r>
      <w:r>
        <w:rPr>
          <w:spacing w:val="-2"/>
        </w:rPr>
        <w:t xml:space="preserve"> </w:t>
      </w:r>
      <w:r>
        <w:t>Disabilities</w:t>
      </w:r>
      <w:r>
        <w:rPr>
          <w:spacing w:val="-1"/>
        </w:rPr>
        <w:t xml:space="preserve"> </w:t>
      </w:r>
      <w:r>
        <w:t>Act of</w:t>
      </w:r>
      <w:r>
        <w:rPr>
          <w:spacing w:val="-5"/>
        </w:rPr>
        <w:t xml:space="preserve"> </w:t>
      </w:r>
      <w:r>
        <w:t>1990</w:t>
      </w:r>
      <w:r>
        <w:rPr>
          <w:spacing w:val="-3"/>
        </w:rPr>
        <w:t xml:space="preserve"> </w:t>
      </w:r>
      <w:r>
        <w:t>and</w:t>
      </w:r>
      <w:r>
        <w:rPr>
          <w:spacing w:val="-2"/>
        </w:rPr>
        <w:t xml:space="preserve"> </w:t>
      </w:r>
      <w:r>
        <w:t>the</w:t>
      </w:r>
      <w:r>
        <w:rPr>
          <w:spacing w:val="-4"/>
        </w:rPr>
        <w:t xml:space="preserve"> </w:t>
      </w:r>
      <w:r>
        <w:t>regulations</w:t>
      </w:r>
      <w:r>
        <w:rPr>
          <w:spacing w:val="-4"/>
        </w:rPr>
        <w:t xml:space="preserve"> </w:t>
      </w:r>
      <w:r>
        <w:t>issued</w:t>
      </w:r>
      <w:r>
        <w:rPr>
          <w:spacing w:val="-2"/>
        </w:rPr>
        <w:t xml:space="preserve"> </w:t>
      </w:r>
      <w:r>
        <w:t>thereunder</w:t>
      </w:r>
      <w:r>
        <w:rPr>
          <w:spacing w:val="-3"/>
        </w:rPr>
        <w:t xml:space="preserve"> </w:t>
      </w:r>
      <w:r>
        <w:t>by</w:t>
      </w:r>
      <w:r>
        <w:rPr>
          <w:spacing w:val="-4"/>
        </w:rPr>
        <w:t xml:space="preserve"> </w:t>
      </w:r>
      <w:r>
        <w:t>the</w:t>
      </w:r>
      <w:r>
        <w:rPr>
          <w:spacing w:val="-4"/>
        </w:rPr>
        <w:t xml:space="preserve"> </w:t>
      </w:r>
      <w:r>
        <w:t>federal government.</w:t>
      </w:r>
    </w:p>
    <w:p w14:paraId="518D1F5B" w14:textId="77777777" w:rsidR="00CA03B4" w:rsidRDefault="00000000">
      <w:pPr>
        <w:pStyle w:val="BodyText"/>
        <w:spacing w:before="198"/>
        <w:ind w:left="939" w:right="229"/>
        <w:jc w:val="both"/>
      </w:pPr>
      <w:r>
        <w:t xml:space="preserve">Services or activities furnished to the public </w:t>
      </w:r>
      <w:r>
        <w:rPr>
          <w:spacing w:val="2"/>
        </w:rPr>
        <w:t xml:space="preserve">on </w:t>
      </w:r>
      <w:r>
        <w:t>behalf of the state must be fully accessible. This is intended to ensure that agencies are in accordance with 28 CFR Part 35 Section 35.130 and that services, programs or activities furnished to the public through a contract do not subject qualified individuals with a disability to discrimination based on the</w:t>
      </w:r>
      <w:r>
        <w:rPr>
          <w:spacing w:val="-8"/>
        </w:rPr>
        <w:t xml:space="preserve"> </w:t>
      </w:r>
      <w:r>
        <w:t>disability.</w:t>
      </w:r>
    </w:p>
    <w:p w14:paraId="2DF8D242" w14:textId="77777777" w:rsidR="00CA03B4" w:rsidRDefault="00000000">
      <w:pPr>
        <w:pStyle w:val="ListParagraph"/>
        <w:numPr>
          <w:ilvl w:val="0"/>
          <w:numId w:val="10"/>
        </w:numPr>
        <w:tabs>
          <w:tab w:val="left" w:pos="940"/>
        </w:tabs>
        <w:spacing w:before="197" w:line="242" w:lineRule="auto"/>
        <w:ind w:left="939" w:right="375"/>
        <w:jc w:val="both"/>
      </w:pPr>
      <w:r>
        <w:t>CONTRACT COMPLIANCE: In the performance of this contract, the contractor must comply with all applicable federal, state, and borough regulations, codes, and laws; and be liable for all required insurance, licenses, permits and bonds; and pay all applicable federal, state, and borough</w:t>
      </w:r>
      <w:r>
        <w:rPr>
          <w:spacing w:val="-31"/>
        </w:rPr>
        <w:t xml:space="preserve"> </w:t>
      </w:r>
      <w:r>
        <w:t>taxes.</w:t>
      </w:r>
    </w:p>
    <w:p w14:paraId="3DA6EC8B" w14:textId="77777777" w:rsidR="00CA03B4" w:rsidRDefault="00000000">
      <w:pPr>
        <w:pStyle w:val="ListParagraph"/>
        <w:numPr>
          <w:ilvl w:val="0"/>
          <w:numId w:val="10"/>
        </w:numPr>
        <w:tabs>
          <w:tab w:val="left" w:pos="940"/>
        </w:tabs>
        <w:spacing w:before="195"/>
        <w:ind w:left="939" w:right="233"/>
        <w:jc w:val="both"/>
      </w:pPr>
      <w:r>
        <w:t>CONTRACT PERFORMANCE LOCATION: By signature on their bid, the Contractor has certified that all services provided under this contract shall be performed in the United</w:t>
      </w:r>
      <w:r>
        <w:rPr>
          <w:spacing w:val="-22"/>
        </w:rPr>
        <w:t xml:space="preserve"> </w:t>
      </w:r>
      <w:r>
        <w:t>States.</w:t>
      </w:r>
    </w:p>
    <w:p w14:paraId="47CD5DAC" w14:textId="77777777" w:rsidR="00CA03B4" w:rsidRDefault="00CA03B4">
      <w:pPr>
        <w:pStyle w:val="BodyText"/>
        <w:spacing w:before="3"/>
        <w:rPr>
          <w:sz w:val="16"/>
        </w:rPr>
      </w:pPr>
    </w:p>
    <w:p w14:paraId="2C8F6CC6" w14:textId="77777777" w:rsidR="00CA03B4" w:rsidRDefault="00000000">
      <w:pPr>
        <w:pStyle w:val="ListParagraph"/>
        <w:numPr>
          <w:ilvl w:val="0"/>
          <w:numId w:val="10"/>
        </w:numPr>
        <w:tabs>
          <w:tab w:val="left" w:pos="940"/>
        </w:tabs>
        <w:ind w:right="229" w:hanging="361"/>
        <w:jc w:val="both"/>
      </w:pPr>
      <w:r>
        <w:t>DEFAULT: In case of default by the contractor, for any reason whatsoever, the State of Alaska may procure the goods or services from another source and hold the contractor responsible for any resulting excess cost and may seek other remedies under law or</w:t>
      </w:r>
      <w:r>
        <w:rPr>
          <w:spacing w:val="-17"/>
        </w:rPr>
        <w:t xml:space="preserve"> </w:t>
      </w:r>
      <w:r>
        <w:t>equity.</w:t>
      </w:r>
    </w:p>
    <w:p w14:paraId="154CA0E1" w14:textId="77777777" w:rsidR="00CA03B4" w:rsidRDefault="00CA03B4">
      <w:pPr>
        <w:pStyle w:val="BodyText"/>
        <w:spacing w:before="2"/>
      </w:pPr>
    </w:p>
    <w:p w14:paraId="37C48D03" w14:textId="77777777" w:rsidR="00CA03B4" w:rsidRDefault="00000000">
      <w:pPr>
        <w:pStyle w:val="ListParagraph"/>
        <w:numPr>
          <w:ilvl w:val="0"/>
          <w:numId w:val="10"/>
        </w:numPr>
        <w:tabs>
          <w:tab w:val="left" w:pos="940"/>
        </w:tabs>
        <w:ind w:right="229" w:hanging="361"/>
        <w:jc w:val="both"/>
      </w:pPr>
      <w:r>
        <w:t>DISPUTES: If a contractor has a claim arising from a contract that cannot be resolved by mutual agreement with the state, it shall pursue a claim, in accordance with the provisions of AS 36.30.620 –</w:t>
      </w:r>
      <w:r>
        <w:rPr>
          <w:spacing w:val="-34"/>
        </w:rPr>
        <w:t xml:space="preserve"> </w:t>
      </w:r>
      <w:r>
        <w:t>632.</w:t>
      </w:r>
    </w:p>
    <w:p w14:paraId="0A628B8D" w14:textId="77777777" w:rsidR="00CA03B4" w:rsidRDefault="00CA03B4">
      <w:pPr>
        <w:pStyle w:val="BodyText"/>
        <w:spacing w:before="3"/>
        <w:rPr>
          <w:sz w:val="16"/>
        </w:rPr>
      </w:pPr>
    </w:p>
    <w:p w14:paraId="01906370" w14:textId="77777777" w:rsidR="00CA03B4" w:rsidRDefault="00000000">
      <w:pPr>
        <w:pStyle w:val="ListParagraph"/>
        <w:numPr>
          <w:ilvl w:val="0"/>
          <w:numId w:val="10"/>
        </w:numPr>
        <w:tabs>
          <w:tab w:val="left" w:pos="940"/>
        </w:tabs>
        <w:spacing w:before="1"/>
        <w:ind w:left="939" w:right="376"/>
        <w:jc w:val="both"/>
      </w:pPr>
      <w:r>
        <w:t xml:space="preserve">CONFLICT OF INTEREST: An officer or employee of the State </w:t>
      </w:r>
      <w:r>
        <w:rPr>
          <w:spacing w:val="2"/>
        </w:rPr>
        <w:t xml:space="preserve">of </w:t>
      </w:r>
      <w:r>
        <w:t>Alaska may not seek to acquire, be a party to, or possess a financial interest in, this contract if (1) the officer or employee is an employee of the administrative unit that supervises the award of this contract; or (2) the officer or employee has the power to take or withhold official action so as to affect the award or execution of the</w:t>
      </w:r>
      <w:r>
        <w:rPr>
          <w:spacing w:val="-27"/>
        </w:rPr>
        <w:t xml:space="preserve"> </w:t>
      </w:r>
      <w:r>
        <w:t>contract.</w:t>
      </w:r>
    </w:p>
    <w:p w14:paraId="1B43708B" w14:textId="77777777" w:rsidR="00CA03B4" w:rsidRDefault="00000000">
      <w:pPr>
        <w:pStyle w:val="ListParagraph"/>
        <w:numPr>
          <w:ilvl w:val="0"/>
          <w:numId w:val="10"/>
        </w:numPr>
        <w:tabs>
          <w:tab w:val="left" w:pos="940"/>
        </w:tabs>
        <w:spacing w:before="197" w:line="242" w:lineRule="auto"/>
        <w:ind w:left="939" w:right="381"/>
        <w:jc w:val="both"/>
      </w:pPr>
      <w:r>
        <w:t>FORCE MAJEURE (Impossibility to perform): The contractor is not liable for the consequences of any failure</w:t>
      </w:r>
      <w:r>
        <w:rPr>
          <w:spacing w:val="5"/>
        </w:rPr>
        <w:t xml:space="preserve"> </w:t>
      </w:r>
      <w:r>
        <w:t>to</w:t>
      </w:r>
      <w:r>
        <w:rPr>
          <w:spacing w:val="11"/>
        </w:rPr>
        <w:t xml:space="preserve"> </w:t>
      </w:r>
      <w:r>
        <w:t>perform,</w:t>
      </w:r>
      <w:r>
        <w:rPr>
          <w:spacing w:val="4"/>
        </w:rPr>
        <w:t xml:space="preserve"> </w:t>
      </w:r>
      <w:r>
        <w:t>or</w:t>
      </w:r>
      <w:r>
        <w:rPr>
          <w:spacing w:val="6"/>
        </w:rPr>
        <w:t xml:space="preserve"> </w:t>
      </w:r>
      <w:r>
        <w:t>default</w:t>
      </w:r>
      <w:r>
        <w:rPr>
          <w:spacing w:val="6"/>
        </w:rPr>
        <w:t xml:space="preserve"> </w:t>
      </w:r>
      <w:r>
        <w:t>in</w:t>
      </w:r>
      <w:r>
        <w:rPr>
          <w:spacing w:val="7"/>
        </w:rPr>
        <w:t xml:space="preserve"> </w:t>
      </w:r>
      <w:r>
        <w:t>performing,</w:t>
      </w:r>
      <w:r>
        <w:rPr>
          <w:spacing w:val="4"/>
        </w:rPr>
        <w:t xml:space="preserve"> </w:t>
      </w:r>
      <w:r>
        <w:t>any</w:t>
      </w:r>
      <w:r>
        <w:rPr>
          <w:spacing w:val="5"/>
        </w:rPr>
        <w:t xml:space="preserve"> </w:t>
      </w:r>
      <w:r>
        <w:t>of</w:t>
      </w:r>
      <w:r>
        <w:rPr>
          <w:spacing w:val="9"/>
        </w:rPr>
        <w:t xml:space="preserve"> </w:t>
      </w:r>
      <w:r>
        <w:t>its</w:t>
      </w:r>
      <w:r>
        <w:rPr>
          <w:spacing w:val="9"/>
        </w:rPr>
        <w:t xml:space="preserve"> </w:t>
      </w:r>
      <w:r>
        <w:t>obligations</w:t>
      </w:r>
      <w:r>
        <w:rPr>
          <w:spacing w:val="5"/>
        </w:rPr>
        <w:t xml:space="preserve"> </w:t>
      </w:r>
      <w:r>
        <w:t>under</w:t>
      </w:r>
      <w:r>
        <w:rPr>
          <w:spacing w:val="6"/>
        </w:rPr>
        <w:t xml:space="preserve"> </w:t>
      </w:r>
      <w:r>
        <w:t>this</w:t>
      </w:r>
      <w:r>
        <w:rPr>
          <w:spacing w:val="5"/>
        </w:rPr>
        <w:t xml:space="preserve"> </w:t>
      </w:r>
      <w:r>
        <w:t>Agreement,</w:t>
      </w:r>
      <w:r>
        <w:rPr>
          <w:spacing w:val="4"/>
        </w:rPr>
        <w:t xml:space="preserve"> </w:t>
      </w:r>
      <w:r>
        <w:t>if</w:t>
      </w:r>
      <w:r>
        <w:rPr>
          <w:spacing w:val="12"/>
        </w:rPr>
        <w:t xml:space="preserve"> </w:t>
      </w:r>
      <w:r>
        <w:t>that</w:t>
      </w:r>
      <w:r>
        <w:rPr>
          <w:spacing w:val="6"/>
        </w:rPr>
        <w:t xml:space="preserve"> </w:t>
      </w:r>
      <w:r>
        <w:t>failure</w:t>
      </w:r>
      <w:r>
        <w:rPr>
          <w:spacing w:val="5"/>
        </w:rPr>
        <w:t xml:space="preserve"> </w:t>
      </w:r>
      <w:r>
        <w:t>or</w:t>
      </w:r>
    </w:p>
    <w:p w14:paraId="05414876" w14:textId="77777777" w:rsidR="00CA03B4" w:rsidRDefault="00CA03B4">
      <w:pPr>
        <w:spacing w:line="242" w:lineRule="auto"/>
        <w:jc w:val="both"/>
        <w:sectPr w:rsidR="00CA03B4">
          <w:pgSz w:w="12240" w:h="15840"/>
          <w:pgMar w:top="680" w:right="700" w:bottom="520" w:left="860" w:header="0" w:footer="329" w:gutter="0"/>
          <w:cols w:space="720"/>
        </w:sectPr>
      </w:pPr>
    </w:p>
    <w:p w14:paraId="34858C2E" w14:textId="77777777" w:rsidR="00CA03B4" w:rsidRDefault="00000000">
      <w:pPr>
        <w:pStyle w:val="BodyText"/>
        <w:spacing w:before="30"/>
        <w:ind w:left="939" w:right="375"/>
        <w:jc w:val="both"/>
      </w:pPr>
      <w:r>
        <w:lastRenderedPageBreak/>
        <w:t>default is caused by any unforeseeable Force Majeure, beyond the control of, and without the fault or negligence of, the contractor. For the purposes of this Agreement, Force Majeure will mean war (whether declared or not); revolution; invasion; insurrection; riot; civil commotion; sabotage; military or usurped power; lightning; explosion; fire; storm; drought; flood; earthquake; epidemic; quarantine; strikes; acts or restraints of governmental authorities affecting the project or directly or indirectly prohibiting or restricting the furnishing or use of materials or labor required; inability to secure materials, machinery, equipment or labor because of priority, allocation or other regulations of any governmental authorities.</w:t>
      </w:r>
    </w:p>
    <w:p w14:paraId="025F907A" w14:textId="77777777" w:rsidR="00CA03B4" w:rsidRDefault="00000000">
      <w:pPr>
        <w:pStyle w:val="ListParagraph"/>
        <w:numPr>
          <w:ilvl w:val="0"/>
          <w:numId w:val="10"/>
        </w:numPr>
        <w:tabs>
          <w:tab w:val="left" w:pos="940"/>
        </w:tabs>
        <w:spacing w:before="196"/>
        <w:ind w:right="377" w:hanging="361"/>
        <w:jc w:val="both"/>
      </w:pPr>
      <w:r>
        <w:t>FEDERAL DEBARMENT, SUSPENSION, INELIGIBILITY AND VOLUNTARY EXCLUSION: Expenditures from this contract may involve federal funds. The U.S. Department of Labor requires all State agencies that are expending federal funds to have a certification on file by the contractor, that they have not been debarred or suspended from doing business with the federal government. The Certification regarding Debarment, Suspension, Ineligibility and Voluntary Exclusion Lower Tier Covered Transactions must be completed and submitted by the</w:t>
      </w:r>
      <w:r>
        <w:rPr>
          <w:spacing w:val="-10"/>
        </w:rPr>
        <w:t xml:space="preserve"> </w:t>
      </w:r>
      <w:r>
        <w:t>contractor.</w:t>
      </w:r>
    </w:p>
    <w:p w14:paraId="2736464A" w14:textId="77777777" w:rsidR="00CA03B4" w:rsidRDefault="00CA03B4">
      <w:pPr>
        <w:pStyle w:val="BodyText"/>
        <w:spacing w:before="6"/>
        <w:rPr>
          <w:sz w:val="16"/>
        </w:rPr>
      </w:pPr>
    </w:p>
    <w:p w14:paraId="68335C49" w14:textId="77777777" w:rsidR="00CA03B4" w:rsidRDefault="00000000">
      <w:pPr>
        <w:pStyle w:val="BodyText"/>
        <w:spacing w:line="242" w:lineRule="auto"/>
        <w:ind w:left="939" w:right="377"/>
        <w:jc w:val="both"/>
      </w:pPr>
      <w:r>
        <w:t>In addition to this form, the contractor may have additional contractual requirements or certifications that must be satisfied at the time the order is placed or upon delivery. These federal requirements may be proposed by the ordering agencies for incorporation in orders placed under this</w:t>
      </w:r>
      <w:r>
        <w:rPr>
          <w:spacing w:val="-31"/>
        </w:rPr>
        <w:t xml:space="preserve"> </w:t>
      </w:r>
      <w:r>
        <w:t>contract.</w:t>
      </w:r>
    </w:p>
    <w:p w14:paraId="15685C16" w14:textId="77777777" w:rsidR="00CA03B4" w:rsidRDefault="00000000">
      <w:pPr>
        <w:pStyle w:val="BodyText"/>
        <w:spacing w:before="194"/>
        <w:ind w:left="939" w:right="380"/>
        <w:jc w:val="both"/>
      </w:pPr>
      <w:r>
        <w:t>Failure to provide the required certification before submitting a quote or failure to satisfy other federal requirements will not impact the evaluation of quotes received in response to the ITB, however, it may delay award of the contract and/or any orders placed under the contract until certification is submitted to the contracting agency or the federal requirements satisfy the ordering agency.</w:t>
      </w:r>
    </w:p>
    <w:p w14:paraId="5FA18804" w14:textId="77777777" w:rsidR="00CA03B4" w:rsidRDefault="00CA03B4">
      <w:pPr>
        <w:pStyle w:val="BodyText"/>
        <w:spacing w:before="2"/>
        <w:rPr>
          <w:sz w:val="16"/>
        </w:rPr>
      </w:pPr>
    </w:p>
    <w:p w14:paraId="52EBDAFE" w14:textId="77777777" w:rsidR="00CA03B4" w:rsidRDefault="00000000">
      <w:pPr>
        <w:pStyle w:val="ListParagraph"/>
        <w:numPr>
          <w:ilvl w:val="0"/>
          <w:numId w:val="10"/>
        </w:numPr>
        <w:tabs>
          <w:tab w:val="left" w:pos="940"/>
        </w:tabs>
        <w:ind w:right="377" w:hanging="361"/>
        <w:jc w:val="both"/>
      </w:pPr>
      <w:r>
        <w:t>GOVERNING LAW; FORUM SELECTION: The contract is governed by the laws of the State of Alaska. To the extent not otherwise governed by section 12 of these Standard Terms and Conditions, any claim concerning the contract shall be brought only in the Superior Court of the State of Alaska and not elsewhere.</w:t>
      </w:r>
    </w:p>
    <w:p w14:paraId="3D3D1E70" w14:textId="77777777" w:rsidR="00CA03B4" w:rsidRDefault="00CA03B4">
      <w:pPr>
        <w:pStyle w:val="BodyText"/>
        <w:spacing w:before="7"/>
        <w:rPr>
          <w:sz w:val="16"/>
        </w:rPr>
      </w:pPr>
    </w:p>
    <w:p w14:paraId="6CC57232" w14:textId="77777777" w:rsidR="00CA03B4" w:rsidRDefault="00000000">
      <w:pPr>
        <w:pStyle w:val="ListParagraph"/>
        <w:numPr>
          <w:ilvl w:val="0"/>
          <w:numId w:val="10"/>
        </w:numPr>
        <w:tabs>
          <w:tab w:val="left" w:pos="940"/>
        </w:tabs>
        <w:spacing w:line="276" w:lineRule="auto"/>
        <w:ind w:right="229" w:hanging="361"/>
        <w:jc w:val="both"/>
      </w:pPr>
      <w:r>
        <w:t>HUMAN TRAFFICKING: By signature on their bid, the contractor certifies they are not established and headquartered or incorporated and headquartered in a country recognized as Tier 3 in the most recent United States Department of State’s Trafficking in Persons Report. Failure to comply with this requirement will cause the state to cancel the contract. The most recent United States Department of State’s Trafficking in Persons Report can be found at the following website:</w:t>
      </w:r>
      <w:r>
        <w:rPr>
          <w:spacing w:val="28"/>
        </w:rPr>
        <w:t xml:space="preserve"> </w:t>
      </w:r>
      <w:hyperlink r:id="rId36">
        <w:r>
          <w:rPr>
            <w:u w:val="single"/>
          </w:rPr>
          <w:t>http://www.state.gov/g/tip/</w:t>
        </w:r>
        <w:r>
          <w:t>.</w:t>
        </w:r>
      </w:hyperlink>
    </w:p>
    <w:p w14:paraId="6DBADB40" w14:textId="77777777" w:rsidR="00CA03B4" w:rsidRDefault="00CA03B4">
      <w:pPr>
        <w:pStyle w:val="BodyText"/>
        <w:spacing w:before="10"/>
        <w:rPr>
          <w:sz w:val="11"/>
        </w:rPr>
      </w:pPr>
    </w:p>
    <w:p w14:paraId="347A2674" w14:textId="77777777" w:rsidR="00CA03B4" w:rsidRDefault="00000000">
      <w:pPr>
        <w:pStyle w:val="ListParagraph"/>
        <w:numPr>
          <w:ilvl w:val="0"/>
          <w:numId w:val="10"/>
        </w:numPr>
        <w:tabs>
          <w:tab w:val="left" w:pos="940"/>
        </w:tabs>
        <w:spacing w:before="55"/>
        <w:ind w:left="939" w:right="378"/>
        <w:jc w:val="both"/>
      </w:pPr>
      <w:r>
        <w:t xml:space="preserve">SEVERABILITY: If any provision of this contract is declared by a court to be illegal or in conflict with any law, the validity of the remaining terms and provisions shall not be affected; and the rights and obligations of the parties shall be construed </w:t>
      </w:r>
      <w:r>
        <w:rPr>
          <w:spacing w:val="2"/>
        </w:rPr>
        <w:t xml:space="preserve">and </w:t>
      </w:r>
      <w:r>
        <w:t>enforced as if the contract did not contain the particular provision held to be</w:t>
      </w:r>
      <w:r>
        <w:rPr>
          <w:spacing w:val="-7"/>
        </w:rPr>
        <w:t xml:space="preserve"> </w:t>
      </w:r>
      <w:r>
        <w:t>invalid.</w:t>
      </w:r>
    </w:p>
    <w:p w14:paraId="4D2201E3" w14:textId="77777777" w:rsidR="00CA03B4" w:rsidRDefault="00CA03B4">
      <w:pPr>
        <w:pStyle w:val="BodyText"/>
        <w:spacing w:before="3"/>
        <w:rPr>
          <w:sz w:val="16"/>
        </w:rPr>
      </w:pPr>
    </w:p>
    <w:p w14:paraId="2CAF41D3" w14:textId="77777777" w:rsidR="00CA03B4" w:rsidRDefault="00000000">
      <w:pPr>
        <w:pStyle w:val="ListParagraph"/>
        <w:numPr>
          <w:ilvl w:val="0"/>
          <w:numId w:val="10"/>
        </w:numPr>
        <w:tabs>
          <w:tab w:val="left" w:pos="940"/>
        </w:tabs>
        <w:spacing w:line="242" w:lineRule="auto"/>
        <w:ind w:left="939" w:right="234"/>
        <w:jc w:val="both"/>
      </w:pPr>
      <w:r>
        <w:t>SUITABLE MATERIALS, ETC.: Unless otherwise specified, all materials, supplies or equipment offered by a contractor</w:t>
      </w:r>
      <w:r>
        <w:rPr>
          <w:spacing w:val="-3"/>
        </w:rPr>
        <w:t xml:space="preserve"> </w:t>
      </w:r>
      <w:r>
        <w:t>shall</w:t>
      </w:r>
      <w:r>
        <w:rPr>
          <w:spacing w:val="-3"/>
        </w:rPr>
        <w:t xml:space="preserve"> </w:t>
      </w:r>
      <w:r>
        <w:t>be</w:t>
      </w:r>
      <w:r>
        <w:rPr>
          <w:spacing w:val="-3"/>
        </w:rPr>
        <w:t xml:space="preserve"> </w:t>
      </w:r>
      <w:r>
        <w:t>new, unused,</w:t>
      </w:r>
      <w:r>
        <w:rPr>
          <w:spacing w:val="-5"/>
        </w:rPr>
        <w:t xml:space="preserve"> </w:t>
      </w:r>
      <w:r>
        <w:t>and</w:t>
      </w:r>
      <w:r>
        <w:rPr>
          <w:spacing w:val="-1"/>
        </w:rPr>
        <w:t xml:space="preserve"> </w:t>
      </w:r>
      <w:r>
        <w:t>of</w:t>
      </w:r>
      <w:r>
        <w:rPr>
          <w:spacing w:val="-4"/>
        </w:rPr>
        <w:t xml:space="preserve"> </w:t>
      </w:r>
      <w:r>
        <w:t>the</w:t>
      </w:r>
      <w:r>
        <w:rPr>
          <w:spacing w:val="-3"/>
        </w:rPr>
        <w:t xml:space="preserve"> </w:t>
      </w:r>
      <w:r>
        <w:t>latest</w:t>
      </w:r>
      <w:r>
        <w:rPr>
          <w:spacing w:val="-4"/>
        </w:rPr>
        <w:t xml:space="preserve"> </w:t>
      </w:r>
      <w:r>
        <w:t>edition,</w:t>
      </w:r>
      <w:r>
        <w:rPr>
          <w:spacing w:val="-4"/>
        </w:rPr>
        <w:t xml:space="preserve"> </w:t>
      </w:r>
      <w:r>
        <w:t>version,</w:t>
      </w:r>
      <w:r>
        <w:rPr>
          <w:spacing w:val="-4"/>
        </w:rPr>
        <w:t xml:space="preserve"> </w:t>
      </w:r>
      <w:r>
        <w:t>model</w:t>
      </w:r>
      <w:r>
        <w:rPr>
          <w:spacing w:val="-3"/>
        </w:rPr>
        <w:t xml:space="preserve"> </w:t>
      </w:r>
      <w:r>
        <w:t>or</w:t>
      </w:r>
      <w:r>
        <w:rPr>
          <w:spacing w:val="-2"/>
        </w:rPr>
        <w:t xml:space="preserve"> </w:t>
      </w:r>
      <w:r>
        <w:t>crop</w:t>
      </w:r>
      <w:r>
        <w:rPr>
          <w:spacing w:val="-2"/>
        </w:rPr>
        <w:t xml:space="preserve"> </w:t>
      </w:r>
      <w:r>
        <w:t>and</w:t>
      </w:r>
      <w:r>
        <w:rPr>
          <w:spacing w:val="-1"/>
        </w:rPr>
        <w:t xml:space="preserve"> </w:t>
      </w:r>
      <w:r>
        <w:t>manufacture.</w:t>
      </w:r>
    </w:p>
    <w:p w14:paraId="5A7D05C1" w14:textId="77777777" w:rsidR="00CA03B4" w:rsidRDefault="00000000">
      <w:pPr>
        <w:pStyle w:val="ListParagraph"/>
        <w:numPr>
          <w:ilvl w:val="0"/>
          <w:numId w:val="10"/>
        </w:numPr>
        <w:tabs>
          <w:tab w:val="left" w:pos="940"/>
        </w:tabs>
        <w:spacing w:before="197"/>
        <w:ind w:left="939" w:right="228"/>
        <w:jc w:val="both"/>
      </w:pPr>
      <w:r>
        <w:t xml:space="preserve">CONSUMER ELECTRICAL PRODUCT: AS 45.45.910 requires that "...a person may not sell, offer to sell, or otherwise transfer in the course of the person's business a consumer electrical product that is manufactured after August 14, 1990, unless the product is clearly marked as being listed by an approved </w:t>
      </w:r>
      <w:proofErr w:type="gramStart"/>
      <w:r>
        <w:t>third party</w:t>
      </w:r>
      <w:proofErr w:type="gramEnd"/>
      <w:r>
        <w:t xml:space="preserve"> certification program." Electrical consumer products manufactured before August 14, 1990, must either be clearly marked as being third party certified or be marked with a warning label </w:t>
      </w:r>
      <w:proofErr w:type="gramStart"/>
      <w:r>
        <w:t>that  complies</w:t>
      </w:r>
      <w:proofErr w:type="gramEnd"/>
      <w:r>
        <w:t xml:space="preserve"> with AS 45.45.910(e). Even exempted electrical products must be marked with the warning label. By signature on this bid, the contractor certifies that the product offered </w:t>
      </w:r>
      <w:proofErr w:type="gramStart"/>
      <w:r>
        <w:t>is in compliance with</w:t>
      </w:r>
      <w:proofErr w:type="gramEnd"/>
      <w:r>
        <w:t xml:space="preserve"> the law. A list of approved third party certifiers, warning labels and additional information is available from: Department of Labor and Workforce Development, Labor Standards &amp; Safety Division, Mechanical Inspection Section, P.O. Box 107020, Anchorage, Alaska 99510-7020,</w:t>
      </w:r>
      <w:r>
        <w:rPr>
          <w:spacing w:val="-22"/>
        </w:rPr>
        <w:t xml:space="preserve"> </w:t>
      </w:r>
      <w:r>
        <w:t>(907)269-4925.</w:t>
      </w:r>
    </w:p>
    <w:p w14:paraId="0952AF9B" w14:textId="77777777" w:rsidR="00CA03B4" w:rsidRDefault="00CA03B4">
      <w:pPr>
        <w:pStyle w:val="BodyText"/>
        <w:spacing w:before="4"/>
        <w:rPr>
          <w:sz w:val="16"/>
        </w:rPr>
      </w:pPr>
    </w:p>
    <w:p w14:paraId="442795C4" w14:textId="77777777" w:rsidR="00CA03B4" w:rsidRDefault="00000000">
      <w:pPr>
        <w:pStyle w:val="Heading1"/>
        <w:tabs>
          <w:tab w:val="left" w:pos="9647"/>
        </w:tabs>
        <w:spacing w:before="1"/>
        <w:rPr>
          <w:u w:val="none"/>
        </w:rPr>
      </w:pPr>
      <w:bookmarkStart w:id="2" w:name="SECTION_III_-_CONTRACT_INFORMATION______"/>
      <w:bookmarkEnd w:id="2"/>
      <w:r>
        <w:t>SECTION III - CONTRACT</w:t>
      </w:r>
      <w:r>
        <w:rPr>
          <w:spacing w:val="-6"/>
        </w:rPr>
        <w:t xml:space="preserve"> </w:t>
      </w:r>
      <w:r>
        <w:t>INFORMATION</w:t>
      </w:r>
      <w:r>
        <w:tab/>
      </w:r>
    </w:p>
    <w:p w14:paraId="3DA94C7B" w14:textId="77777777" w:rsidR="00CA03B4" w:rsidRDefault="00CA03B4">
      <w:pPr>
        <w:sectPr w:rsidR="00CA03B4">
          <w:pgSz w:w="12240" w:h="15840"/>
          <w:pgMar w:top="420" w:right="700" w:bottom="600" w:left="860" w:header="0" w:footer="329" w:gutter="0"/>
          <w:cols w:space="720"/>
        </w:sectPr>
      </w:pPr>
    </w:p>
    <w:p w14:paraId="22E7E114" w14:textId="77777777" w:rsidR="00CA03B4" w:rsidRDefault="00000000">
      <w:pPr>
        <w:pStyle w:val="ListParagraph"/>
        <w:numPr>
          <w:ilvl w:val="0"/>
          <w:numId w:val="9"/>
        </w:numPr>
        <w:tabs>
          <w:tab w:val="left" w:pos="940"/>
        </w:tabs>
        <w:spacing w:before="30"/>
        <w:ind w:right="374"/>
        <w:jc w:val="both"/>
      </w:pPr>
      <w:r>
        <w:lastRenderedPageBreak/>
        <w:t>CONTRACT FUNDING: Contractors are advised that funds are available for the initial purchase and/or the first term of the contract. Payment and performance obligations for succeeding purchases and/or additional terms of the contract are subject to the availability and appropriation of</w:t>
      </w:r>
      <w:r>
        <w:rPr>
          <w:spacing w:val="-31"/>
        </w:rPr>
        <w:t xml:space="preserve"> </w:t>
      </w:r>
      <w:r>
        <w:t>funds.</w:t>
      </w:r>
    </w:p>
    <w:p w14:paraId="34B2804D" w14:textId="77777777" w:rsidR="00CA03B4" w:rsidRDefault="00CA03B4">
      <w:pPr>
        <w:pStyle w:val="BodyText"/>
        <w:spacing w:before="10"/>
        <w:rPr>
          <w:sz w:val="21"/>
        </w:rPr>
      </w:pPr>
    </w:p>
    <w:p w14:paraId="3EF0E11D" w14:textId="77777777" w:rsidR="00CA03B4" w:rsidRDefault="00000000">
      <w:pPr>
        <w:pStyle w:val="ListParagraph"/>
        <w:numPr>
          <w:ilvl w:val="0"/>
          <w:numId w:val="9"/>
        </w:numPr>
        <w:tabs>
          <w:tab w:val="left" w:pos="940"/>
        </w:tabs>
        <w:ind w:right="374"/>
        <w:jc w:val="both"/>
      </w:pPr>
      <w:r>
        <w:t>CONTRACT CANCELLATION: The state reserves the right to cancel a contract at its convenience upon 30 calendar days written notice to the contractor. The state is liable only for payment in accordance with the payment provisions of this contract for services provided before the effective date of</w:t>
      </w:r>
      <w:r>
        <w:rPr>
          <w:spacing w:val="-32"/>
        </w:rPr>
        <w:t xml:space="preserve"> </w:t>
      </w:r>
      <w:r>
        <w:t>termination.</w:t>
      </w:r>
    </w:p>
    <w:p w14:paraId="39F8F8E4" w14:textId="77777777" w:rsidR="00CA03B4" w:rsidRDefault="00CA03B4">
      <w:pPr>
        <w:pStyle w:val="BodyText"/>
        <w:spacing w:before="3"/>
        <w:rPr>
          <w:sz w:val="16"/>
        </w:rPr>
      </w:pPr>
    </w:p>
    <w:p w14:paraId="1F711720" w14:textId="77777777" w:rsidR="00CA03B4" w:rsidRDefault="00000000">
      <w:pPr>
        <w:pStyle w:val="ListParagraph"/>
        <w:numPr>
          <w:ilvl w:val="0"/>
          <w:numId w:val="9"/>
        </w:numPr>
        <w:tabs>
          <w:tab w:val="left" w:pos="940"/>
        </w:tabs>
        <w:ind w:right="372"/>
        <w:jc w:val="both"/>
      </w:pPr>
      <w:r>
        <w:t xml:space="preserve">CONTINUING OBLIGATION OF CONTRACTOR: Regardless of the terms and conditions of any third-party financing agreement, the contractor agrees that none of its responsibilities under this contract are transferable and that the contractor alone will continue to be solely responsible until the expiration date of the contract. Such responsibilities include, but are not limited to, the provision of equipment, training, warranty service, maintenance, </w:t>
      </w:r>
      <w:proofErr w:type="gramStart"/>
      <w:r>
        <w:t>parts</w:t>
      </w:r>
      <w:proofErr w:type="gramEnd"/>
      <w:r>
        <w:t xml:space="preserve"> and the provision of consumable supplies. By signature on their bid, the contractor acknowledged this requirement and indicates unconditional acceptance of this continuing obligation</w:t>
      </w:r>
      <w:r>
        <w:rPr>
          <w:spacing w:val="-1"/>
        </w:rPr>
        <w:t xml:space="preserve"> </w:t>
      </w:r>
      <w:r>
        <w:t>clause.</w:t>
      </w:r>
    </w:p>
    <w:p w14:paraId="5090E75D" w14:textId="77777777" w:rsidR="00CA03B4" w:rsidRDefault="00CA03B4">
      <w:pPr>
        <w:pStyle w:val="BodyText"/>
        <w:spacing w:before="5"/>
        <w:rPr>
          <w:sz w:val="16"/>
        </w:rPr>
      </w:pPr>
    </w:p>
    <w:p w14:paraId="6208B23A" w14:textId="77777777" w:rsidR="00CA03B4" w:rsidRDefault="00000000">
      <w:pPr>
        <w:pStyle w:val="ListParagraph"/>
        <w:numPr>
          <w:ilvl w:val="0"/>
          <w:numId w:val="9"/>
        </w:numPr>
        <w:tabs>
          <w:tab w:val="left" w:pos="940"/>
        </w:tabs>
        <w:ind w:left="940" w:right="377"/>
        <w:jc w:val="both"/>
      </w:pPr>
      <w:r>
        <w:t>CONTRACT EXTENSION: Unless otherwise provided, the State and the successful contractor agrees: (1) that any holding over of the contract excluding any exercised renewal options, will be considered as a month-to-month extension, and all other terms and conditions shall remain in full force and effect and (2) to provide written notice to the other party of the intent to cancel such month-to-month extension at least 30 days before the desired date of</w:t>
      </w:r>
      <w:r>
        <w:rPr>
          <w:spacing w:val="-15"/>
        </w:rPr>
        <w:t xml:space="preserve"> </w:t>
      </w:r>
      <w:r>
        <w:t>cancellation.</w:t>
      </w:r>
    </w:p>
    <w:p w14:paraId="02AA33F0" w14:textId="77777777" w:rsidR="00CA03B4" w:rsidRDefault="00CA03B4">
      <w:pPr>
        <w:pStyle w:val="BodyText"/>
        <w:spacing w:before="6"/>
        <w:rPr>
          <w:sz w:val="16"/>
        </w:rPr>
      </w:pPr>
    </w:p>
    <w:p w14:paraId="569741FF" w14:textId="77777777" w:rsidR="00CA03B4" w:rsidRDefault="00000000">
      <w:pPr>
        <w:pStyle w:val="ListParagraph"/>
        <w:numPr>
          <w:ilvl w:val="0"/>
          <w:numId w:val="9"/>
        </w:numPr>
        <w:tabs>
          <w:tab w:val="left" w:pos="940"/>
        </w:tabs>
        <w:ind w:left="940" w:right="377" w:hanging="361"/>
        <w:jc w:val="both"/>
      </w:pPr>
      <w:r>
        <w:t>ORDER DOCUMENTS: Except as specifically allowed under this contract, an ordering agency will not sign any contractor contract. The state is not bound by a contractor contract signed by a person who is not specifically authorized to sign for the state under the ITB. The State of Alaska Purchase Order, Contract Award and Delivery Order are the only order documents that may be used to place orders against the contract(s) resulting from the</w:t>
      </w:r>
      <w:r>
        <w:rPr>
          <w:spacing w:val="-5"/>
        </w:rPr>
        <w:t xml:space="preserve"> </w:t>
      </w:r>
      <w:r>
        <w:t>ITB.</w:t>
      </w:r>
    </w:p>
    <w:p w14:paraId="03CBBC3E" w14:textId="77777777" w:rsidR="00CA03B4" w:rsidRDefault="00CA03B4">
      <w:pPr>
        <w:pStyle w:val="BodyText"/>
        <w:spacing w:before="7"/>
        <w:rPr>
          <w:sz w:val="16"/>
        </w:rPr>
      </w:pPr>
    </w:p>
    <w:p w14:paraId="3A015085" w14:textId="77777777" w:rsidR="00CA03B4" w:rsidRDefault="00000000">
      <w:pPr>
        <w:pStyle w:val="Heading1"/>
        <w:tabs>
          <w:tab w:val="left" w:pos="9439"/>
        </w:tabs>
        <w:rPr>
          <w:u w:val="none"/>
        </w:rPr>
      </w:pPr>
      <w:bookmarkStart w:id="3" w:name="SECTION_IV_-__INSURANCE_REQUIREMENTS____"/>
      <w:bookmarkEnd w:id="3"/>
      <w:r>
        <w:t xml:space="preserve">SECTION IV </w:t>
      </w:r>
      <w:proofErr w:type="gramStart"/>
      <w:r>
        <w:t>-  INSURANCE</w:t>
      </w:r>
      <w:proofErr w:type="gramEnd"/>
      <w:r>
        <w:rPr>
          <w:spacing w:val="-11"/>
        </w:rPr>
        <w:t xml:space="preserve"> </w:t>
      </w:r>
      <w:r>
        <w:t>REQUIREMENTS</w:t>
      </w:r>
      <w:r>
        <w:tab/>
      </w:r>
    </w:p>
    <w:p w14:paraId="5F7AC86B" w14:textId="77777777" w:rsidR="00CA03B4" w:rsidRDefault="00CA03B4">
      <w:pPr>
        <w:pStyle w:val="BodyText"/>
        <w:spacing w:before="3"/>
        <w:rPr>
          <w:sz w:val="15"/>
        </w:rPr>
      </w:pPr>
    </w:p>
    <w:p w14:paraId="0467A35E" w14:textId="77777777" w:rsidR="00CA03B4" w:rsidRDefault="00000000">
      <w:pPr>
        <w:pStyle w:val="ListParagraph"/>
        <w:numPr>
          <w:ilvl w:val="0"/>
          <w:numId w:val="8"/>
        </w:numPr>
        <w:tabs>
          <w:tab w:val="left" w:pos="940"/>
        </w:tabs>
        <w:spacing w:before="56"/>
        <w:ind w:right="372"/>
        <w:jc w:val="both"/>
      </w:pPr>
      <w:r>
        <w:t xml:space="preserve">INDEMNIFICATION: The Contractor shall indemnify, hold harmless, and defend the contracting agency from and against any claim of, or liability for error, </w:t>
      </w:r>
      <w:proofErr w:type="gramStart"/>
      <w:r>
        <w:t>omission</w:t>
      </w:r>
      <w:proofErr w:type="gramEnd"/>
      <w:r>
        <w:t xml:space="preserve"> or negligent act of the Contractor under this agreement. The Contractor shall not be required to indemnify the contracting agency for a claim of, or liability for, the independent negligence of the contracting</w:t>
      </w:r>
      <w:r>
        <w:rPr>
          <w:spacing w:val="-22"/>
        </w:rPr>
        <w:t xml:space="preserve"> </w:t>
      </w:r>
      <w:r>
        <w:t>agency.</w:t>
      </w:r>
    </w:p>
    <w:p w14:paraId="16F2EF3E" w14:textId="77777777" w:rsidR="00CA03B4" w:rsidRDefault="00CA03B4">
      <w:pPr>
        <w:pStyle w:val="BodyText"/>
        <w:spacing w:before="2"/>
        <w:rPr>
          <w:sz w:val="18"/>
        </w:rPr>
      </w:pPr>
    </w:p>
    <w:p w14:paraId="00D0E9CE" w14:textId="77777777" w:rsidR="00CA03B4" w:rsidRDefault="00000000">
      <w:pPr>
        <w:pStyle w:val="BodyText"/>
        <w:ind w:left="939" w:right="373"/>
        <w:jc w:val="both"/>
      </w:pPr>
      <w:r>
        <w:t xml:space="preserve">If there is a claim of, or liability for, the joint negligent error or omission of the Contractor and the independent negligence of the Contracting agency, the indemnification and hold harmless obligation shall be apportioned on a comparative fault basis. “Contractor” and “Contracting agency”, as used within this and the following article, include the employees, </w:t>
      </w:r>
      <w:proofErr w:type="gramStart"/>
      <w:r>
        <w:t>agents</w:t>
      </w:r>
      <w:proofErr w:type="gramEnd"/>
      <w:r>
        <w:t xml:space="preserve"> and other Contractors directly responsible, respectively, to each.</w:t>
      </w:r>
    </w:p>
    <w:p w14:paraId="69A633DD" w14:textId="77777777" w:rsidR="00CA03B4" w:rsidRDefault="00CA03B4">
      <w:pPr>
        <w:pStyle w:val="BodyText"/>
        <w:spacing w:before="9"/>
        <w:rPr>
          <w:sz w:val="17"/>
        </w:rPr>
      </w:pPr>
    </w:p>
    <w:p w14:paraId="28208FB0" w14:textId="77777777" w:rsidR="00CA03B4" w:rsidRDefault="00000000">
      <w:pPr>
        <w:pStyle w:val="BodyText"/>
        <w:spacing w:before="1"/>
        <w:ind w:left="940" w:right="377"/>
        <w:jc w:val="both"/>
      </w:pPr>
      <w:r>
        <w:t>The term “</w:t>
      </w:r>
      <w:r>
        <w:rPr>
          <w:i/>
        </w:rPr>
        <w:t>independent negligence</w:t>
      </w:r>
      <w:r>
        <w:t>” is defined as negligence other than in the Contracting agency’s selection, administration, monitoring, or controlling of the Contractor and approving or accepting the Contractor’s work.</w:t>
      </w:r>
    </w:p>
    <w:p w14:paraId="04350F2F" w14:textId="77777777" w:rsidR="00CA03B4" w:rsidRDefault="00CA03B4">
      <w:pPr>
        <w:pStyle w:val="BodyText"/>
        <w:spacing w:before="1"/>
      </w:pPr>
    </w:p>
    <w:p w14:paraId="0294330D" w14:textId="77777777" w:rsidR="00CA03B4" w:rsidRDefault="00000000">
      <w:pPr>
        <w:pStyle w:val="ListParagraph"/>
        <w:numPr>
          <w:ilvl w:val="0"/>
          <w:numId w:val="8"/>
        </w:numPr>
        <w:tabs>
          <w:tab w:val="left" w:pos="940"/>
        </w:tabs>
        <w:ind w:left="940" w:right="377" w:hanging="361"/>
        <w:jc w:val="both"/>
      </w:pPr>
      <w:r>
        <w:t xml:space="preserve">INSURANCE: Without limiting Contractor's indemnification, it is agreed that Contractor shall purchase at its own expense and </w:t>
      </w:r>
      <w:proofErr w:type="gramStart"/>
      <w:r>
        <w:t>maintain in force at all times</w:t>
      </w:r>
      <w:proofErr w:type="gramEnd"/>
      <w:r>
        <w:t xml:space="preserve"> during the performance of services under this agreement the following policies of insurance. Where specific limits are shown, it is understood that they shall be the minimum acceptable</w:t>
      </w:r>
      <w:r>
        <w:rPr>
          <w:spacing w:val="-13"/>
        </w:rPr>
        <w:t xml:space="preserve"> </w:t>
      </w:r>
      <w:r>
        <w:t>limits.</w:t>
      </w:r>
    </w:p>
    <w:p w14:paraId="0A773D50" w14:textId="77777777" w:rsidR="00CA03B4" w:rsidRDefault="00CA03B4">
      <w:pPr>
        <w:pStyle w:val="BodyText"/>
        <w:spacing w:before="10"/>
        <w:rPr>
          <w:sz w:val="17"/>
        </w:rPr>
      </w:pPr>
    </w:p>
    <w:p w14:paraId="1B77D366" w14:textId="77777777" w:rsidR="00CA03B4" w:rsidRDefault="00000000">
      <w:pPr>
        <w:pStyle w:val="BodyText"/>
        <w:spacing w:before="1"/>
        <w:ind w:left="939" w:right="377"/>
        <w:jc w:val="both"/>
      </w:pPr>
      <w:r>
        <w:t>If the Contractor's policy contains higher limits, the State shall be entitled to coverage to the extent of such higher limits. Certificates of Insurance must be furnished to the Procurement Officer prior to beginning work and must provide for a 30-day prior notice of cancellation, non-renewal or material change of conditions.</w:t>
      </w:r>
    </w:p>
    <w:p w14:paraId="5EF5B667" w14:textId="77777777" w:rsidR="00CA03B4" w:rsidRDefault="00CA03B4">
      <w:pPr>
        <w:jc w:val="both"/>
        <w:sectPr w:rsidR="00CA03B4">
          <w:pgSz w:w="12240" w:h="15840"/>
          <w:pgMar w:top="420" w:right="700" w:bottom="600" w:left="860" w:header="0" w:footer="329" w:gutter="0"/>
          <w:cols w:space="720"/>
        </w:sectPr>
      </w:pPr>
    </w:p>
    <w:p w14:paraId="13636D84" w14:textId="77777777" w:rsidR="00CA03B4" w:rsidRDefault="00000000">
      <w:pPr>
        <w:pStyle w:val="BodyText"/>
        <w:spacing w:before="30"/>
        <w:ind w:left="940" w:right="379"/>
        <w:jc w:val="both"/>
      </w:pPr>
      <w:r>
        <w:lastRenderedPageBreak/>
        <w:t xml:space="preserve">Failure to furnish satisfactory evidence of updated insurance or lapse of the policy is a material breach of this contract and shall be grounds for termination of the Contractor's services. All insurance policies shall comply </w:t>
      </w:r>
      <w:proofErr w:type="gramStart"/>
      <w:r>
        <w:t>with, and</w:t>
      </w:r>
      <w:proofErr w:type="gramEnd"/>
      <w:r>
        <w:t xml:space="preserve"> be issued by insurers licensed to transact the business of insurance under AS 21.</w:t>
      </w:r>
    </w:p>
    <w:p w14:paraId="686D25E3" w14:textId="77777777" w:rsidR="00CA03B4" w:rsidRDefault="00CA03B4">
      <w:pPr>
        <w:pStyle w:val="BodyText"/>
        <w:spacing w:before="10"/>
        <w:rPr>
          <w:sz w:val="21"/>
        </w:rPr>
      </w:pPr>
    </w:p>
    <w:p w14:paraId="3E535380" w14:textId="77777777" w:rsidR="00CA03B4" w:rsidRDefault="00000000">
      <w:pPr>
        <w:pStyle w:val="ListParagraph"/>
        <w:numPr>
          <w:ilvl w:val="0"/>
          <w:numId w:val="8"/>
        </w:numPr>
        <w:tabs>
          <w:tab w:val="left" w:pos="940"/>
        </w:tabs>
        <w:ind w:left="940" w:right="383" w:hanging="361"/>
        <w:jc w:val="both"/>
      </w:pPr>
      <w:r>
        <w:t xml:space="preserve">INSURANCE TYPES: Proof of the following insurance documents is </w:t>
      </w:r>
      <w:r>
        <w:rPr>
          <w:i/>
        </w:rPr>
        <w:t xml:space="preserve">required </w:t>
      </w:r>
      <w:r>
        <w:t>by each contractor prior to Contract Award and during the life of the</w:t>
      </w:r>
      <w:r>
        <w:rPr>
          <w:spacing w:val="-16"/>
        </w:rPr>
        <w:t xml:space="preserve"> </w:t>
      </w:r>
      <w:r>
        <w:t>contract.</w:t>
      </w:r>
    </w:p>
    <w:p w14:paraId="1DB72DC5" w14:textId="77777777" w:rsidR="00CA03B4" w:rsidRDefault="00000000">
      <w:pPr>
        <w:pStyle w:val="ListParagraph"/>
        <w:numPr>
          <w:ilvl w:val="1"/>
          <w:numId w:val="8"/>
        </w:numPr>
        <w:tabs>
          <w:tab w:val="left" w:pos="1661"/>
        </w:tabs>
        <w:spacing w:before="195"/>
        <w:ind w:right="376" w:hanging="360"/>
      </w:pPr>
      <w:r>
        <w:rPr>
          <w:u w:val="single"/>
        </w:rPr>
        <w:t>Workers' Compensation Insurance</w:t>
      </w:r>
      <w:r>
        <w:t xml:space="preserve">: The contractor shall provide and maintain, for all employees engaged in work under this contract, coverage as required by AS 23.30.045, </w:t>
      </w:r>
      <w:proofErr w:type="gramStart"/>
      <w:r>
        <w:t>and;</w:t>
      </w:r>
      <w:proofErr w:type="gramEnd"/>
      <w:r>
        <w:t xml:space="preserve"> where applicable, any other statutory obligations including but not limited to Federal U.S.L. &amp; H. and Jones Act requirements. The policy must waive subrogation against the</w:t>
      </w:r>
      <w:r>
        <w:rPr>
          <w:spacing w:val="-27"/>
        </w:rPr>
        <w:t xml:space="preserve"> </w:t>
      </w:r>
      <w:r>
        <w:t>state.</w:t>
      </w:r>
    </w:p>
    <w:p w14:paraId="176390FF" w14:textId="77777777" w:rsidR="00CA03B4" w:rsidRDefault="00CA03B4">
      <w:pPr>
        <w:pStyle w:val="BodyText"/>
        <w:spacing w:before="2"/>
      </w:pPr>
    </w:p>
    <w:p w14:paraId="61BE437A" w14:textId="77777777" w:rsidR="00CA03B4" w:rsidRDefault="00000000">
      <w:pPr>
        <w:pStyle w:val="ListParagraph"/>
        <w:numPr>
          <w:ilvl w:val="1"/>
          <w:numId w:val="8"/>
        </w:numPr>
        <w:tabs>
          <w:tab w:val="left" w:pos="1661"/>
        </w:tabs>
        <w:ind w:left="1660" w:right="377" w:hanging="360"/>
      </w:pPr>
      <w:r>
        <w:rPr>
          <w:u w:val="single"/>
        </w:rPr>
        <w:t>Commercial General Liability Insurance</w:t>
      </w:r>
      <w:r>
        <w:t>: covering all business premises and operations used by the contractor in the performance of services under this agreement with minimum coverage limits of $300,000 combined single limit per</w:t>
      </w:r>
      <w:r>
        <w:rPr>
          <w:spacing w:val="-16"/>
        </w:rPr>
        <w:t xml:space="preserve"> </w:t>
      </w:r>
      <w:r>
        <w:t>occurrence.</w:t>
      </w:r>
    </w:p>
    <w:p w14:paraId="5B2F8C0A" w14:textId="77777777" w:rsidR="00CA03B4" w:rsidRDefault="00CA03B4">
      <w:pPr>
        <w:pStyle w:val="BodyText"/>
        <w:spacing w:before="10"/>
        <w:rPr>
          <w:sz w:val="21"/>
        </w:rPr>
      </w:pPr>
    </w:p>
    <w:p w14:paraId="4A1C4AFA" w14:textId="77777777" w:rsidR="00CA03B4" w:rsidRDefault="00000000">
      <w:pPr>
        <w:pStyle w:val="ListParagraph"/>
        <w:numPr>
          <w:ilvl w:val="1"/>
          <w:numId w:val="8"/>
        </w:numPr>
        <w:tabs>
          <w:tab w:val="left" w:pos="1661"/>
        </w:tabs>
        <w:ind w:left="1660" w:right="376" w:hanging="360"/>
      </w:pPr>
      <w:r>
        <w:rPr>
          <w:u w:val="single"/>
        </w:rPr>
        <w:t>Commercial Automobile Liability Insurance</w:t>
      </w:r>
      <w:r>
        <w:t>: covering all vehicles used by the contractor in the performance of services under this agreement with minimum coverage limits of $300,000 combined single limit per</w:t>
      </w:r>
      <w:r>
        <w:rPr>
          <w:spacing w:val="-10"/>
        </w:rPr>
        <w:t xml:space="preserve"> </w:t>
      </w:r>
      <w:r>
        <w:t>occurrence.</w:t>
      </w:r>
    </w:p>
    <w:p w14:paraId="3A752F83" w14:textId="77777777" w:rsidR="00CA03B4" w:rsidRDefault="00CA03B4">
      <w:pPr>
        <w:pStyle w:val="BodyText"/>
        <w:spacing w:before="2"/>
      </w:pPr>
    </w:p>
    <w:p w14:paraId="3CAC9480" w14:textId="77777777" w:rsidR="00CA03B4" w:rsidRDefault="00000000">
      <w:pPr>
        <w:pStyle w:val="ListParagraph"/>
        <w:numPr>
          <w:ilvl w:val="0"/>
          <w:numId w:val="8"/>
        </w:numPr>
        <w:tabs>
          <w:tab w:val="left" w:pos="940"/>
        </w:tabs>
        <w:ind w:left="940" w:right="376"/>
        <w:jc w:val="both"/>
      </w:pPr>
      <w:r>
        <w:t xml:space="preserve">INSURANCE UPDATES: It is the responsibility of the Contractor to maintain updated insurance documents with the </w:t>
      </w:r>
      <w:proofErr w:type="spellStart"/>
      <w:r>
        <w:t>SSoA</w:t>
      </w:r>
      <w:proofErr w:type="spellEnd"/>
      <w:r>
        <w:t xml:space="preserve"> contract administrator. </w:t>
      </w:r>
      <w:proofErr w:type="gramStart"/>
      <w:r>
        <w:t>During the course of</w:t>
      </w:r>
      <w:proofErr w:type="gramEnd"/>
      <w:r>
        <w:t xml:space="preserve"> the contract, failure to provide evidence of updated, proof of </w:t>
      </w:r>
      <w:r>
        <w:rPr>
          <w:u w:val="single"/>
        </w:rPr>
        <w:t>all</w:t>
      </w:r>
      <w:r>
        <w:t xml:space="preserve"> insurance within 30 days of an insurance expiration or insurance update is a breach of</w:t>
      </w:r>
      <w:r>
        <w:rPr>
          <w:spacing w:val="-4"/>
        </w:rPr>
        <w:t xml:space="preserve"> </w:t>
      </w:r>
      <w:r>
        <w:rPr>
          <w:spacing w:val="-3"/>
        </w:rPr>
        <w:t>contract</w:t>
      </w:r>
      <w:r>
        <w:rPr>
          <w:spacing w:val="-7"/>
        </w:rPr>
        <w:t xml:space="preserve"> </w:t>
      </w:r>
      <w:r>
        <w:t>and</w:t>
      </w:r>
      <w:r>
        <w:rPr>
          <w:spacing w:val="-9"/>
        </w:rPr>
        <w:t xml:space="preserve"> </w:t>
      </w:r>
      <w:r>
        <w:t>may</w:t>
      </w:r>
      <w:r>
        <w:rPr>
          <w:spacing w:val="-7"/>
        </w:rPr>
        <w:t xml:space="preserve"> </w:t>
      </w:r>
      <w:r>
        <w:t>result</w:t>
      </w:r>
      <w:r>
        <w:rPr>
          <w:spacing w:val="-7"/>
        </w:rPr>
        <w:t xml:space="preserve"> </w:t>
      </w:r>
      <w:r>
        <w:rPr>
          <w:spacing w:val="-3"/>
        </w:rPr>
        <w:t>in</w:t>
      </w:r>
      <w:r>
        <w:t xml:space="preserve"> </w:t>
      </w:r>
      <w:r>
        <w:rPr>
          <w:spacing w:val="-3"/>
        </w:rPr>
        <w:t>suspension</w:t>
      </w:r>
      <w:r>
        <w:rPr>
          <w:spacing w:val="-1"/>
        </w:rPr>
        <w:t xml:space="preserve"> </w:t>
      </w:r>
      <w:r>
        <w:t>or</w:t>
      </w:r>
      <w:r>
        <w:rPr>
          <w:spacing w:val="-2"/>
        </w:rPr>
        <w:t xml:space="preserve"> </w:t>
      </w:r>
      <w:r>
        <w:rPr>
          <w:spacing w:val="-3"/>
        </w:rPr>
        <w:t>termination</w:t>
      </w:r>
      <w:r>
        <w:rPr>
          <w:spacing w:val="-5"/>
        </w:rPr>
        <w:t xml:space="preserve"> </w:t>
      </w:r>
      <w:r>
        <w:t>of</w:t>
      </w:r>
      <w:r>
        <w:rPr>
          <w:spacing w:val="-8"/>
        </w:rPr>
        <w:t xml:space="preserve"> </w:t>
      </w:r>
      <w:r>
        <w:t>the</w:t>
      </w:r>
      <w:r>
        <w:rPr>
          <w:spacing w:val="-3"/>
        </w:rPr>
        <w:t xml:space="preserve"> contract</w:t>
      </w:r>
      <w:r>
        <w:rPr>
          <w:spacing w:val="-6"/>
        </w:rPr>
        <w:t xml:space="preserve"> </w:t>
      </w:r>
      <w:r>
        <w:t>if</w:t>
      </w:r>
      <w:r>
        <w:rPr>
          <w:spacing w:val="-4"/>
        </w:rPr>
        <w:t xml:space="preserve"> </w:t>
      </w:r>
      <w:r>
        <w:t>not</w:t>
      </w:r>
      <w:r>
        <w:rPr>
          <w:spacing w:val="-3"/>
        </w:rPr>
        <w:t xml:space="preserve"> </w:t>
      </w:r>
      <w:r>
        <w:t>resolved.</w:t>
      </w:r>
    </w:p>
    <w:p w14:paraId="43C9B928" w14:textId="77777777" w:rsidR="00CA03B4" w:rsidRDefault="00CA03B4">
      <w:pPr>
        <w:pStyle w:val="BodyText"/>
        <w:spacing w:before="2"/>
        <w:rPr>
          <w:sz w:val="16"/>
        </w:rPr>
      </w:pPr>
    </w:p>
    <w:p w14:paraId="2CD11863" w14:textId="77777777" w:rsidR="00CA03B4" w:rsidRDefault="00000000">
      <w:pPr>
        <w:pStyle w:val="BodyText"/>
        <w:ind w:left="1659" w:right="3980" w:hanging="720"/>
      </w:pPr>
      <w:r>
        <w:t>Contractors should list the State of Alaska as a Certificate Holder: State of Alaska</w:t>
      </w:r>
    </w:p>
    <w:p w14:paraId="6CA1542C" w14:textId="77777777" w:rsidR="00CA03B4" w:rsidRDefault="00000000">
      <w:pPr>
        <w:pStyle w:val="BodyText"/>
        <w:spacing w:before="3"/>
        <w:ind w:left="1659" w:right="6157"/>
      </w:pPr>
      <w:r>
        <w:t>Department of Administration Shared Services of Alaska (</w:t>
      </w:r>
      <w:proofErr w:type="spellStart"/>
      <w:r>
        <w:t>SSoA</w:t>
      </w:r>
      <w:proofErr w:type="spellEnd"/>
      <w:r>
        <w:t>) PO Box 110210</w:t>
      </w:r>
    </w:p>
    <w:p w14:paraId="0426FD65" w14:textId="77777777" w:rsidR="00CA03B4" w:rsidRDefault="00000000">
      <w:pPr>
        <w:pStyle w:val="BodyText"/>
        <w:spacing w:line="267" w:lineRule="exact"/>
        <w:ind w:left="1659"/>
      </w:pPr>
      <w:r>
        <w:t>Juneau, Alaska 99811</w:t>
      </w:r>
    </w:p>
    <w:p w14:paraId="66D3C443" w14:textId="77777777" w:rsidR="00CA03B4" w:rsidRDefault="00CA03B4">
      <w:pPr>
        <w:pStyle w:val="BodyText"/>
        <w:spacing w:before="1"/>
        <w:rPr>
          <w:sz w:val="20"/>
        </w:rPr>
      </w:pPr>
    </w:p>
    <w:p w14:paraId="651D1D7F" w14:textId="77777777" w:rsidR="00CA03B4" w:rsidRDefault="00000000">
      <w:pPr>
        <w:pStyle w:val="Heading1"/>
        <w:tabs>
          <w:tab w:val="left" w:pos="9591"/>
        </w:tabs>
        <w:rPr>
          <w:u w:val="none"/>
        </w:rPr>
      </w:pPr>
      <w:bookmarkStart w:id="4" w:name="SECTION_V_-_SCOPE_OF_WORK_AND_SPECIFICAT"/>
      <w:bookmarkEnd w:id="4"/>
      <w:r>
        <w:t>SECTION V - SCOPE OF WORK AND</w:t>
      </w:r>
      <w:r>
        <w:rPr>
          <w:spacing w:val="-18"/>
        </w:rPr>
        <w:t xml:space="preserve"> </w:t>
      </w:r>
      <w:r>
        <w:t>SPECIFICATIONS</w:t>
      </w:r>
      <w:r>
        <w:tab/>
      </w:r>
    </w:p>
    <w:p w14:paraId="29018534" w14:textId="77777777" w:rsidR="00CA03B4" w:rsidRDefault="00CA03B4">
      <w:pPr>
        <w:pStyle w:val="BodyText"/>
        <w:spacing w:before="3"/>
        <w:rPr>
          <w:sz w:val="15"/>
        </w:rPr>
      </w:pPr>
    </w:p>
    <w:p w14:paraId="3A5FDD3B" w14:textId="77777777" w:rsidR="00CA03B4" w:rsidRDefault="00000000">
      <w:pPr>
        <w:pStyle w:val="ListParagraph"/>
        <w:numPr>
          <w:ilvl w:val="0"/>
          <w:numId w:val="7"/>
        </w:numPr>
        <w:tabs>
          <w:tab w:val="left" w:pos="939"/>
          <w:tab w:val="left" w:pos="940"/>
        </w:tabs>
        <w:spacing w:before="56"/>
      </w:pPr>
      <w:r>
        <w:t>DESCRIPTION OF WORK: This work may include, but is not limited</w:t>
      </w:r>
      <w:r>
        <w:rPr>
          <w:spacing w:val="-28"/>
        </w:rPr>
        <w:t xml:space="preserve"> </w:t>
      </w:r>
      <w:r>
        <w:t>to:</w:t>
      </w:r>
    </w:p>
    <w:p w14:paraId="0AB6E2E6" w14:textId="77777777" w:rsidR="00CA03B4" w:rsidRDefault="00CA03B4">
      <w:pPr>
        <w:pStyle w:val="BodyText"/>
        <w:spacing w:before="4"/>
        <w:rPr>
          <w:sz w:val="18"/>
        </w:rPr>
      </w:pPr>
    </w:p>
    <w:p w14:paraId="252B4974" w14:textId="77777777" w:rsidR="00CA03B4" w:rsidRDefault="00000000">
      <w:pPr>
        <w:pStyle w:val="ListParagraph"/>
        <w:numPr>
          <w:ilvl w:val="1"/>
          <w:numId w:val="7"/>
        </w:numPr>
        <w:tabs>
          <w:tab w:val="left" w:pos="1661"/>
        </w:tabs>
        <w:ind w:right="376" w:hanging="360"/>
      </w:pPr>
      <w:r>
        <w:t>Installing and/or relocating new or existing electrical services, including fire alarm systems, rewiring/upgrading electrical panels, installing meter bases, replacing breakers, rewiring buildings, facilities, installing/relocating service outlets and light fixtures, installing new equipment services, emergency power panels and disconnects, surveillance cameras, DDC system, automated key card, lighting systems, electrified</w:t>
      </w:r>
      <w:r>
        <w:rPr>
          <w:spacing w:val="-9"/>
        </w:rPr>
        <w:t xml:space="preserve"> </w:t>
      </w:r>
      <w:proofErr w:type="gramStart"/>
      <w:r>
        <w:t>signage;</w:t>
      </w:r>
      <w:proofErr w:type="gramEnd"/>
    </w:p>
    <w:p w14:paraId="08ADADF4" w14:textId="77777777" w:rsidR="00CA03B4" w:rsidRDefault="00000000">
      <w:pPr>
        <w:pStyle w:val="ListParagraph"/>
        <w:numPr>
          <w:ilvl w:val="1"/>
          <w:numId w:val="7"/>
        </w:numPr>
        <w:tabs>
          <w:tab w:val="left" w:pos="1661"/>
        </w:tabs>
        <w:ind w:left="1660" w:right="376"/>
      </w:pPr>
      <w:r>
        <w:t>Trouble shooting electrical circuits, instrumentation and control circuits and development of repair means and methods for a wide variety of electrical</w:t>
      </w:r>
      <w:r>
        <w:rPr>
          <w:spacing w:val="-17"/>
        </w:rPr>
        <w:t xml:space="preserve"> </w:t>
      </w:r>
      <w:proofErr w:type="gramStart"/>
      <w:r>
        <w:t>systems;</w:t>
      </w:r>
      <w:proofErr w:type="gramEnd"/>
    </w:p>
    <w:p w14:paraId="09F70FB5" w14:textId="77777777" w:rsidR="00CA03B4" w:rsidRDefault="00000000">
      <w:pPr>
        <w:pStyle w:val="ListParagraph"/>
        <w:numPr>
          <w:ilvl w:val="1"/>
          <w:numId w:val="7"/>
        </w:numPr>
        <w:tabs>
          <w:tab w:val="left" w:pos="1660"/>
          <w:tab w:val="left" w:pos="1661"/>
        </w:tabs>
        <w:ind w:left="1660" w:right="380"/>
        <w:jc w:val="left"/>
      </w:pPr>
      <w:r>
        <w:t xml:space="preserve">Verifying or locating the origin of power sources when modifying or relocating existing electrical </w:t>
      </w:r>
      <w:proofErr w:type="gramStart"/>
      <w:r>
        <w:t>systems;</w:t>
      </w:r>
      <w:proofErr w:type="gramEnd"/>
    </w:p>
    <w:p w14:paraId="662250B8" w14:textId="77777777" w:rsidR="00CA03B4" w:rsidRDefault="00000000">
      <w:pPr>
        <w:pStyle w:val="ListParagraph"/>
        <w:numPr>
          <w:ilvl w:val="1"/>
          <w:numId w:val="7"/>
        </w:numPr>
        <w:tabs>
          <w:tab w:val="left" w:pos="1660"/>
          <w:tab w:val="left" w:pos="1661"/>
        </w:tabs>
        <w:ind w:left="1660" w:right="377"/>
        <w:jc w:val="left"/>
      </w:pPr>
      <w:r>
        <w:t>Configuring, installing and testing communication data ports and Category (CAT) 5E &amp; CAT 6 wiring for computer</w:t>
      </w:r>
      <w:r>
        <w:rPr>
          <w:spacing w:val="-6"/>
        </w:rPr>
        <w:t xml:space="preserve"> </w:t>
      </w:r>
      <w:proofErr w:type="gramStart"/>
      <w:r>
        <w:t>systems;</w:t>
      </w:r>
      <w:proofErr w:type="gramEnd"/>
    </w:p>
    <w:p w14:paraId="4D7F8500" w14:textId="77777777" w:rsidR="00CA03B4" w:rsidRDefault="00000000">
      <w:pPr>
        <w:pStyle w:val="ListParagraph"/>
        <w:numPr>
          <w:ilvl w:val="1"/>
          <w:numId w:val="7"/>
        </w:numPr>
        <w:tabs>
          <w:tab w:val="left" w:pos="1660"/>
          <w:tab w:val="left" w:pos="1662"/>
        </w:tabs>
        <w:ind w:left="1661" w:right="374"/>
        <w:jc w:val="left"/>
      </w:pPr>
      <w:r>
        <w:t>Electrical engineering preparation design drawings of specifications used to obtain required permits;</w:t>
      </w:r>
      <w:r>
        <w:rPr>
          <w:spacing w:val="-4"/>
        </w:rPr>
        <w:t xml:space="preserve"> </w:t>
      </w:r>
      <w:r>
        <w:t>and,</w:t>
      </w:r>
    </w:p>
    <w:p w14:paraId="301E28E4" w14:textId="77777777" w:rsidR="00CA03B4" w:rsidRDefault="00000000">
      <w:pPr>
        <w:pStyle w:val="ListParagraph"/>
        <w:numPr>
          <w:ilvl w:val="1"/>
          <w:numId w:val="7"/>
        </w:numPr>
        <w:tabs>
          <w:tab w:val="left" w:pos="1660"/>
          <w:tab w:val="left" w:pos="1662"/>
        </w:tabs>
        <w:spacing w:line="279" w:lineRule="exact"/>
        <w:ind w:left="1661" w:hanging="362"/>
        <w:jc w:val="left"/>
      </w:pPr>
      <w:r>
        <w:t>Other electrical work as described by the user</w:t>
      </w:r>
      <w:r>
        <w:rPr>
          <w:spacing w:val="-13"/>
        </w:rPr>
        <w:t xml:space="preserve"> </w:t>
      </w:r>
      <w:r>
        <w:t>agency.</w:t>
      </w:r>
    </w:p>
    <w:p w14:paraId="10138F25" w14:textId="77777777" w:rsidR="00CA03B4" w:rsidRDefault="00CA03B4">
      <w:pPr>
        <w:pStyle w:val="BodyText"/>
        <w:spacing w:before="10"/>
        <w:rPr>
          <w:sz w:val="21"/>
        </w:rPr>
      </w:pPr>
    </w:p>
    <w:p w14:paraId="59672986" w14:textId="77777777" w:rsidR="00CA03B4" w:rsidRDefault="00000000">
      <w:pPr>
        <w:pStyle w:val="BodyText"/>
        <w:ind w:left="940" w:right="371"/>
        <w:jc w:val="both"/>
      </w:pPr>
      <w:r>
        <w:t xml:space="preserve">The Contractor shall provide all materials and labor necessary to perform maintenance, repair, renovations, </w:t>
      </w:r>
      <w:proofErr w:type="gramStart"/>
      <w:r>
        <w:t>installation</w:t>
      </w:r>
      <w:proofErr w:type="gramEnd"/>
      <w:r>
        <w:t xml:space="preserve"> or alteration of electrical systems including power, lighting, electrical related fixtures and any and all other components per drawings and specifications which will be provided by the agency. Work may be performed on the exterior or interior of buildings.</w:t>
      </w:r>
    </w:p>
    <w:p w14:paraId="65B0E487" w14:textId="77777777" w:rsidR="00CA03B4" w:rsidRDefault="00CA03B4">
      <w:pPr>
        <w:jc w:val="both"/>
        <w:sectPr w:rsidR="00CA03B4">
          <w:pgSz w:w="12240" w:h="15840"/>
          <w:pgMar w:top="420" w:right="700" w:bottom="600" w:left="860" w:header="0" w:footer="329" w:gutter="0"/>
          <w:cols w:space="720"/>
        </w:sectPr>
      </w:pPr>
    </w:p>
    <w:p w14:paraId="4E3BE9A1" w14:textId="77777777" w:rsidR="00CA03B4" w:rsidRDefault="00000000">
      <w:pPr>
        <w:pStyle w:val="ListParagraph"/>
        <w:numPr>
          <w:ilvl w:val="0"/>
          <w:numId w:val="7"/>
        </w:numPr>
        <w:tabs>
          <w:tab w:val="left" w:pos="940"/>
        </w:tabs>
        <w:spacing w:before="38"/>
        <w:ind w:right="372" w:hanging="361"/>
        <w:jc w:val="both"/>
      </w:pPr>
      <w:r>
        <w:lastRenderedPageBreak/>
        <w:t xml:space="preserve">WORKMANSHIP AND MATERIALS: All work must be performed in a thorough and workmanlike manner and in accordance with current industry practices. The contractor will be held responsible for the quality of the service, </w:t>
      </w:r>
      <w:proofErr w:type="gramStart"/>
      <w:r>
        <w:t>maintenance</w:t>
      </w:r>
      <w:proofErr w:type="gramEnd"/>
      <w:r>
        <w:t xml:space="preserve"> and inspections. Service, </w:t>
      </w:r>
      <w:proofErr w:type="gramStart"/>
      <w:r>
        <w:t>maintenance</w:t>
      </w:r>
      <w:proofErr w:type="gramEnd"/>
      <w:r>
        <w:t xml:space="preserve"> and inspections that are improperly done will be done over, by the contractor, at the contractor's risk and</w:t>
      </w:r>
      <w:r>
        <w:rPr>
          <w:spacing w:val="-33"/>
        </w:rPr>
        <w:t xml:space="preserve"> </w:t>
      </w:r>
      <w:r>
        <w:t>expense.</w:t>
      </w:r>
    </w:p>
    <w:p w14:paraId="6B7EB67A" w14:textId="77777777" w:rsidR="00CA03B4" w:rsidRDefault="00CA03B4">
      <w:pPr>
        <w:pStyle w:val="BodyText"/>
        <w:spacing w:before="10"/>
        <w:rPr>
          <w:sz w:val="17"/>
        </w:rPr>
      </w:pPr>
    </w:p>
    <w:p w14:paraId="772B6339" w14:textId="77777777" w:rsidR="00CA03B4" w:rsidRDefault="00000000">
      <w:pPr>
        <w:pStyle w:val="BodyText"/>
        <w:ind w:left="939" w:right="375"/>
        <w:jc w:val="both"/>
      </w:pPr>
      <w:r>
        <w:t xml:space="preserve">Contractors are responsible for meeting and complying with all federal, state, and local laws, regulations, industry standards, codes, </w:t>
      </w:r>
      <w:proofErr w:type="gramStart"/>
      <w:r>
        <w:t>licenses</w:t>
      </w:r>
      <w:proofErr w:type="gramEnd"/>
      <w:r>
        <w:t xml:space="preserve"> and permits required to perform the services of this contract. Contractors must comply with Little Davis-Bacon wage rates when required, for projects greater than</w:t>
      </w:r>
    </w:p>
    <w:p w14:paraId="568A7A1E" w14:textId="77777777" w:rsidR="00CA03B4" w:rsidRDefault="00000000">
      <w:pPr>
        <w:pStyle w:val="BodyText"/>
        <w:spacing w:before="3"/>
        <w:ind w:left="939"/>
      </w:pPr>
      <w:r>
        <w:t>$25,000.</w:t>
      </w:r>
    </w:p>
    <w:p w14:paraId="197BA6D8" w14:textId="77777777" w:rsidR="00CA03B4" w:rsidRDefault="00CA03B4">
      <w:pPr>
        <w:pStyle w:val="BodyText"/>
        <w:spacing w:before="12"/>
        <w:rPr>
          <w:sz w:val="17"/>
        </w:rPr>
      </w:pPr>
    </w:p>
    <w:p w14:paraId="37BC6D0F" w14:textId="77777777" w:rsidR="00CA03B4" w:rsidRDefault="00000000">
      <w:pPr>
        <w:pStyle w:val="BodyText"/>
        <w:ind w:left="940" w:right="376"/>
        <w:jc w:val="both"/>
      </w:pPr>
      <w:r>
        <w:t xml:space="preserve">The Little Davis-Bacon Act (LDBA) is a set of state laws in title 36 that establish minimum wage and associated requirements for labor on public construction contracts awarded by the State of Alaska or a political subdivision of the state. The minimum wage (also known as the prevailing wage) is applicable to construction-related workers. The Alaska Department of Labor and Workforce Development (DOLWD) publishes the prevailing minimum wages twice a year at their Division of Labor Standards and Safety website. The contractor must comply with the requirements noted within the DOLWD packet entitled, “Laborers’ &amp; Mechanics’ Minimum Rates of Pay.” (Pamphlet 600). Contractors may obtain a copy of this packet, contact the procurement agency or the Department of Labor at: </w:t>
      </w:r>
      <w:hyperlink r:id="rId37">
        <w:r>
          <w:rPr>
            <w:color w:val="0000FF"/>
            <w:u w:val="single" w:color="0000FF"/>
          </w:rPr>
          <w:t>http://labor.alaska.gov/lss/pamp600.htm</w:t>
        </w:r>
      </w:hyperlink>
    </w:p>
    <w:p w14:paraId="52B0A1F4" w14:textId="77777777" w:rsidR="00CA03B4" w:rsidRDefault="00CA03B4">
      <w:pPr>
        <w:pStyle w:val="BodyText"/>
        <w:spacing w:before="3"/>
        <w:rPr>
          <w:sz w:val="17"/>
        </w:rPr>
      </w:pPr>
    </w:p>
    <w:p w14:paraId="5D41EEBF" w14:textId="77777777" w:rsidR="00CA03B4" w:rsidRDefault="00000000">
      <w:pPr>
        <w:pStyle w:val="BodyText"/>
        <w:spacing w:before="56"/>
        <w:ind w:left="940" w:right="373"/>
        <w:jc w:val="both"/>
      </w:pPr>
      <w:r>
        <w:t>For work awarded by the purchasing agencies that exceeds $25,000, the Contractor (and all subcontractors) shall pay the current prevailing rate of wages as per AS 36.05.010. The contractor (and all subcontractors) shall file certified payroll with the DOLWD and with the purchasing agency for all work performed on the project.</w:t>
      </w:r>
    </w:p>
    <w:p w14:paraId="4570FED0" w14:textId="77777777" w:rsidR="00CA03B4" w:rsidRDefault="00CA03B4">
      <w:pPr>
        <w:pStyle w:val="BodyText"/>
        <w:spacing w:before="1"/>
      </w:pPr>
    </w:p>
    <w:p w14:paraId="1AEC3AD8" w14:textId="77777777" w:rsidR="00CA03B4" w:rsidRDefault="00000000">
      <w:pPr>
        <w:pStyle w:val="BodyText"/>
        <w:ind w:left="940" w:right="375"/>
        <w:jc w:val="both"/>
      </w:pPr>
      <w:r>
        <w:t>Before beginning work, the contractor shall file a Notice of Work with DOLWD and pay any/all required fees. After finishing work, the contractor shall file a Notice of Completion with DOLWD and pay any/all additional fees required by increases in the final contract amount.</w:t>
      </w:r>
    </w:p>
    <w:p w14:paraId="739A3CAB" w14:textId="77777777" w:rsidR="00CA03B4" w:rsidRDefault="00CA03B4">
      <w:pPr>
        <w:pStyle w:val="BodyText"/>
        <w:spacing w:before="10"/>
        <w:rPr>
          <w:sz w:val="21"/>
        </w:rPr>
      </w:pPr>
    </w:p>
    <w:p w14:paraId="7F1661E8" w14:textId="77777777" w:rsidR="00CA03B4" w:rsidRDefault="00000000">
      <w:pPr>
        <w:pStyle w:val="ListParagraph"/>
        <w:numPr>
          <w:ilvl w:val="0"/>
          <w:numId w:val="7"/>
        </w:numPr>
        <w:tabs>
          <w:tab w:val="left" w:pos="940"/>
        </w:tabs>
        <w:ind w:left="939" w:right="372"/>
        <w:jc w:val="both"/>
      </w:pPr>
      <w:r>
        <w:t>WARRANTY: The work provided under this contract shall be guaranteed to be free from defects in material and workmanship for a period of two (2) years commencing upon the date of final payment of each project. If, during this period, faults develop with the unit or components of the unit, they will be repaired or replaced without any cost, including any transportation or freight cost, to the state. Bids, which include supplemental warranties, will be accepted, but supplemental warranties that conflict with or diminish the state's rights under this warranty clause will be considered null and void. The state is not responsible for identifying conflicting warranty conditions before issuing a contract award. After award of the</w:t>
      </w:r>
      <w:r>
        <w:rPr>
          <w:spacing w:val="-4"/>
        </w:rPr>
        <w:t xml:space="preserve"> </w:t>
      </w:r>
      <w:r>
        <w:t>contract:</w:t>
      </w:r>
    </w:p>
    <w:p w14:paraId="18B6EFCE" w14:textId="77777777" w:rsidR="00CA03B4" w:rsidRDefault="00CA03B4">
      <w:pPr>
        <w:pStyle w:val="BodyText"/>
        <w:rPr>
          <w:sz w:val="18"/>
        </w:rPr>
      </w:pPr>
    </w:p>
    <w:p w14:paraId="3D1A6251" w14:textId="77777777" w:rsidR="00CA03B4" w:rsidRDefault="00000000">
      <w:pPr>
        <w:pStyle w:val="BodyText"/>
        <w:ind w:left="939" w:right="377"/>
        <w:jc w:val="both"/>
      </w:pPr>
      <w:r>
        <w:t xml:space="preserve">If a conflict arises between the supplemental warranty and the warranty in the ITB/contract, the warranty in the ITB/contract will prevail; and if the state's rights are diminished </w:t>
      </w:r>
      <w:proofErr w:type="gramStart"/>
      <w:r>
        <w:t>as a result of</w:t>
      </w:r>
      <w:proofErr w:type="gramEnd"/>
      <w:r>
        <w:t xml:space="preserve"> application of the supplemental warranty, the supplemental warranty will be considered null and void and the ITB/contract warranty will prevail.</w:t>
      </w:r>
    </w:p>
    <w:p w14:paraId="383A84E8" w14:textId="77777777" w:rsidR="00CA03B4" w:rsidRDefault="00CA03B4">
      <w:pPr>
        <w:pStyle w:val="BodyText"/>
        <w:spacing w:before="2"/>
        <w:rPr>
          <w:sz w:val="18"/>
        </w:rPr>
      </w:pPr>
    </w:p>
    <w:p w14:paraId="38099D10" w14:textId="77777777" w:rsidR="00CA03B4" w:rsidRDefault="00000000">
      <w:pPr>
        <w:pStyle w:val="BodyText"/>
        <w:ind w:left="940" w:right="373" w:hanging="1"/>
        <w:jc w:val="both"/>
      </w:pPr>
      <w:r>
        <w:t>By signature on the bid, the contractor acknowledges this requirement and indicates unconditional acceptance of this warranty clause.</w:t>
      </w:r>
    </w:p>
    <w:p w14:paraId="63DB2E0D" w14:textId="77777777" w:rsidR="00CA03B4" w:rsidRDefault="00CA03B4">
      <w:pPr>
        <w:pStyle w:val="BodyText"/>
        <w:spacing w:before="11"/>
        <w:rPr>
          <w:sz w:val="21"/>
        </w:rPr>
      </w:pPr>
    </w:p>
    <w:p w14:paraId="6A828E40" w14:textId="77777777" w:rsidR="00CA03B4" w:rsidRDefault="00000000">
      <w:pPr>
        <w:pStyle w:val="ListParagraph"/>
        <w:numPr>
          <w:ilvl w:val="0"/>
          <w:numId w:val="7"/>
        </w:numPr>
        <w:tabs>
          <w:tab w:val="left" w:pos="940"/>
        </w:tabs>
        <w:ind w:left="939" w:right="380"/>
        <w:jc w:val="both"/>
      </w:pPr>
      <w:r>
        <w:t xml:space="preserve">RESPONSE TIME: Contractor shall meet or exceed the following minimum response times for </w:t>
      </w:r>
      <w:proofErr w:type="gramStart"/>
      <w:r>
        <w:t>the  specified</w:t>
      </w:r>
      <w:proofErr w:type="gramEnd"/>
      <w:r>
        <w:t xml:space="preserve"> response levels. If an emergency request is made by the user agency that </w:t>
      </w:r>
      <w:proofErr w:type="gramStart"/>
      <w:r>
        <w:t>requires  an</w:t>
      </w:r>
      <w:proofErr w:type="gramEnd"/>
      <w:r>
        <w:t xml:space="preserve"> immediate service response, Contractor shall make all reasonable efforts to respond as</w:t>
      </w:r>
      <w:r>
        <w:rPr>
          <w:spacing w:val="-29"/>
        </w:rPr>
        <w:t xml:space="preserve"> </w:t>
      </w:r>
      <w:r>
        <w:t>needed.</w:t>
      </w:r>
    </w:p>
    <w:p w14:paraId="2D980BD0" w14:textId="77777777" w:rsidR="00CA03B4" w:rsidRDefault="00CA03B4">
      <w:pPr>
        <w:pStyle w:val="BodyText"/>
        <w:spacing w:before="3"/>
      </w:pPr>
    </w:p>
    <w:tbl>
      <w:tblPr>
        <w:tblW w:w="0" w:type="auto"/>
        <w:tblInd w:w="8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2"/>
        <w:gridCol w:w="1484"/>
        <w:gridCol w:w="1604"/>
        <w:gridCol w:w="4600"/>
      </w:tblGrid>
      <w:tr w:rsidR="00CA03B4" w14:paraId="34F46973" w14:textId="77777777">
        <w:trPr>
          <w:trHeight w:val="538"/>
        </w:trPr>
        <w:tc>
          <w:tcPr>
            <w:tcW w:w="1892" w:type="dxa"/>
            <w:shd w:val="clear" w:color="auto" w:fill="D9D9D9"/>
          </w:tcPr>
          <w:p w14:paraId="3D09E6E1" w14:textId="77777777" w:rsidR="00CA03B4" w:rsidRDefault="00000000">
            <w:pPr>
              <w:pStyle w:val="TableParagraph"/>
              <w:spacing w:before="133" w:line="240" w:lineRule="auto"/>
              <w:ind w:left="346"/>
              <w:rPr>
                <w:rFonts w:ascii="Calibri Light"/>
              </w:rPr>
            </w:pPr>
            <w:r>
              <w:rPr>
                <w:rFonts w:ascii="Calibri Light"/>
              </w:rPr>
              <w:t>Response Level</w:t>
            </w:r>
          </w:p>
        </w:tc>
        <w:tc>
          <w:tcPr>
            <w:tcW w:w="1484" w:type="dxa"/>
            <w:shd w:val="clear" w:color="auto" w:fill="D9D9D9"/>
          </w:tcPr>
          <w:p w14:paraId="3FEB280B" w14:textId="77777777" w:rsidR="00CA03B4" w:rsidRDefault="00000000">
            <w:pPr>
              <w:pStyle w:val="TableParagraph"/>
              <w:spacing w:line="266" w:lineRule="exact"/>
              <w:ind w:left="410"/>
              <w:rPr>
                <w:rFonts w:ascii="Calibri Light"/>
              </w:rPr>
            </w:pPr>
            <w:r>
              <w:rPr>
                <w:rFonts w:ascii="Calibri Light"/>
              </w:rPr>
              <w:t>Call</w:t>
            </w:r>
            <w:r>
              <w:rPr>
                <w:rFonts w:ascii="Calibri Light"/>
                <w:spacing w:val="-2"/>
              </w:rPr>
              <w:t xml:space="preserve"> </w:t>
            </w:r>
            <w:r>
              <w:rPr>
                <w:rFonts w:ascii="Calibri Light"/>
              </w:rPr>
              <w:t>Back</w:t>
            </w:r>
          </w:p>
          <w:p w14:paraId="3B6C13D3" w14:textId="77777777" w:rsidR="00CA03B4" w:rsidRDefault="00000000">
            <w:pPr>
              <w:pStyle w:val="TableParagraph"/>
              <w:spacing w:line="252" w:lineRule="exact"/>
              <w:ind w:left="378"/>
              <w:rPr>
                <w:rFonts w:ascii="Calibri Light"/>
              </w:rPr>
            </w:pPr>
            <w:r>
              <w:rPr>
                <w:rFonts w:ascii="Calibri Light"/>
              </w:rPr>
              <w:t>Response</w:t>
            </w:r>
          </w:p>
        </w:tc>
        <w:tc>
          <w:tcPr>
            <w:tcW w:w="1604" w:type="dxa"/>
            <w:shd w:val="clear" w:color="auto" w:fill="D9D9D9"/>
          </w:tcPr>
          <w:p w14:paraId="3C4159B9" w14:textId="77777777" w:rsidR="00CA03B4" w:rsidRDefault="00000000">
            <w:pPr>
              <w:pStyle w:val="TableParagraph"/>
              <w:spacing w:line="266" w:lineRule="exact"/>
              <w:ind w:left="482"/>
              <w:rPr>
                <w:rFonts w:ascii="Calibri Light"/>
              </w:rPr>
            </w:pPr>
            <w:r>
              <w:rPr>
                <w:rFonts w:ascii="Calibri Light"/>
              </w:rPr>
              <w:t>Service</w:t>
            </w:r>
          </w:p>
          <w:p w14:paraId="321BE068" w14:textId="77777777" w:rsidR="00CA03B4" w:rsidRDefault="00000000">
            <w:pPr>
              <w:pStyle w:val="TableParagraph"/>
              <w:spacing w:line="252" w:lineRule="exact"/>
              <w:ind w:left="375"/>
              <w:rPr>
                <w:rFonts w:ascii="Calibri Light"/>
              </w:rPr>
            </w:pPr>
            <w:r>
              <w:rPr>
                <w:rFonts w:ascii="Calibri Light"/>
              </w:rPr>
              <w:t>Response</w:t>
            </w:r>
          </w:p>
        </w:tc>
        <w:tc>
          <w:tcPr>
            <w:tcW w:w="4600" w:type="dxa"/>
            <w:shd w:val="clear" w:color="auto" w:fill="D9D9D9"/>
          </w:tcPr>
          <w:p w14:paraId="727CB338" w14:textId="77777777" w:rsidR="00CA03B4" w:rsidRDefault="00000000">
            <w:pPr>
              <w:pStyle w:val="TableParagraph"/>
              <w:spacing w:before="133" w:line="240" w:lineRule="auto"/>
              <w:ind w:left="1868" w:right="1727"/>
              <w:jc w:val="center"/>
              <w:rPr>
                <w:rFonts w:ascii="Calibri Light"/>
              </w:rPr>
            </w:pPr>
            <w:r>
              <w:rPr>
                <w:rFonts w:ascii="Calibri Light"/>
              </w:rPr>
              <w:t>Definitions</w:t>
            </w:r>
          </w:p>
        </w:tc>
      </w:tr>
      <w:tr w:rsidR="00CA03B4" w14:paraId="30F08780" w14:textId="77777777">
        <w:trPr>
          <w:trHeight w:val="534"/>
        </w:trPr>
        <w:tc>
          <w:tcPr>
            <w:tcW w:w="1892" w:type="dxa"/>
          </w:tcPr>
          <w:p w14:paraId="1F7E2F3B" w14:textId="77777777" w:rsidR="00CA03B4" w:rsidRDefault="00000000">
            <w:pPr>
              <w:pStyle w:val="TableParagraph"/>
              <w:spacing w:line="266" w:lineRule="exact"/>
              <w:ind w:left="270"/>
              <w:rPr>
                <w:rFonts w:ascii="Calibri Light" w:hAnsi="Calibri Light"/>
              </w:rPr>
            </w:pPr>
            <w:r>
              <w:rPr>
                <w:rFonts w:ascii="Calibri Light" w:hAnsi="Calibri Light"/>
              </w:rPr>
              <w:t>1 – Emergency</w:t>
            </w:r>
          </w:p>
        </w:tc>
        <w:tc>
          <w:tcPr>
            <w:tcW w:w="1484" w:type="dxa"/>
          </w:tcPr>
          <w:p w14:paraId="46E6A4BA" w14:textId="77777777" w:rsidR="00CA03B4" w:rsidRDefault="00000000">
            <w:pPr>
              <w:pStyle w:val="TableParagraph"/>
              <w:spacing w:line="266" w:lineRule="exact"/>
              <w:ind w:left="498"/>
              <w:rPr>
                <w:rFonts w:ascii="Calibri Light" w:hAnsi="Calibri Light"/>
              </w:rPr>
            </w:pPr>
            <w:r>
              <w:rPr>
                <w:rFonts w:ascii="Calibri Light" w:hAnsi="Calibri Light"/>
              </w:rPr>
              <w:t>¼ hour</w:t>
            </w:r>
          </w:p>
        </w:tc>
        <w:tc>
          <w:tcPr>
            <w:tcW w:w="1604" w:type="dxa"/>
          </w:tcPr>
          <w:p w14:paraId="194A598D" w14:textId="77777777" w:rsidR="00CA03B4" w:rsidRDefault="00000000">
            <w:pPr>
              <w:pStyle w:val="TableParagraph"/>
              <w:spacing w:line="266" w:lineRule="exact"/>
              <w:ind w:left="242"/>
              <w:rPr>
                <w:rFonts w:ascii="Calibri Light"/>
              </w:rPr>
            </w:pPr>
            <w:r>
              <w:rPr>
                <w:rFonts w:ascii="Calibri Light"/>
              </w:rPr>
              <w:t>1 hour</w:t>
            </w:r>
          </w:p>
        </w:tc>
        <w:tc>
          <w:tcPr>
            <w:tcW w:w="4600" w:type="dxa"/>
          </w:tcPr>
          <w:p w14:paraId="545A31DD" w14:textId="77777777" w:rsidR="00CA03B4" w:rsidRDefault="00000000">
            <w:pPr>
              <w:pStyle w:val="TableParagraph"/>
              <w:spacing w:line="266" w:lineRule="exact"/>
              <w:ind w:left="227"/>
              <w:rPr>
                <w:rFonts w:ascii="Calibri Light" w:hAnsi="Calibri Light"/>
              </w:rPr>
            </w:pPr>
            <w:r>
              <w:rPr>
                <w:rFonts w:ascii="Calibri Light" w:hAnsi="Calibri Light"/>
              </w:rPr>
              <w:t>An “Emergency” service shall be defined as such</w:t>
            </w:r>
          </w:p>
          <w:p w14:paraId="2337DB9B" w14:textId="77777777" w:rsidR="00CA03B4" w:rsidRDefault="00000000">
            <w:pPr>
              <w:pStyle w:val="TableParagraph"/>
              <w:spacing w:line="248" w:lineRule="exact"/>
              <w:ind w:left="227"/>
              <w:rPr>
                <w:rFonts w:ascii="Calibri Light"/>
              </w:rPr>
            </w:pPr>
            <w:r>
              <w:rPr>
                <w:rFonts w:ascii="Calibri Light"/>
              </w:rPr>
              <w:t>a situation that would involve an operational or</w:t>
            </w:r>
          </w:p>
        </w:tc>
      </w:tr>
    </w:tbl>
    <w:p w14:paraId="168B0A33" w14:textId="77777777" w:rsidR="00CA03B4" w:rsidRDefault="00CA03B4">
      <w:pPr>
        <w:spacing w:line="248" w:lineRule="exact"/>
        <w:sectPr w:rsidR="00CA03B4">
          <w:pgSz w:w="12240" w:h="15840"/>
          <w:pgMar w:top="680" w:right="700" w:bottom="600" w:left="860" w:header="0" w:footer="329" w:gutter="0"/>
          <w:cols w:space="720"/>
        </w:sectPr>
      </w:pPr>
    </w:p>
    <w:tbl>
      <w:tblPr>
        <w:tblW w:w="0" w:type="auto"/>
        <w:tblInd w:w="8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2"/>
        <w:gridCol w:w="1484"/>
        <w:gridCol w:w="1604"/>
        <w:gridCol w:w="4600"/>
      </w:tblGrid>
      <w:tr w:rsidR="00CA03B4" w14:paraId="1ABA591A" w14:textId="77777777">
        <w:trPr>
          <w:trHeight w:val="1074"/>
        </w:trPr>
        <w:tc>
          <w:tcPr>
            <w:tcW w:w="1892" w:type="dxa"/>
          </w:tcPr>
          <w:p w14:paraId="6F13120D" w14:textId="77777777" w:rsidR="00CA03B4" w:rsidRDefault="00CA03B4">
            <w:pPr>
              <w:pStyle w:val="TableParagraph"/>
              <w:spacing w:line="240" w:lineRule="auto"/>
              <w:rPr>
                <w:rFonts w:ascii="Times New Roman"/>
                <w:sz w:val="20"/>
              </w:rPr>
            </w:pPr>
          </w:p>
        </w:tc>
        <w:tc>
          <w:tcPr>
            <w:tcW w:w="1484" w:type="dxa"/>
          </w:tcPr>
          <w:p w14:paraId="49A88085" w14:textId="77777777" w:rsidR="00CA03B4" w:rsidRDefault="00CA03B4">
            <w:pPr>
              <w:pStyle w:val="TableParagraph"/>
              <w:spacing w:line="240" w:lineRule="auto"/>
              <w:rPr>
                <w:rFonts w:ascii="Times New Roman"/>
                <w:sz w:val="20"/>
              </w:rPr>
            </w:pPr>
          </w:p>
        </w:tc>
        <w:tc>
          <w:tcPr>
            <w:tcW w:w="1604" w:type="dxa"/>
          </w:tcPr>
          <w:p w14:paraId="60575BA3" w14:textId="77777777" w:rsidR="00CA03B4" w:rsidRDefault="00CA03B4">
            <w:pPr>
              <w:pStyle w:val="TableParagraph"/>
              <w:spacing w:line="240" w:lineRule="auto"/>
              <w:rPr>
                <w:rFonts w:ascii="Times New Roman"/>
                <w:sz w:val="20"/>
              </w:rPr>
            </w:pPr>
          </w:p>
        </w:tc>
        <w:tc>
          <w:tcPr>
            <w:tcW w:w="4600" w:type="dxa"/>
          </w:tcPr>
          <w:p w14:paraId="12635695" w14:textId="77777777" w:rsidR="00CA03B4" w:rsidRDefault="00000000">
            <w:pPr>
              <w:pStyle w:val="TableParagraph"/>
              <w:spacing w:line="240" w:lineRule="auto"/>
              <w:ind w:left="227" w:right="190"/>
              <w:rPr>
                <w:rFonts w:ascii="Calibri Light"/>
              </w:rPr>
            </w:pPr>
            <w:r>
              <w:rPr>
                <w:rFonts w:ascii="Calibri Light"/>
              </w:rPr>
              <w:t>other program function that potentially threatens the health and safety of persons, the destruction of property, or the ability of the</w:t>
            </w:r>
          </w:p>
          <w:p w14:paraId="07FD47DB" w14:textId="77777777" w:rsidR="00CA03B4" w:rsidRDefault="00000000">
            <w:pPr>
              <w:pStyle w:val="TableParagraph"/>
              <w:spacing w:line="259" w:lineRule="exact"/>
              <w:ind w:left="227"/>
              <w:rPr>
                <w:rFonts w:ascii="Calibri Light"/>
              </w:rPr>
            </w:pPr>
            <w:r>
              <w:rPr>
                <w:rFonts w:ascii="Calibri Light"/>
              </w:rPr>
              <w:t>agency to perform necessary operations.</w:t>
            </w:r>
          </w:p>
        </w:tc>
      </w:tr>
      <w:tr w:rsidR="00CA03B4" w14:paraId="1D209C39" w14:textId="77777777">
        <w:trPr>
          <w:trHeight w:val="1074"/>
        </w:trPr>
        <w:tc>
          <w:tcPr>
            <w:tcW w:w="1892" w:type="dxa"/>
          </w:tcPr>
          <w:p w14:paraId="79F90B4A" w14:textId="77777777" w:rsidR="00CA03B4" w:rsidRDefault="00000000">
            <w:pPr>
              <w:pStyle w:val="TableParagraph"/>
              <w:ind w:left="270"/>
              <w:rPr>
                <w:rFonts w:ascii="Calibri Light" w:hAnsi="Calibri Light"/>
              </w:rPr>
            </w:pPr>
            <w:r>
              <w:rPr>
                <w:rFonts w:ascii="Calibri Light" w:hAnsi="Calibri Light"/>
              </w:rPr>
              <w:t>2 – Critical</w:t>
            </w:r>
          </w:p>
        </w:tc>
        <w:tc>
          <w:tcPr>
            <w:tcW w:w="1484" w:type="dxa"/>
          </w:tcPr>
          <w:p w14:paraId="623315B5" w14:textId="77777777" w:rsidR="00CA03B4" w:rsidRDefault="00000000">
            <w:pPr>
              <w:pStyle w:val="TableParagraph"/>
              <w:ind w:left="515"/>
              <w:rPr>
                <w:rFonts w:ascii="Calibri Light"/>
              </w:rPr>
            </w:pPr>
            <w:r>
              <w:rPr>
                <w:rFonts w:ascii="Calibri Light"/>
              </w:rPr>
              <w:t>1 hour</w:t>
            </w:r>
          </w:p>
        </w:tc>
        <w:tc>
          <w:tcPr>
            <w:tcW w:w="1604" w:type="dxa"/>
          </w:tcPr>
          <w:p w14:paraId="5CD4BC76" w14:textId="77777777" w:rsidR="00CA03B4" w:rsidRDefault="00000000">
            <w:pPr>
              <w:pStyle w:val="TableParagraph"/>
              <w:ind w:left="242"/>
              <w:rPr>
                <w:rFonts w:ascii="Calibri Light"/>
              </w:rPr>
            </w:pPr>
            <w:r>
              <w:rPr>
                <w:rFonts w:ascii="Calibri Light"/>
              </w:rPr>
              <w:t>4 hours</w:t>
            </w:r>
          </w:p>
        </w:tc>
        <w:tc>
          <w:tcPr>
            <w:tcW w:w="4600" w:type="dxa"/>
          </w:tcPr>
          <w:p w14:paraId="684ED06F" w14:textId="77777777" w:rsidR="00CA03B4" w:rsidRDefault="00000000">
            <w:pPr>
              <w:pStyle w:val="TableParagraph"/>
              <w:spacing w:line="240" w:lineRule="auto"/>
              <w:ind w:left="227" w:right="121"/>
              <w:rPr>
                <w:rFonts w:ascii="Calibri Light" w:hAnsi="Calibri Light"/>
              </w:rPr>
            </w:pPr>
            <w:r>
              <w:rPr>
                <w:rFonts w:ascii="Calibri Light" w:hAnsi="Calibri Light"/>
              </w:rPr>
              <w:t>A “Critical” service call shall be defined as any service for thermal comfort, normal operations, critical occupancy, necessary services or</w:t>
            </w:r>
          </w:p>
          <w:p w14:paraId="329F1CCC" w14:textId="77777777" w:rsidR="00CA03B4" w:rsidRDefault="00000000">
            <w:pPr>
              <w:pStyle w:val="TableParagraph"/>
              <w:spacing w:line="259" w:lineRule="exact"/>
              <w:ind w:left="227"/>
              <w:rPr>
                <w:rFonts w:ascii="Calibri Light"/>
              </w:rPr>
            </w:pPr>
            <w:r>
              <w:rPr>
                <w:rFonts w:ascii="Calibri Light"/>
              </w:rPr>
              <w:t>operational necessity, or event service.</w:t>
            </w:r>
          </w:p>
        </w:tc>
      </w:tr>
      <w:tr w:rsidR="00CA03B4" w14:paraId="738A5E17" w14:textId="77777777">
        <w:trPr>
          <w:trHeight w:val="534"/>
        </w:trPr>
        <w:tc>
          <w:tcPr>
            <w:tcW w:w="1892" w:type="dxa"/>
          </w:tcPr>
          <w:p w14:paraId="0715EF95" w14:textId="77777777" w:rsidR="00CA03B4" w:rsidRDefault="00000000">
            <w:pPr>
              <w:pStyle w:val="TableParagraph"/>
              <w:ind w:left="270"/>
              <w:rPr>
                <w:rFonts w:ascii="Calibri Light" w:hAnsi="Calibri Light"/>
              </w:rPr>
            </w:pPr>
            <w:r>
              <w:rPr>
                <w:rFonts w:ascii="Calibri Light" w:hAnsi="Calibri Light"/>
              </w:rPr>
              <w:t>3 – Routine</w:t>
            </w:r>
          </w:p>
        </w:tc>
        <w:tc>
          <w:tcPr>
            <w:tcW w:w="1484" w:type="dxa"/>
          </w:tcPr>
          <w:p w14:paraId="6F94D56F" w14:textId="77777777" w:rsidR="00CA03B4" w:rsidRDefault="00000000">
            <w:pPr>
              <w:pStyle w:val="TableParagraph"/>
              <w:ind w:left="275" w:right="140"/>
              <w:jc w:val="center"/>
              <w:rPr>
                <w:rFonts w:ascii="Calibri Light"/>
              </w:rPr>
            </w:pPr>
            <w:r>
              <w:rPr>
                <w:rFonts w:ascii="Calibri Light"/>
              </w:rPr>
              <w:t>48 hours or</w:t>
            </w:r>
          </w:p>
          <w:p w14:paraId="3BCCE6E8" w14:textId="77777777" w:rsidR="00CA03B4" w:rsidRDefault="00000000">
            <w:pPr>
              <w:pStyle w:val="TableParagraph"/>
              <w:spacing w:line="256" w:lineRule="exact"/>
              <w:ind w:left="275" w:right="47"/>
              <w:jc w:val="center"/>
              <w:rPr>
                <w:rFonts w:ascii="Calibri Light"/>
              </w:rPr>
            </w:pPr>
            <w:r>
              <w:rPr>
                <w:rFonts w:ascii="Calibri Light"/>
              </w:rPr>
              <w:t>less</w:t>
            </w:r>
          </w:p>
        </w:tc>
        <w:tc>
          <w:tcPr>
            <w:tcW w:w="1604" w:type="dxa"/>
          </w:tcPr>
          <w:p w14:paraId="3EC31531" w14:textId="77777777" w:rsidR="00CA03B4" w:rsidRDefault="00000000">
            <w:pPr>
              <w:pStyle w:val="TableParagraph"/>
              <w:ind w:left="242"/>
              <w:rPr>
                <w:rFonts w:ascii="Calibri Light"/>
              </w:rPr>
            </w:pPr>
            <w:r>
              <w:rPr>
                <w:rFonts w:ascii="Calibri Light"/>
              </w:rPr>
              <w:t>As negotiated</w:t>
            </w:r>
          </w:p>
          <w:p w14:paraId="5D10DA81" w14:textId="77777777" w:rsidR="00CA03B4" w:rsidRDefault="00000000">
            <w:pPr>
              <w:pStyle w:val="TableParagraph"/>
              <w:spacing w:line="256" w:lineRule="exact"/>
              <w:ind w:left="242"/>
              <w:rPr>
                <w:rFonts w:ascii="Calibri Light"/>
              </w:rPr>
            </w:pPr>
            <w:r>
              <w:rPr>
                <w:rFonts w:ascii="Calibri Light"/>
              </w:rPr>
              <w:t>with agency</w:t>
            </w:r>
          </w:p>
        </w:tc>
        <w:tc>
          <w:tcPr>
            <w:tcW w:w="4600" w:type="dxa"/>
          </w:tcPr>
          <w:p w14:paraId="6A9B81AB" w14:textId="77777777" w:rsidR="00CA03B4" w:rsidRDefault="00000000">
            <w:pPr>
              <w:pStyle w:val="TableParagraph"/>
              <w:ind w:left="227"/>
              <w:rPr>
                <w:rFonts w:ascii="Calibri Light"/>
              </w:rPr>
            </w:pPr>
            <w:r>
              <w:rPr>
                <w:rFonts w:ascii="Calibri Light"/>
              </w:rPr>
              <w:t xml:space="preserve">Scheduled repairs, </w:t>
            </w:r>
            <w:proofErr w:type="gramStart"/>
            <w:r>
              <w:rPr>
                <w:rFonts w:ascii="Calibri Light"/>
              </w:rPr>
              <w:t>maintenance</w:t>
            </w:r>
            <w:proofErr w:type="gramEnd"/>
            <w:r>
              <w:rPr>
                <w:rFonts w:ascii="Calibri Light"/>
              </w:rPr>
              <w:t xml:space="preserve"> or event set-</w:t>
            </w:r>
          </w:p>
          <w:p w14:paraId="6ACA7228" w14:textId="77777777" w:rsidR="00CA03B4" w:rsidRDefault="00000000">
            <w:pPr>
              <w:pStyle w:val="TableParagraph"/>
              <w:spacing w:line="256" w:lineRule="exact"/>
              <w:ind w:left="243"/>
              <w:rPr>
                <w:rFonts w:ascii="Calibri Light"/>
              </w:rPr>
            </w:pPr>
            <w:r>
              <w:rPr>
                <w:rFonts w:ascii="Calibri Light"/>
              </w:rPr>
              <w:t>up.</w:t>
            </w:r>
          </w:p>
        </w:tc>
      </w:tr>
    </w:tbl>
    <w:p w14:paraId="1E489869" w14:textId="77777777" w:rsidR="00CA03B4" w:rsidRDefault="00CA03B4">
      <w:pPr>
        <w:pStyle w:val="BodyText"/>
        <w:spacing w:before="11"/>
        <w:rPr>
          <w:sz w:val="16"/>
        </w:rPr>
      </w:pPr>
    </w:p>
    <w:p w14:paraId="620BB7F4" w14:textId="77777777" w:rsidR="00CA03B4" w:rsidRDefault="00000000">
      <w:pPr>
        <w:pStyle w:val="ListParagraph"/>
        <w:numPr>
          <w:ilvl w:val="0"/>
          <w:numId w:val="7"/>
        </w:numPr>
        <w:tabs>
          <w:tab w:val="left" w:pos="940"/>
        </w:tabs>
        <w:spacing w:before="56"/>
        <w:ind w:left="939" w:right="377"/>
        <w:jc w:val="both"/>
      </w:pPr>
      <w:r>
        <w:t>WRITTEN QUOTES: For state owned or leased building, only those employees who are acting under the delegated authority and hold a warrant certificate from the DOT&amp;PF for construction activities may process request for quotes under this contract. The DOT&amp;PF Construction Contracting Warrant System applies to all employees responsible for encumbering Department or delegated operating agencies via procurement of professional services and construction related activities. Refer to:</w:t>
      </w:r>
      <w:r>
        <w:rPr>
          <w:color w:val="0000FF"/>
        </w:rPr>
        <w:t xml:space="preserve"> </w:t>
      </w:r>
      <w:hyperlink r:id="rId38">
        <w:r>
          <w:rPr>
            <w:color w:val="0000FF"/>
            <w:u w:val="single" w:color="0000FF"/>
          </w:rPr>
          <w:t>Construction</w:t>
        </w:r>
      </w:hyperlink>
      <w:hyperlink r:id="rId39">
        <w:r>
          <w:rPr>
            <w:color w:val="0000FF"/>
            <w:u w:val="single" w:color="0000FF"/>
          </w:rPr>
          <w:t xml:space="preserve"> Contracting Warrant</w:t>
        </w:r>
        <w:r>
          <w:rPr>
            <w:color w:val="0000FF"/>
            <w:spacing w:val="-1"/>
            <w:u w:val="single" w:color="0000FF"/>
          </w:rPr>
          <w:t xml:space="preserve"> </w:t>
        </w:r>
        <w:r>
          <w:rPr>
            <w:color w:val="0000FF"/>
            <w:u w:val="single" w:color="0000FF"/>
          </w:rPr>
          <w:t>System.</w:t>
        </w:r>
      </w:hyperlink>
    </w:p>
    <w:p w14:paraId="769CF43D" w14:textId="77777777" w:rsidR="00CA03B4" w:rsidRDefault="00CA03B4">
      <w:pPr>
        <w:pStyle w:val="BodyText"/>
        <w:spacing w:before="5"/>
        <w:rPr>
          <w:sz w:val="17"/>
        </w:rPr>
      </w:pPr>
    </w:p>
    <w:p w14:paraId="7E52B7E0" w14:textId="77777777" w:rsidR="00CA03B4" w:rsidRDefault="00000000">
      <w:pPr>
        <w:pStyle w:val="BodyText"/>
        <w:spacing w:before="56"/>
        <w:ind w:left="939" w:right="377"/>
        <w:jc w:val="both"/>
      </w:pPr>
      <w:r>
        <w:t xml:space="preserve">Contractor will perform a site visit (if requested) and prepare a “not to exceed” written quote. These estimates shall include the estimated number of hours, hourly rate, </w:t>
      </w:r>
      <w:proofErr w:type="gramStart"/>
      <w:r>
        <w:t>number</w:t>
      </w:r>
      <w:proofErr w:type="gramEnd"/>
      <w:r>
        <w:t xml:space="preserve"> and type of employees required, estimated material cost and completion date. Site visit and quotes shall be provided within five</w:t>
      </w:r>
    </w:p>
    <w:p w14:paraId="466505FC" w14:textId="77777777" w:rsidR="00CA03B4" w:rsidRDefault="00000000">
      <w:pPr>
        <w:pStyle w:val="BodyText"/>
        <w:ind w:left="939" w:right="378"/>
        <w:jc w:val="both"/>
      </w:pPr>
      <w:r>
        <w:t xml:space="preserve">(5) working days after notification of requesting agency. Failure to provide information within stated timeframe may force the agency to seek services elsewhere. Repetitive failure to respond may result in cancellation of contract. There will be no charge for written quotes </w:t>
      </w:r>
      <w:proofErr w:type="gramStart"/>
      <w:r>
        <w:t>requested  by</w:t>
      </w:r>
      <w:proofErr w:type="gramEnd"/>
      <w:r>
        <w:t xml:space="preserve"> the state whether or not the work is performed. The value of each work order cannot exceed</w:t>
      </w:r>
      <w:r>
        <w:rPr>
          <w:spacing w:val="-28"/>
        </w:rPr>
        <w:t xml:space="preserve"> </w:t>
      </w:r>
      <w:r>
        <w:t>$100,000.</w:t>
      </w:r>
    </w:p>
    <w:p w14:paraId="2CA366E5" w14:textId="77777777" w:rsidR="00CA03B4" w:rsidRDefault="00CA03B4">
      <w:pPr>
        <w:pStyle w:val="BodyText"/>
        <w:rPr>
          <w:sz w:val="18"/>
        </w:rPr>
      </w:pPr>
    </w:p>
    <w:p w14:paraId="13AF2A93" w14:textId="77777777" w:rsidR="00CA03B4" w:rsidRDefault="00000000">
      <w:pPr>
        <w:pStyle w:val="BodyText"/>
        <w:ind w:left="939" w:right="377"/>
        <w:jc w:val="both"/>
      </w:pPr>
      <w:r>
        <w:t>Unforeseen or unknown repairs will be mutually agreed upon by the Contractor and the agency, and a written change order will be issued. The Contractor shall submit a written estimate for the extra work to the agency on a Time and Materials basis using Contract pricing. The purchasing agency shall not pay for additional work if the Contractor performs the work without the Agency’s approval. Contractors must notify using agencies immediately of delays of any kind.</w:t>
      </w:r>
    </w:p>
    <w:p w14:paraId="4200F28A" w14:textId="77777777" w:rsidR="00CA03B4" w:rsidRDefault="00CA03B4">
      <w:pPr>
        <w:pStyle w:val="BodyText"/>
        <w:spacing w:before="1"/>
      </w:pPr>
    </w:p>
    <w:p w14:paraId="39656742" w14:textId="77777777" w:rsidR="00CA03B4" w:rsidRDefault="00000000">
      <w:pPr>
        <w:pStyle w:val="ListParagraph"/>
        <w:numPr>
          <w:ilvl w:val="0"/>
          <w:numId w:val="7"/>
        </w:numPr>
        <w:tabs>
          <w:tab w:val="left" w:pos="940"/>
        </w:tabs>
        <w:ind w:right="379" w:hanging="361"/>
        <w:jc w:val="both"/>
      </w:pPr>
      <w:r>
        <w:t>WORK HOURS AND DELIVERY OF MATERIALS: It shall be the Contractor’s responsibility to see that tools, equipment, and materials are delivered within or adjacent to the work area as specified by the agency. In the interest of clarification, the following definitions shall apply to this</w:t>
      </w:r>
      <w:r>
        <w:rPr>
          <w:spacing w:val="-26"/>
        </w:rPr>
        <w:t xml:space="preserve"> </w:t>
      </w:r>
      <w:r>
        <w:t>contract:</w:t>
      </w:r>
    </w:p>
    <w:p w14:paraId="023721A0" w14:textId="77777777" w:rsidR="00CA03B4" w:rsidRDefault="00CA03B4">
      <w:pPr>
        <w:pStyle w:val="BodyText"/>
        <w:spacing w:before="11"/>
        <w:rPr>
          <w:sz w:val="17"/>
        </w:rPr>
      </w:pPr>
    </w:p>
    <w:p w14:paraId="1811B804" w14:textId="77777777" w:rsidR="00CA03B4" w:rsidRDefault="00000000">
      <w:pPr>
        <w:pStyle w:val="BodyText"/>
        <w:spacing w:line="268" w:lineRule="exact"/>
        <w:ind w:left="1300"/>
      </w:pPr>
      <w:r>
        <w:t>Regular Hours:</w:t>
      </w:r>
    </w:p>
    <w:p w14:paraId="7ACD3078" w14:textId="77777777" w:rsidR="00CA03B4" w:rsidRDefault="00000000">
      <w:pPr>
        <w:pStyle w:val="ListParagraph"/>
        <w:numPr>
          <w:ilvl w:val="1"/>
          <w:numId w:val="7"/>
        </w:numPr>
        <w:tabs>
          <w:tab w:val="left" w:pos="2020"/>
          <w:tab w:val="left" w:pos="2021"/>
        </w:tabs>
        <w:ind w:left="2020"/>
        <w:jc w:val="left"/>
      </w:pPr>
      <w:r>
        <w:t>Monday through Friday, 8:00 A.M. – 5:00</w:t>
      </w:r>
      <w:r>
        <w:rPr>
          <w:spacing w:val="-13"/>
        </w:rPr>
        <w:t xml:space="preserve"> </w:t>
      </w:r>
      <w:r>
        <w:t>P.M.</w:t>
      </w:r>
    </w:p>
    <w:p w14:paraId="2CC95339" w14:textId="77777777" w:rsidR="00CA03B4" w:rsidRDefault="00000000">
      <w:pPr>
        <w:pStyle w:val="BodyText"/>
        <w:spacing w:before="243" w:line="268" w:lineRule="exact"/>
        <w:ind w:left="1300"/>
      </w:pPr>
      <w:r>
        <w:t>Overtime Hours (including weekends and holidays as observed by user agency):</w:t>
      </w:r>
    </w:p>
    <w:p w14:paraId="428A6D46" w14:textId="77777777" w:rsidR="00CA03B4" w:rsidRDefault="00000000">
      <w:pPr>
        <w:pStyle w:val="ListParagraph"/>
        <w:numPr>
          <w:ilvl w:val="1"/>
          <w:numId w:val="7"/>
        </w:numPr>
        <w:tabs>
          <w:tab w:val="left" w:pos="2020"/>
          <w:tab w:val="left" w:pos="2021"/>
        </w:tabs>
        <w:ind w:left="2020"/>
        <w:jc w:val="left"/>
      </w:pPr>
      <w:r>
        <w:t>Monday through Friday, 5:00 p.m. – 8:00</w:t>
      </w:r>
      <w:r>
        <w:rPr>
          <w:spacing w:val="-17"/>
        </w:rPr>
        <w:t xml:space="preserve"> </w:t>
      </w:r>
      <w:r>
        <w:t>a.m.</w:t>
      </w:r>
    </w:p>
    <w:p w14:paraId="538EFFC7" w14:textId="77777777" w:rsidR="00CA03B4" w:rsidRDefault="00000000">
      <w:pPr>
        <w:pStyle w:val="ListParagraph"/>
        <w:numPr>
          <w:ilvl w:val="1"/>
          <w:numId w:val="7"/>
        </w:numPr>
        <w:tabs>
          <w:tab w:val="left" w:pos="2020"/>
          <w:tab w:val="left" w:pos="2021"/>
        </w:tabs>
        <w:spacing w:before="4"/>
        <w:ind w:left="2020"/>
        <w:jc w:val="left"/>
      </w:pPr>
      <w:r>
        <w:t>Weekend Hours: Saturday and Sunday, any hour day or</w:t>
      </w:r>
      <w:r>
        <w:rPr>
          <w:spacing w:val="-22"/>
        </w:rPr>
        <w:t xml:space="preserve"> </w:t>
      </w:r>
      <w:r>
        <w:t>night.</w:t>
      </w:r>
    </w:p>
    <w:p w14:paraId="2FF75DF8" w14:textId="77777777" w:rsidR="00CA03B4" w:rsidRDefault="00000000">
      <w:pPr>
        <w:pStyle w:val="BodyText"/>
        <w:spacing w:before="243" w:line="268" w:lineRule="exact"/>
        <w:ind w:left="1392"/>
      </w:pPr>
      <w:r>
        <w:t>Holidays - In the State of Alaska, legal holidays occur on:</w:t>
      </w:r>
    </w:p>
    <w:p w14:paraId="3FDCC36B" w14:textId="77777777" w:rsidR="00CA03B4" w:rsidRDefault="00000000">
      <w:pPr>
        <w:pStyle w:val="ListParagraph"/>
        <w:numPr>
          <w:ilvl w:val="0"/>
          <w:numId w:val="6"/>
        </w:numPr>
        <w:tabs>
          <w:tab w:val="left" w:pos="2064"/>
        </w:tabs>
        <w:spacing w:line="268" w:lineRule="exact"/>
        <w:ind w:hanging="225"/>
      </w:pPr>
      <w:r>
        <w:t xml:space="preserve">New </w:t>
      </w:r>
      <w:proofErr w:type="spellStart"/>
      <w:r>
        <w:t>Years</w:t>
      </w:r>
      <w:proofErr w:type="spellEnd"/>
      <w:r>
        <w:t xml:space="preserve"> Day - January</w:t>
      </w:r>
      <w:r>
        <w:rPr>
          <w:spacing w:val="-4"/>
        </w:rPr>
        <w:t xml:space="preserve"> </w:t>
      </w:r>
      <w:r>
        <w:t>l</w:t>
      </w:r>
    </w:p>
    <w:p w14:paraId="1341AEEC" w14:textId="77777777" w:rsidR="00CA03B4" w:rsidRDefault="00000000">
      <w:pPr>
        <w:pStyle w:val="ListParagraph"/>
        <w:numPr>
          <w:ilvl w:val="0"/>
          <w:numId w:val="6"/>
        </w:numPr>
        <w:tabs>
          <w:tab w:val="left" w:pos="2064"/>
        </w:tabs>
        <w:spacing w:line="268" w:lineRule="exact"/>
        <w:ind w:hanging="225"/>
      </w:pPr>
      <w:r>
        <w:t>Martin Luther King's Birthday - Third Monday in</w:t>
      </w:r>
      <w:r>
        <w:rPr>
          <w:spacing w:val="-17"/>
        </w:rPr>
        <w:t xml:space="preserve"> </w:t>
      </w:r>
      <w:r>
        <w:t>January</w:t>
      </w:r>
    </w:p>
    <w:p w14:paraId="59E05F69" w14:textId="77777777" w:rsidR="00CA03B4" w:rsidRDefault="00000000">
      <w:pPr>
        <w:pStyle w:val="ListParagraph"/>
        <w:numPr>
          <w:ilvl w:val="0"/>
          <w:numId w:val="6"/>
        </w:numPr>
        <w:tabs>
          <w:tab w:val="left" w:pos="2064"/>
        </w:tabs>
        <w:spacing w:line="268" w:lineRule="exact"/>
        <w:ind w:hanging="225"/>
      </w:pPr>
      <w:r>
        <w:t>President's Day - Third Monday in</w:t>
      </w:r>
      <w:r>
        <w:rPr>
          <w:spacing w:val="-14"/>
        </w:rPr>
        <w:t xml:space="preserve"> </w:t>
      </w:r>
      <w:r>
        <w:t>February</w:t>
      </w:r>
    </w:p>
    <w:p w14:paraId="0FB92A85" w14:textId="77777777" w:rsidR="00CA03B4" w:rsidRDefault="00000000">
      <w:pPr>
        <w:pStyle w:val="ListParagraph"/>
        <w:numPr>
          <w:ilvl w:val="0"/>
          <w:numId w:val="6"/>
        </w:numPr>
        <w:tabs>
          <w:tab w:val="left" w:pos="2064"/>
        </w:tabs>
        <w:spacing w:line="268" w:lineRule="exact"/>
        <w:ind w:hanging="225"/>
      </w:pPr>
      <w:r>
        <w:t>Seward's Day - Last Monday in</w:t>
      </w:r>
      <w:r>
        <w:rPr>
          <w:spacing w:val="-8"/>
        </w:rPr>
        <w:t xml:space="preserve"> </w:t>
      </w:r>
      <w:r>
        <w:t>March</w:t>
      </w:r>
    </w:p>
    <w:p w14:paraId="4DA0EEF5" w14:textId="77777777" w:rsidR="00CA03B4" w:rsidRDefault="00000000">
      <w:pPr>
        <w:pStyle w:val="ListParagraph"/>
        <w:numPr>
          <w:ilvl w:val="0"/>
          <w:numId w:val="6"/>
        </w:numPr>
        <w:tabs>
          <w:tab w:val="left" w:pos="2064"/>
        </w:tabs>
        <w:spacing w:line="268" w:lineRule="exact"/>
        <w:ind w:hanging="225"/>
      </w:pPr>
      <w:r>
        <w:t>Memorial Day - Last Monday in</w:t>
      </w:r>
      <w:r>
        <w:rPr>
          <w:spacing w:val="-8"/>
        </w:rPr>
        <w:t xml:space="preserve"> </w:t>
      </w:r>
      <w:r>
        <w:t>May</w:t>
      </w:r>
    </w:p>
    <w:p w14:paraId="31FC0126" w14:textId="77777777" w:rsidR="00CA03B4" w:rsidRDefault="00000000">
      <w:pPr>
        <w:pStyle w:val="ListParagraph"/>
        <w:numPr>
          <w:ilvl w:val="0"/>
          <w:numId w:val="6"/>
        </w:numPr>
        <w:tabs>
          <w:tab w:val="left" w:pos="2064"/>
        </w:tabs>
        <w:spacing w:line="268" w:lineRule="exact"/>
        <w:ind w:hanging="225"/>
      </w:pPr>
      <w:r>
        <w:t>Independence Day - July</w:t>
      </w:r>
      <w:r>
        <w:rPr>
          <w:spacing w:val="-8"/>
        </w:rPr>
        <w:t xml:space="preserve"> </w:t>
      </w:r>
      <w:r>
        <w:t>4</w:t>
      </w:r>
    </w:p>
    <w:p w14:paraId="2BC4E7F9" w14:textId="77777777" w:rsidR="00CA03B4" w:rsidRDefault="00000000">
      <w:pPr>
        <w:pStyle w:val="ListParagraph"/>
        <w:numPr>
          <w:ilvl w:val="0"/>
          <w:numId w:val="6"/>
        </w:numPr>
        <w:tabs>
          <w:tab w:val="left" w:pos="2064"/>
        </w:tabs>
        <w:spacing w:before="4" w:line="268" w:lineRule="exact"/>
        <w:ind w:hanging="225"/>
      </w:pPr>
      <w:r>
        <w:t>Labor Day - First Monday in</w:t>
      </w:r>
      <w:r>
        <w:rPr>
          <w:spacing w:val="-7"/>
        </w:rPr>
        <w:t xml:space="preserve"> </w:t>
      </w:r>
      <w:r>
        <w:t>September</w:t>
      </w:r>
    </w:p>
    <w:p w14:paraId="3C03F4C7" w14:textId="77777777" w:rsidR="00CA03B4" w:rsidRDefault="00000000">
      <w:pPr>
        <w:pStyle w:val="ListParagraph"/>
        <w:numPr>
          <w:ilvl w:val="0"/>
          <w:numId w:val="6"/>
        </w:numPr>
        <w:tabs>
          <w:tab w:val="left" w:pos="2064"/>
        </w:tabs>
        <w:spacing w:line="268" w:lineRule="exact"/>
        <w:ind w:hanging="225"/>
      </w:pPr>
      <w:r>
        <w:t>Alaska Day - October</w:t>
      </w:r>
      <w:r>
        <w:rPr>
          <w:spacing w:val="-2"/>
        </w:rPr>
        <w:t xml:space="preserve"> </w:t>
      </w:r>
      <w:r>
        <w:t>18</w:t>
      </w:r>
    </w:p>
    <w:p w14:paraId="7ED24E68" w14:textId="77777777" w:rsidR="00CA03B4" w:rsidRDefault="00000000">
      <w:pPr>
        <w:pStyle w:val="ListParagraph"/>
        <w:numPr>
          <w:ilvl w:val="0"/>
          <w:numId w:val="6"/>
        </w:numPr>
        <w:tabs>
          <w:tab w:val="left" w:pos="2064"/>
        </w:tabs>
        <w:spacing w:line="268" w:lineRule="exact"/>
        <w:ind w:hanging="225"/>
      </w:pPr>
      <w:r>
        <w:t>Veteran's Day - November</w:t>
      </w:r>
      <w:r>
        <w:rPr>
          <w:spacing w:val="-7"/>
        </w:rPr>
        <w:t xml:space="preserve"> </w:t>
      </w:r>
      <w:r>
        <w:t>11</w:t>
      </w:r>
    </w:p>
    <w:p w14:paraId="6516DCFF" w14:textId="77777777" w:rsidR="00CA03B4" w:rsidRDefault="00000000">
      <w:pPr>
        <w:pStyle w:val="ListParagraph"/>
        <w:numPr>
          <w:ilvl w:val="0"/>
          <w:numId w:val="6"/>
        </w:numPr>
        <w:tabs>
          <w:tab w:val="left" w:pos="2176"/>
        </w:tabs>
        <w:spacing w:line="268" w:lineRule="exact"/>
        <w:ind w:left="2175" w:hanging="337"/>
      </w:pPr>
      <w:r>
        <w:t>Thanksgiving Day - Fourth Thursday in</w:t>
      </w:r>
      <w:r>
        <w:rPr>
          <w:spacing w:val="-11"/>
        </w:rPr>
        <w:t xml:space="preserve"> </w:t>
      </w:r>
      <w:r>
        <w:t>November</w:t>
      </w:r>
    </w:p>
    <w:p w14:paraId="39290E29" w14:textId="77777777" w:rsidR="00CA03B4" w:rsidRDefault="00000000">
      <w:pPr>
        <w:pStyle w:val="ListParagraph"/>
        <w:numPr>
          <w:ilvl w:val="0"/>
          <w:numId w:val="6"/>
        </w:numPr>
        <w:tabs>
          <w:tab w:val="left" w:pos="2176"/>
        </w:tabs>
        <w:spacing w:line="268" w:lineRule="exact"/>
        <w:ind w:left="2175" w:hanging="337"/>
      </w:pPr>
      <w:r>
        <w:t>Christmas Day - December</w:t>
      </w:r>
      <w:r>
        <w:rPr>
          <w:spacing w:val="-3"/>
        </w:rPr>
        <w:t xml:space="preserve"> </w:t>
      </w:r>
      <w:r>
        <w:t>25</w:t>
      </w:r>
    </w:p>
    <w:p w14:paraId="77110778" w14:textId="77777777" w:rsidR="00CA03B4" w:rsidRDefault="00CA03B4">
      <w:pPr>
        <w:spacing w:line="268" w:lineRule="exact"/>
        <w:sectPr w:rsidR="00CA03B4">
          <w:pgSz w:w="12240" w:h="15840"/>
          <w:pgMar w:top="460" w:right="700" w:bottom="600" w:left="860" w:header="0" w:footer="329" w:gutter="0"/>
          <w:cols w:space="720"/>
        </w:sectPr>
      </w:pPr>
    </w:p>
    <w:p w14:paraId="635878DC" w14:textId="77777777" w:rsidR="00CA03B4" w:rsidRDefault="00000000">
      <w:pPr>
        <w:pStyle w:val="ListParagraph"/>
        <w:numPr>
          <w:ilvl w:val="0"/>
          <w:numId w:val="6"/>
        </w:numPr>
        <w:tabs>
          <w:tab w:val="left" w:pos="2192"/>
        </w:tabs>
        <w:spacing w:before="30"/>
        <w:ind w:left="2112" w:right="377" w:hanging="273"/>
      </w:pPr>
      <w:r>
        <w:lastRenderedPageBreak/>
        <w:t>Every day designated by public proclamation by the President of the United States, or the Governor of the state as a legal</w:t>
      </w:r>
      <w:r>
        <w:rPr>
          <w:spacing w:val="-17"/>
        </w:rPr>
        <w:t xml:space="preserve"> </w:t>
      </w:r>
      <w:r>
        <w:t>holiday.</w:t>
      </w:r>
    </w:p>
    <w:p w14:paraId="542169E9" w14:textId="77777777" w:rsidR="00CA03B4" w:rsidRDefault="00CA03B4">
      <w:pPr>
        <w:pStyle w:val="BodyText"/>
        <w:spacing w:before="10"/>
        <w:rPr>
          <w:sz w:val="21"/>
        </w:rPr>
      </w:pPr>
    </w:p>
    <w:p w14:paraId="20E8EF41" w14:textId="77777777" w:rsidR="00CA03B4" w:rsidRDefault="00000000">
      <w:pPr>
        <w:pStyle w:val="BodyText"/>
        <w:spacing w:before="1"/>
        <w:ind w:left="940" w:right="380"/>
        <w:jc w:val="both"/>
      </w:pPr>
      <w:r>
        <w:t>If any holiday listed above falls on a Saturday, Saturday and the preceding Friday are both legal holidays. If the holiday falls on a Sunday, Sunday and the following Monday are both legal holidays.</w:t>
      </w:r>
    </w:p>
    <w:p w14:paraId="232F61C3" w14:textId="77777777" w:rsidR="00CA03B4" w:rsidRDefault="00CA03B4">
      <w:pPr>
        <w:pStyle w:val="BodyText"/>
        <w:spacing w:before="11"/>
        <w:rPr>
          <w:sz w:val="17"/>
        </w:rPr>
      </w:pPr>
    </w:p>
    <w:p w14:paraId="6BC644D0" w14:textId="77777777" w:rsidR="00CA03B4" w:rsidRDefault="00000000">
      <w:pPr>
        <w:pStyle w:val="BodyText"/>
        <w:ind w:left="939" w:right="376"/>
        <w:jc w:val="both"/>
      </w:pPr>
      <w:r>
        <w:t xml:space="preserve">The Contractor is responsible to protect all existing and newly installed work, materials, equipment, improvements, utilities, structures, and vegetation </w:t>
      </w:r>
      <w:proofErr w:type="gramStart"/>
      <w:r>
        <w:t>at all times</w:t>
      </w:r>
      <w:proofErr w:type="gramEnd"/>
      <w:r>
        <w:t xml:space="preserve"> during the course of this contract. Any property or incidentals damage during this contract shall be repaired or replaced to the satisfaction of the user agency. It shall be the sole responsibility of the Contractor performing services for this contract to safeguard their own materials, tools, and equipment. User agency shall not assume any responsibility for vandalism or theft of materials, tools, or equipment.</w:t>
      </w:r>
    </w:p>
    <w:p w14:paraId="304ACAA3" w14:textId="77777777" w:rsidR="00CA03B4" w:rsidRDefault="00CA03B4">
      <w:pPr>
        <w:pStyle w:val="BodyText"/>
      </w:pPr>
    </w:p>
    <w:p w14:paraId="404C986C" w14:textId="77777777" w:rsidR="00CA03B4" w:rsidRDefault="00000000">
      <w:pPr>
        <w:pStyle w:val="ListParagraph"/>
        <w:numPr>
          <w:ilvl w:val="0"/>
          <w:numId w:val="7"/>
        </w:numPr>
        <w:tabs>
          <w:tab w:val="left" w:pos="940"/>
        </w:tabs>
        <w:ind w:left="939" w:right="377"/>
        <w:jc w:val="both"/>
      </w:pPr>
      <w:r>
        <w:t xml:space="preserve">DEMOLITION AND DEBRIS REMOVAL: The Contractor shall be responsible for the removal of all debris from the site and clean affected work areas. The Contractor shall keep the premises free of debris and unusable materials resulting from their work and as work progresses; or upon request by a user agency representative, shall remove such debris and materials from agency property. All affected areas shall be restored to the original or better condition to the satisfaction of the Engineer. No additional charges will be allowed for failure to include all labor that is required for this Work. The Contractor shall provide all refuse containers for the work and be responsible to dispose </w:t>
      </w:r>
      <w:proofErr w:type="spellStart"/>
      <w:r>
        <w:t>off</w:t>
      </w:r>
      <w:proofErr w:type="spellEnd"/>
      <w:r>
        <w:t xml:space="preserve"> site, all waste materials and</w:t>
      </w:r>
      <w:r>
        <w:rPr>
          <w:spacing w:val="-33"/>
        </w:rPr>
        <w:t xml:space="preserve"> </w:t>
      </w:r>
      <w:r>
        <w:t>rubbish.</w:t>
      </w:r>
    </w:p>
    <w:p w14:paraId="55802C78" w14:textId="77777777" w:rsidR="00CA03B4" w:rsidRDefault="00CA03B4">
      <w:pPr>
        <w:pStyle w:val="BodyText"/>
      </w:pPr>
    </w:p>
    <w:p w14:paraId="3136CB24" w14:textId="77777777" w:rsidR="00CA03B4" w:rsidRDefault="00000000">
      <w:pPr>
        <w:pStyle w:val="ListParagraph"/>
        <w:numPr>
          <w:ilvl w:val="0"/>
          <w:numId w:val="7"/>
        </w:numPr>
        <w:tabs>
          <w:tab w:val="left" w:pos="940"/>
        </w:tabs>
        <w:ind w:left="939" w:right="372"/>
        <w:jc w:val="both"/>
      </w:pPr>
      <w:r>
        <w:t>UTILITIES: User agency shall make available all required utilities to the Contractor for work under this contract. This however does not include those utilities to be installed by the Contractor as a part of the scope of work or specification. Accidental interruption(s) caused by the Contractor and repair thereto, shall be at the Contractor’s expense. Planned interruptions under this contract shall be coordinated with the user agency’s office at least one day in advance of the expected interruption. Testing of any audible alarms must occur after regular work</w:t>
      </w:r>
      <w:r>
        <w:rPr>
          <w:spacing w:val="-12"/>
        </w:rPr>
        <w:t xml:space="preserve"> </w:t>
      </w:r>
      <w:r>
        <w:t>hours.</w:t>
      </w:r>
    </w:p>
    <w:p w14:paraId="1E1BEBDD" w14:textId="77777777" w:rsidR="00CA03B4" w:rsidRDefault="00CA03B4">
      <w:pPr>
        <w:pStyle w:val="BodyText"/>
      </w:pPr>
    </w:p>
    <w:p w14:paraId="30343136" w14:textId="77777777" w:rsidR="00CA03B4" w:rsidRDefault="00000000">
      <w:pPr>
        <w:pStyle w:val="ListParagraph"/>
        <w:numPr>
          <w:ilvl w:val="0"/>
          <w:numId w:val="7"/>
        </w:numPr>
        <w:tabs>
          <w:tab w:val="left" w:pos="940"/>
        </w:tabs>
        <w:ind w:right="377" w:hanging="361"/>
        <w:jc w:val="both"/>
      </w:pPr>
      <w:r>
        <w:t>POTENTIALLY HAZARDOUS MATERIALS: If the work to be performed under this contract requires the use of any product which contains any ingredient that could be hazardous or injurious to a person’s health, a Material Safety Data Sheet (MSDS) must be submitted with their bid at the time of the bid opening. The extent of use of the hazardous material may be a factor in the award of the contract. Prior to beginning any work, the Contractor will check with the agency for any known asbestos</w:t>
      </w:r>
      <w:r>
        <w:rPr>
          <w:spacing w:val="-26"/>
        </w:rPr>
        <w:t xml:space="preserve"> </w:t>
      </w:r>
      <w:r>
        <w:t>material.</w:t>
      </w:r>
    </w:p>
    <w:p w14:paraId="5D50B9BC" w14:textId="77777777" w:rsidR="00CA03B4" w:rsidRDefault="00CA03B4">
      <w:pPr>
        <w:pStyle w:val="BodyText"/>
      </w:pPr>
    </w:p>
    <w:p w14:paraId="7CF24852" w14:textId="77777777" w:rsidR="00CA03B4" w:rsidRDefault="00000000">
      <w:pPr>
        <w:pStyle w:val="ListParagraph"/>
        <w:numPr>
          <w:ilvl w:val="0"/>
          <w:numId w:val="7"/>
        </w:numPr>
        <w:tabs>
          <w:tab w:val="left" w:pos="940"/>
        </w:tabs>
        <w:spacing w:before="1"/>
        <w:ind w:left="939" w:right="382"/>
        <w:jc w:val="both"/>
      </w:pPr>
      <w:r>
        <w:t xml:space="preserve">CODES AND STANDARDS: Materials and installation shall comply with the latest editions of codes, laws and ordinances of Federal, </w:t>
      </w:r>
      <w:proofErr w:type="gramStart"/>
      <w:r>
        <w:t>State</w:t>
      </w:r>
      <w:proofErr w:type="gramEnd"/>
      <w:r>
        <w:t xml:space="preserve"> and local governing bodies and authorities having</w:t>
      </w:r>
      <w:r>
        <w:rPr>
          <w:spacing w:val="-30"/>
        </w:rPr>
        <w:t xml:space="preserve"> </w:t>
      </w:r>
      <w:r>
        <w:t>jurisdiction.</w:t>
      </w:r>
    </w:p>
    <w:p w14:paraId="75CD689F" w14:textId="77777777" w:rsidR="00CA03B4" w:rsidRDefault="00CA03B4">
      <w:pPr>
        <w:pStyle w:val="BodyText"/>
        <w:spacing w:before="11"/>
        <w:rPr>
          <w:sz w:val="17"/>
        </w:rPr>
      </w:pPr>
    </w:p>
    <w:p w14:paraId="64339F42" w14:textId="77777777" w:rsidR="00CA03B4" w:rsidRDefault="00000000">
      <w:pPr>
        <w:pStyle w:val="BodyText"/>
        <w:ind w:left="940" w:right="380"/>
        <w:jc w:val="both"/>
      </w:pPr>
      <w:r>
        <w:t>In case of differences between Building Codes, State and Federal laws, local ordinances, utility companies’ regulations and the Contract Documents, the most stringent shall govern.</w:t>
      </w:r>
    </w:p>
    <w:p w14:paraId="2B719ECA" w14:textId="77777777" w:rsidR="00CA03B4" w:rsidRDefault="00CA03B4">
      <w:pPr>
        <w:pStyle w:val="BodyText"/>
        <w:spacing w:before="11"/>
        <w:rPr>
          <w:sz w:val="17"/>
        </w:rPr>
      </w:pPr>
    </w:p>
    <w:p w14:paraId="40E56FDE" w14:textId="77777777" w:rsidR="00CA03B4" w:rsidRDefault="00000000">
      <w:pPr>
        <w:pStyle w:val="BodyText"/>
        <w:ind w:left="940" w:right="372"/>
        <w:jc w:val="both"/>
      </w:pPr>
      <w:r>
        <w:t>All work shall be done in a safe manner and comply with all governing regulations concerning safety. Adequate barricades shall be erected and maintained around all areas where equipment and materials are stored and used. All work being performed for and/or on user agency property shall fully conform to all local, state, and Federal safety</w:t>
      </w:r>
      <w:r>
        <w:rPr>
          <w:spacing w:val="-11"/>
        </w:rPr>
        <w:t xml:space="preserve"> </w:t>
      </w:r>
      <w:r>
        <w:t>regulations.</w:t>
      </w:r>
    </w:p>
    <w:p w14:paraId="3D01723D" w14:textId="77777777" w:rsidR="00CA03B4" w:rsidRDefault="00CA03B4">
      <w:pPr>
        <w:pStyle w:val="BodyText"/>
        <w:spacing w:before="1"/>
      </w:pPr>
    </w:p>
    <w:p w14:paraId="7B8858C9" w14:textId="77777777" w:rsidR="00CA03B4" w:rsidRDefault="00000000">
      <w:pPr>
        <w:pStyle w:val="ListParagraph"/>
        <w:numPr>
          <w:ilvl w:val="0"/>
          <w:numId w:val="7"/>
        </w:numPr>
        <w:tabs>
          <w:tab w:val="left" w:pos="940"/>
        </w:tabs>
        <w:spacing w:before="1"/>
        <w:ind w:left="939" w:right="373"/>
        <w:jc w:val="both"/>
      </w:pPr>
      <w:r>
        <w:t xml:space="preserve">TEMPORARY SUSPENSION OF WORK: During the progress of any work, the Contractor may suspend work via written permission of the user agency wholly or in part, for such period or periods as the user agency may deem necessary, due to unsuitable weather, or such other conditions as are considered unfavorable for the suitable progression of the work. If it should become necessary to stop work for an indefinite period, the Contractor shall store all materials in such manner that they will not obstruct or impede the public unnecessarily, nor become damaged </w:t>
      </w:r>
      <w:r>
        <w:rPr>
          <w:spacing w:val="-3"/>
        </w:rPr>
        <w:t xml:space="preserve">in </w:t>
      </w:r>
      <w:r>
        <w:t xml:space="preserve">any way, and they shall take every precaution to prevent damage or deterioration of the work already performed. When conditions warrant resumption of </w:t>
      </w:r>
      <w:proofErr w:type="gramStart"/>
      <w:r>
        <w:t>work  on</w:t>
      </w:r>
      <w:proofErr w:type="gramEnd"/>
      <w:r>
        <w:t xml:space="preserve"> the project, the Contractor shall notify the user agency 24 hours in advance and shall proceed with the work only when and if authority is granted by the user agency. Any work performed without approval by the</w:t>
      </w:r>
      <w:r>
        <w:rPr>
          <w:spacing w:val="-4"/>
        </w:rPr>
        <w:t xml:space="preserve"> </w:t>
      </w:r>
      <w:r>
        <w:t>user</w:t>
      </w:r>
      <w:r>
        <w:rPr>
          <w:spacing w:val="-3"/>
        </w:rPr>
        <w:t xml:space="preserve"> </w:t>
      </w:r>
      <w:r>
        <w:t>agency</w:t>
      </w:r>
      <w:r>
        <w:rPr>
          <w:spacing w:val="1"/>
        </w:rPr>
        <w:t xml:space="preserve"> </w:t>
      </w:r>
      <w:r>
        <w:t>will</w:t>
      </w:r>
      <w:r>
        <w:rPr>
          <w:spacing w:val="-4"/>
        </w:rPr>
        <w:t xml:space="preserve"> </w:t>
      </w:r>
      <w:r>
        <w:t>be</w:t>
      </w:r>
      <w:r>
        <w:rPr>
          <w:spacing w:val="1"/>
        </w:rPr>
        <w:t xml:space="preserve"> </w:t>
      </w:r>
      <w:r>
        <w:t>at</w:t>
      </w:r>
      <w:r>
        <w:rPr>
          <w:spacing w:val="-4"/>
        </w:rPr>
        <w:t xml:space="preserve"> </w:t>
      </w:r>
      <w:r>
        <w:t>the contractor’s</w:t>
      </w:r>
      <w:r>
        <w:rPr>
          <w:spacing w:val="-3"/>
        </w:rPr>
        <w:t xml:space="preserve"> </w:t>
      </w:r>
      <w:r>
        <w:t>risk,</w:t>
      </w:r>
      <w:r>
        <w:rPr>
          <w:spacing w:val="-5"/>
        </w:rPr>
        <w:t xml:space="preserve"> </w:t>
      </w:r>
      <w:r>
        <w:t>and</w:t>
      </w:r>
      <w:r>
        <w:rPr>
          <w:spacing w:val="-1"/>
        </w:rPr>
        <w:t xml:space="preserve"> </w:t>
      </w:r>
      <w:r>
        <w:t>he</w:t>
      </w:r>
      <w:r>
        <w:rPr>
          <w:spacing w:val="-4"/>
        </w:rPr>
        <w:t xml:space="preserve"> </w:t>
      </w:r>
      <w:r>
        <w:t>shall</w:t>
      </w:r>
      <w:r>
        <w:rPr>
          <w:spacing w:val="-3"/>
        </w:rPr>
        <w:t xml:space="preserve"> </w:t>
      </w:r>
      <w:r>
        <w:t>be</w:t>
      </w:r>
      <w:r>
        <w:rPr>
          <w:spacing w:val="-4"/>
        </w:rPr>
        <w:t xml:space="preserve"> </w:t>
      </w:r>
      <w:r>
        <w:t>held</w:t>
      </w:r>
      <w:r>
        <w:rPr>
          <w:spacing w:val="-2"/>
        </w:rPr>
        <w:t xml:space="preserve"> </w:t>
      </w:r>
      <w:r>
        <w:t>liable</w:t>
      </w:r>
      <w:r>
        <w:rPr>
          <w:spacing w:val="1"/>
        </w:rPr>
        <w:t xml:space="preserve"> </w:t>
      </w:r>
      <w:r>
        <w:t>for</w:t>
      </w:r>
      <w:r>
        <w:rPr>
          <w:spacing w:val="-3"/>
        </w:rPr>
        <w:t xml:space="preserve"> </w:t>
      </w:r>
      <w:r>
        <w:t>removal</w:t>
      </w:r>
      <w:r>
        <w:rPr>
          <w:spacing w:val="-3"/>
        </w:rPr>
        <w:t xml:space="preserve"> </w:t>
      </w:r>
      <w:r>
        <w:t>of</w:t>
      </w:r>
      <w:r>
        <w:rPr>
          <w:spacing w:val="-1"/>
        </w:rPr>
        <w:t xml:space="preserve"> </w:t>
      </w:r>
      <w:r>
        <w:t>any</w:t>
      </w:r>
      <w:r>
        <w:rPr>
          <w:spacing w:val="-3"/>
        </w:rPr>
        <w:t xml:space="preserve"> </w:t>
      </w:r>
      <w:r>
        <w:t>such</w:t>
      </w:r>
      <w:r>
        <w:rPr>
          <w:spacing w:val="-2"/>
        </w:rPr>
        <w:t xml:space="preserve"> </w:t>
      </w:r>
      <w:r>
        <w:t>work.</w:t>
      </w:r>
    </w:p>
    <w:p w14:paraId="38C313ED" w14:textId="77777777" w:rsidR="00CA03B4" w:rsidRDefault="00CA03B4">
      <w:pPr>
        <w:jc w:val="both"/>
        <w:sectPr w:rsidR="00CA03B4">
          <w:pgSz w:w="12240" w:h="15840"/>
          <w:pgMar w:top="420" w:right="700" w:bottom="600" w:left="860" w:header="0" w:footer="329" w:gutter="0"/>
          <w:cols w:space="720"/>
        </w:sectPr>
      </w:pPr>
    </w:p>
    <w:p w14:paraId="2EE03D25" w14:textId="77777777" w:rsidR="00CA03B4" w:rsidRDefault="00000000">
      <w:pPr>
        <w:pStyle w:val="ListParagraph"/>
        <w:numPr>
          <w:ilvl w:val="0"/>
          <w:numId w:val="7"/>
        </w:numPr>
        <w:tabs>
          <w:tab w:val="left" w:pos="940"/>
        </w:tabs>
        <w:spacing w:before="38"/>
        <w:ind w:left="939" w:right="374"/>
        <w:jc w:val="both"/>
      </w:pPr>
      <w:r>
        <w:lastRenderedPageBreak/>
        <w:t xml:space="preserve">SERVICE CONTRACT DEFICIENCIES: The Contractor's failure to provide goods or service required by this contract will be grounds for the state to issue a Service Deficiency Claim (SDC) to the Contractor. The SDC will be provided to the Contractor in writing. The Contractor will advise the state, in writing, of the corrective action being taken. If a deficiency is not corrected within seven (7) working days from the time it is issued, the state may issue another SDC and procure, from another Contractor, the </w:t>
      </w:r>
      <w:proofErr w:type="gramStart"/>
      <w:r>
        <w:t>goods</w:t>
      </w:r>
      <w:proofErr w:type="gramEnd"/>
      <w:r>
        <w:t xml:space="preserve"> or services necessary to correct the problem. The Contractor will be obligated to reimburse the state for the amount required to correct the</w:t>
      </w:r>
      <w:r>
        <w:rPr>
          <w:spacing w:val="-9"/>
        </w:rPr>
        <w:t xml:space="preserve"> </w:t>
      </w:r>
      <w:r>
        <w:t>problem.</w:t>
      </w:r>
    </w:p>
    <w:p w14:paraId="6B968A4F" w14:textId="77777777" w:rsidR="00CA03B4" w:rsidRDefault="00CA03B4">
      <w:pPr>
        <w:pStyle w:val="BodyText"/>
        <w:rPr>
          <w:sz w:val="18"/>
        </w:rPr>
      </w:pPr>
    </w:p>
    <w:p w14:paraId="0944D8B0" w14:textId="77777777" w:rsidR="00CA03B4" w:rsidRDefault="00000000">
      <w:pPr>
        <w:pStyle w:val="BodyText"/>
        <w:spacing w:before="1"/>
        <w:ind w:left="940" w:right="380" w:hanging="1"/>
        <w:jc w:val="both"/>
      </w:pPr>
      <w:r>
        <w:t>If a Contractor gets more than two (2) substantiated SDCs in a 30-day period or a total of five (5) substantiated SDCs in a 90-day period, it will be grounds for the state to declare the Contractor in default.</w:t>
      </w:r>
    </w:p>
    <w:p w14:paraId="31397F47" w14:textId="77777777" w:rsidR="00CA03B4" w:rsidRDefault="00CA03B4">
      <w:pPr>
        <w:pStyle w:val="BodyText"/>
        <w:spacing w:before="10"/>
        <w:rPr>
          <w:sz w:val="21"/>
        </w:rPr>
      </w:pPr>
    </w:p>
    <w:p w14:paraId="05D48822" w14:textId="77777777" w:rsidR="00CA03B4" w:rsidRDefault="00000000">
      <w:pPr>
        <w:pStyle w:val="ListParagraph"/>
        <w:numPr>
          <w:ilvl w:val="0"/>
          <w:numId w:val="7"/>
        </w:numPr>
        <w:tabs>
          <w:tab w:val="left" w:pos="940"/>
        </w:tabs>
        <w:ind w:left="939" w:right="375"/>
        <w:jc w:val="both"/>
      </w:pPr>
      <w:r>
        <w:t xml:space="preserve">CONTRACT PRICING: </w:t>
      </w:r>
      <w:proofErr w:type="gramStart"/>
      <w:r>
        <w:t>Man</w:t>
      </w:r>
      <w:proofErr w:type="gramEnd"/>
      <w:r>
        <w:t xml:space="preserve"> hours paid under this contract shall be only for hours at the job site. Hourly rates entered on the Contractors Bid must include all incidental costs such as, but not limited to, estimates, office support, insurance, tools, equipment, transportation, contractor overhead, required permits,</w:t>
      </w:r>
      <w:r>
        <w:rPr>
          <w:spacing w:val="-5"/>
        </w:rPr>
        <w:t xml:space="preserve"> </w:t>
      </w:r>
      <w:r>
        <w:t>and</w:t>
      </w:r>
      <w:r>
        <w:rPr>
          <w:spacing w:val="-1"/>
        </w:rPr>
        <w:t xml:space="preserve"> </w:t>
      </w:r>
      <w:r>
        <w:t>profit.</w:t>
      </w:r>
      <w:r>
        <w:rPr>
          <w:spacing w:val="-5"/>
        </w:rPr>
        <w:t xml:space="preserve"> </w:t>
      </w:r>
      <w:r>
        <w:t>There</w:t>
      </w:r>
      <w:r>
        <w:rPr>
          <w:spacing w:val="-3"/>
        </w:rPr>
        <w:t xml:space="preserve"> </w:t>
      </w:r>
      <w:r>
        <w:t>shall</w:t>
      </w:r>
      <w:r>
        <w:rPr>
          <w:spacing w:val="-4"/>
        </w:rPr>
        <w:t xml:space="preserve"> </w:t>
      </w:r>
      <w:r>
        <w:t>be</w:t>
      </w:r>
      <w:r>
        <w:rPr>
          <w:spacing w:val="-3"/>
        </w:rPr>
        <w:t xml:space="preserve"> </w:t>
      </w:r>
      <w:r>
        <w:t>no</w:t>
      </w:r>
      <w:r>
        <w:rPr>
          <w:spacing w:val="-1"/>
        </w:rPr>
        <w:t xml:space="preserve"> </w:t>
      </w:r>
      <w:r>
        <w:t>additional</w:t>
      </w:r>
      <w:r>
        <w:rPr>
          <w:spacing w:val="-4"/>
        </w:rPr>
        <w:t xml:space="preserve"> </w:t>
      </w:r>
      <w:r>
        <w:t>charges</w:t>
      </w:r>
      <w:r>
        <w:rPr>
          <w:spacing w:val="-3"/>
        </w:rPr>
        <w:t xml:space="preserve"> </w:t>
      </w:r>
      <w:r>
        <w:t>for</w:t>
      </w:r>
      <w:r>
        <w:rPr>
          <w:spacing w:val="-3"/>
        </w:rPr>
        <w:t xml:space="preserve"> </w:t>
      </w:r>
      <w:r>
        <w:t>basic</w:t>
      </w:r>
      <w:r>
        <w:rPr>
          <w:spacing w:val="-4"/>
        </w:rPr>
        <w:t xml:space="preserve"> </w:t>
      </w:r>
      <w:r>
        <w:t xml:space="preserve">tools, </w:t>
      </w:r>
      <w:proofErr w:type="gramStart"/>
      <w:r>
        <w:t>equipment</w:t>
      </w:r>
      <w:proofErr w:type="gramEnd"/>
      <w:r>
        <w:rPr>
          <w:spacing w:val="-4"/>
        </w:rPr>
        <w:t xml:space="preserve"> </w:t>
      </w:r>
      <w:r>
        <w:t>and</w:t>
      </w:r>
      <w:r>
        <w:rPr>
          <w:spacing w:val="-1"/>
        </w:rPr>
        <w:t xml:space="preserve"> </w:t>
      </w:r>
      <w:r>
        <w:t>shop</w:t>
      </w:r>
      <w:r>
        <w:rPr>
          <w:spacing w:val="-2"/>
        </w:rPr>
        <w:t xml:space="preserve"> </w:t>
      </w:r>
      <w:r>
        <w:t>supplies.</w:t>
      </w:r>
    </w:p>
    <w:p w14:paraId="457742D0" w14:textId="77777777" w:rsidR="00CA03B4" w:rsidRDefault="00CA03B4">
      <w:pPr>
        <w:pStyle w:val="BodyText"/>
        <w:spacing w:before="10"/>
        <w:rPr>
          <w:sz w:val="17"/>
        </w:rPr>
      </w:pPr>
    </w:p>
    <w:p w14:paraId="0B4B03D3" w14:textId="77777777" w:rsidR="00CA03B4" w:rsidRDefault="00000000">
      <w:pPr>
        <w:pStyle w:val="BodyText"/>
        <w:ind w:left="939" w:right="374"/>
        <w:jc w:val="both"/>
      </w:pPr>
      <w:r>
        <w:t>Material prices shall be based on the posted Suggested Retail Price List. One bid price percentage will be offered for all Manufacturer’s Price Lists. Bid prices shall be a percentage (in minimum increments of one tenth of a percent) that will be deducted from (discount), or added to (mark-up), or no (zero)</w:t>
      </w:r>
      <w:r>
        <w:rPr>
          <w:u w:val="single"/>
        </w:rPr>
        <w:t xml:space="preserve"> discount or</w:t>
      </w:r>
      <w:r>
        <w:t xml:space="preserve"> </w:t>
      </w:r>
      <w:r>
        <w:rPr>
          <w:u w:val="single"/>
        </w:rPr>
        <w:t>markup, deducted from or added to,</w:t>
      </w:r>
      <w:r>
        <w:t xml:space="preserve"> the most current price list. No additional charges will be allowed.</w:t>
      </w:r>
    </w:p>
    <w:p w14:paraId="57DE7C75" w14:textId="77777777" w:rsidR="00CA03B4" w:rsidRDefault="00CA03B4">
      <w:pPr>
        <w:pStyle w:val="BodyText"/>
        <w:spacing w:before="8"/>
        <w:rPr>
          <w:sz w:val="13"/>
        </w:rPr>
      </w:pPr>
    </w:p>
    <w:p w14:paraId="0D59874C" w14:textId="77777777" w:rsidR="00CA03B4" w:rsidRDefault="00000000">
      <w:pPr>
        <w:pStyle w:val="BodyText"/>
        <w:spacing w:before="56"/>
        <w:ind w:left="939" w:right="381"/>
        <w:jc w:val="both"/>
      </w:pPr>
      <w:r>
        <w:t>Rentals of trucks, lifts, power scaffolds, digging equipment and major specialized tools is permissible when required and agreed upon by both parties. Rentals shall be billed to the user agency at Contractor cost and listed on the invoice on a separate</w:t>
      </w:r>
      <w:r>
        <w:rPr>
          <w:spacing w:val="-15"/>
        </w:rPr>
        <w:t xml:space="preserve"> </w:t>
      </w:r>
      <w:r>
        <w:t>line.</w:t>
      </w:r>
    </w:p>
    <w:p w14:paraId="3EA82C93" w14:textId="77777777" w:rsidR="00CA03B4" w:rsidRDefault="00CA03B4">
      <w:pPr>
        <w:pStyle w:val="BodyText"/>
        <w:spacing w:before="10"/>
        <w:rPr>
          <w:sz w:val="17"/>
        </w:rPr>
      </w:pPr>
    </w:p>
    <w:p w14:paraId="54C2E58F" w14:textId="77777777" w:rsidR="00CA03B4" w:rsidRDefault="00000000">
      <w:pPr>
        <w:pStyle w:val="BodyText"/>
        <w:ind w:left="939" w:right="379"/>
        <w:jc w:val="both"/>
      </w:pPr>
      <w:r>
        <w:t>Subcontractor costs will be paid at the Contractor’s hourly rates submitted on the Bid Sheet. Upon request, Contractor shall supply invoice copies from suppliers and subcontractors.</w:t>
      </w:r>
    </w:p>
    <w:p w14:paraId="53ED76D7" w14:textId="77777777" w:rsidR="00CA03B4" w:rsidRDefault="00CA03B4">
      <w:pPr>
        <w:pStyle w:val="BodyText"/>
        <w:spacing w:before="2"/>
      </w:pPr>
    </w:p>
    <w:p w14:paraId="57F4F26A" w14:textId="77777777" w:rsidR="00CA03B4" w:rsidRDefault="00000000">
      <w:pPr>
        <w:pStyle w:val="ListParagraph"/>
        <w:numPr>
          <w:ilvl w:val="0"/>
          <w:numId w:val="7"/>
        </w:numPr>
        <w:tabs>
          <w:tab w:val="left" w:pos="940"/>
        </w:tabs>
        <w:spacing w:before="1"/>
        <w:ind w:right="377" w:hanging="361"/>
        <w:jc w:val="both"/>
      </w:pPr>
      <w:r>
        <w:t>CONTRACTOR SELECTION PROCESS: Once the contracts are established this selection process will be used. On all projects, the using agency will contact the highest ranked contractor first. If, for any reason, the lowest contractor is not available to perform the needed service, the using agency will contact the next ranked contractor for that location. This process will continue until a contractor who can perform the service is located. On complex projects, the using agency can choose to solicit bids from one, two or all three of the contractors that are selected for this</w:t>
      </w:r>
      <w:r>
        <w:rPr>
          <w:spacing w:val="-18"/>
        </w:rPr>
        <w:t xml:space="preserve"> </w:t>
      </w:r>
      <w:r>
        <w:t>contract.</w:t>
      </w:r>
    </w:p>
    <w:p w14:paraId="6B04C451" w14:textId="77777777" w:rsidR="00CA03B4" w:rsidRDefault="00CA03B4">
      <w:pPr>
        <w:pStyle w:val="BodyText"/>
      </w:pPr>
    </w:p>
    <w:p w14:paraId="30EC4246" w14:textId="77777777" w:rsidR="00CA03B4" w:rsidRDefault="00000000">
      <w:pPr>
        <w:pStyle w:val="ListParagraph"/>
        <w:numPr>
          <w:ilvl w:val="0"/>
          <w:numId w:val="7"/>
        </w:numPr>
        <w:tabs>
          <w:tab w:val="left" w:pos="940"/>
        </w:tabs>
        <w:spacing w:line="268" w:lineRule="exact"/>
        <w:jc w:val="both"/>
      </w:pPr>
      <w:r>
        <w:t>LOCATION OF WORK: The Location(s) work is to be performed are within the following six (6)</w:t>
      </w:r>
      <w:r>
        <w:rPr>
          <w:spacing w:val="-21"/>
        </w:rPr>
        <w:t xml:space="preserve"> </w:t>
      </w:r>
      <w:r>
        <w:t>zones:</w:t>
      </w:r>
    </w:p>
    <w:p w14:paraId="72B7522A" w14:textId="77777777" w:rsidR="00CA03B4" w:rsidRDefault="00000000">
      <w:pPr>
        <w:pStyle w:val="ListParagraph"/>
        <w:numPr>
          <w:ilvl w:val="0"/>
          <w:numId w:val="5"/>
        </w:numPr>
        <w:tabs>
          <w:tab w:val="left" w:pos="1392"/>
        </w:tabs>
        <w:ind w:right="373"/>
        <w:jc w:val="both"/>
      </w:pPr>
      <w:r>
        <w:rPr>
          <w:u w:val="single"/>
        </w:rPr>
        <w:t>Northern Zone</w:t>
      </w:r>
      <w:r>
        <w:t xml:space="preserve"> – Includes Fairbanks and all the surrounding communities accessible by roadway within a 40-mile radius of</w:t>
      </w:r>
      <w:r>
        <w:rPr>
          <w:spacing w:val="-14"/>
        </w:rPr>
        <w:t xml:space="preserve"> </w:t>
      </w:r>
      <w:r>
        <w:t>Fairbanks.</w:t>
      </w:r>
    </w:p>
    <w:p w14:paraId="7DD8142F" w14:textId="77777777" w:rsidR="00CA03B4" w:rsidRDefault="00000000">
      <w:pPr>
        <w:pStyle w:val="ListParagraph"/>
        <w:numPr>
          <w:ilvl w:val="0"/>
          <w:numId w:val="5"/>
        </w:numPr>
        <w:tabs>
          <w:tab w:val="left" w:pos="1392"/>
        </w:tabs>
        <w:ind w:left="1391" w:right="377"/>
        <w:jc w:val="both"/>
      </w:pPr>
      <w:r>
        <w:rPr>
          <w:u w:val="single"/>
        </w:rPr>
        <w:t>Central Zone</w:t>
      </w:r>
      <w:r>
        <w:t xml:space="preserve"> – Includes Anchorage and all the surrounding communities that are accessible by roadway within a 40-mile radius of Anchorage. Areas on the Mat-</w:t>
      </w:r>
      <w:proofErr w:type="spellStart"/>
      <w:r>
        <w:t>Su</w:t>
      </w:r>
      <w:proofErr w:type="spellEnd"/>
      <w:r>
        <w:t xml:space="preserve"> Valley side of the Knik River Bridge and the Kenai Peninsula side of Turnagain Arm are excluded from this</w:t>
      </w:r>
      <w:r>
        <w:rPr>
          <w:spacing w:val="-30"/>
        </w:rPr>
        <w:t xml:space="preserve"> </w:t>
      </w:r>
      <w:r>
        <w:t>zone.</w:t>
      </w:r>
    </w:p>
    <w:p w14:paraId="658B43E3" w14:textId="77777777" w:rsidR="00CA03B4" w:rsidRDefault="00000000">
      <w:pPr>
        <w:pStyle w:val="ListParagraph"/>
        <w:numPr>
          <w:ilvl w:val="0"/>
          <w:numId w:val="5"/>
        </w:numPr>
        <w:tabs>
          <w:tab w:val="left" w:pos="1392"/>
        </w:tabs>
        <w:spacing w:line="242" w:lineRule="auto"/>
        <w:ind w:right="373"/>
        <w:jc w:val="both"/>
      </w:pPr>
      <w:r>
        <w:rPr>
          <w:u w:val="single"/>
        </w:rPr>
        <w:t>Mat-</w:t>
      </w:r>
      <w:proofErr w:type="spellStart"/>
      <w:r>
        <w:rPr>
          <w:u w:val="single"/>
        </w:rPr>
        <w:t>Su</w:t>
      </w:r>
      <w:proofErr w:type="spellEnd"/>
      <w:r>
        <w:rPr>
          <w:u w:val="single"/>
        </w:rPr>
        <w:t xml:space="preserve"> Valley Zone</w:t>
      </w:r>
      <w:r>
        <w:t xml:space="preserve"> – Includes all the cities and towns in the Matanuska-Susitna Borough that are accessible by roadway within a 40-mile radius of Wasilla. Areas on the Anchorage side of the Knik River Bridge are excluded from this</w:t>
      </w:r>
      <w:r>
        <w:rPr>
          <w:spacing w:val="-9"/>
        </w:rPr>
        <w:t xml:space="preserve"> </w:t>
      </w:r>
      <w:r>
        <w:t>Zone.</w:t>
      </w:r>
    </w:p>
    <w:p w14:paraId="2AB83C33" w14:textId="77777777" w:rsidR="00CA03B4" w:rsidRDefault="00000000">
      <w:pPr>
        <w:pStyle w:val="ListParagraph"/>
        <w:numPr>
          <w:ilvl w:val="0"/>
          <w:numId w:val="5"/>
        </w:numPr>
        <w:tabs>
          <w:tab w:val="left" w:pos="1392"/>
        </w:tabs>
        <w:ind w:right="372"/>
        <w:jc w:val="both"/>
      </w:pPr>
      <w:r>
        <w:rPr>
          <w:u w:val="single"/>
        </w:rPr>
        <w:t>Kenai Peninsula Zone</w:t>
      </w:r>
      <w:r>
        <w:t xml:space="preserve"> – Includes Kenai and all the surrounding communities accessible by roadway within a 40-mile radius of Kenai. Areas on the Anchorage side of Turnagain Arm are excluded from this</w:t>
      </w:r>
      <w:r>
        <w:rPr>
          <w:spacing w:val="-3"/>
        </w:rPr>
        <w:t xml:space="preserve"> </w:t>
      </w:r>
      <w:r>
        <w:t>Zone.</w:t>
      </w:r>
    </w:p>
    <w:p w14:paraId="78EA371B" w14:textId="77777777" w:rsidR="00CA03B4" w:rsidRDefault="00000000">
      <w:pPr>
        <w:pStyle w:val="ListParagraph"/>
        <w:numPr>
          <w:ilvl w:val="0"/>
          <w:numId w:val="5"/>
        </w:numPr>
        <w:tabs>
          <w:tab w:val="left" w:pos="1392"/>
        </w:tabs>
        <w:spacing w:line="267" w:lineRule="exact"/>
        <w:jc w:val="both"/>
      </w:pPr>
      <w:r>
        <w:rPr>
          <w:u w:val="single"/>
        </w:rPr>
        <w:t>Capital Zone</w:t>
      </w:r>
      <w:r>
        <w:t xml:space="preserve"> – Includes any area on the road system within the city and borough of</w:t>
      </w:r>
      <w:r>
        <w:rPr>
          <w:spacing w:val="-28"/>
        </w:rPr>
        <w:t xml:space="preserve"> </w:t>
      </w:r>
      <w:r>
        <w:t>Juneau.</w:t>
      </w:r>
    </w:p>
    <w:p w14:paraId="4C510B0E" w14:textId="77777777" w:rsidR="00CA03B4" w:rsidRDefault="00000000">
      <w:pPr>
        <w:pStyle w:val="ListParagraph"/>
        <w:numPr>
          <w:ilvl w:val="0"/>
          <w:numId w:val="5"/>
        </w:numPr>
        <w:tabs>
          <w:tab w:val="left" w:pos="1392"/>
        </w:tabs>
        <w:spacing w:line="268" w:lineRule="exact"/>
        <w:ind w:left="1391"/>
        <w:jc w:val="both"/>
      </w:pPr>
      <w:r>
        <w:rPr>
          <w:u w:val="single"/>
        </w:rPr>
        <w:t>Ketchikan Zone</w:t>
      </w:r>
      <w:r>
        <w:t xml:space="preserve"> – Includes any area on the road system within the Ketchikan Gateway</w:t>
      </w:r>
      <w:r>
        <w:rPr>
          <w:spacing w:val="-30"/>
        </w:rPr>
        <w:t xml:space="preserve"> </w:t>
      </w:r>
      <w:r>
        <w:t>Borough.</w:t>
      </w:r>
    </w:p>
    <w:p w14:paraId="5C2208DA" w14:textId="77777777" w:rsidR="00CA03B4" w:rsidRDefault="00CA03B4">
      <w:pPr>
        <w:pStyle w:val="BodyText"/>
        <w:spacing w:before="4"/>
        <w:rPr>
          <w:sz w:val="11"/>
        </w:rPr>
      </w:pPr>
    </w:p>
    <w:p w14:paraId="20BA7B33" w14:textId="77777777" w:rsidR="00CA03B4" w:rsidRDefault="00000000">
      <w:pPr>
        <w:pStyle w:val="BodyText"/>
        <w:spacing w:before="56"/>
        <w:ind w:left="940" w:right="379"/>
      </w:pPr>
      <w:r>
        <w:t>Contractors must have a physical location (street address) with staff permanently located within each zone bid.</w:t>
      </w:r>
    </w:p>
    <w:p w14:paraId="2D150B80" w14:textId="77777777" w:rsidR="00CA03B4" w:rsidRDefault="00CA03B4">
      <w:pPr>
        <w:pStyle w:val="BodyText"/>
        <w:spacing w:before="3"/>
        <w:rPr>
          <w:sz w:val="16"/>
        </w:rPr>
      </w:pPr>
    </w:p>
    <w:p w14:paraId="1B66FB47" w14:textId="77777777" w:rsidR="00CA03B4" w:rsidRDefault="00000000">
      <w:pPr>
        <w:pStyle w:val="BodyText"/>
        <w:spacing w:before="1"/>
        <w:ind w:left="940" w:right="362"/>
      </w:pPr>
      <w:r>
        <w:t>Contractors will be responsible for servicing all participating State agencies within the location of award at no additional charge, regardless of size.</w:t>
      </w:r>
    </w:p>
    <w:p w14:paraId="58C29B19" w14:textId="77777777" w:rsidR="00CA03B4" w:rsidRDefault="00CA03B4">
      <w:pPr>
        <w:sectPr w:rsidR="00CA03B4">
          <w:pgSz w:w="12240" w:h="15840"/>
          <w:pgMar w:top="680" w:right="700" w:bottom="600" w:left="860" w:header="0" w:footer="329" w:gutter="0"/>
          <w:cols w:space="720"/>
        </w:sectPr>
      </w:pPr>
    </w:p>
    <w:p w14:paraId="3CC4F2C9" w14:textId="77777777" w:rsidR="00CA03B4" w:rsidRDefault="00000000">
      <w:pPr>
        <w:pStyle w:val="BodyText"/>
        <w:spacing w:before="30"/>
        <w:ind w:left="939" w:right="377"/>
        <w:jc w:val="both"/>
      </w:pPr>
      <w:r>
        <w:lastRenderedPageBreak/>
        <w:t>There may be occasion when a governmental entity listed above may request a quote for electrical services outside of the six (6) defined zones. If the work request is outside of the six (6) zones, the governmental agency will request a lump sum quote from the Contractor for a specific scope of work which may include but not limited to: labor (at the prevailing rates offered herein) materials, licensing, permits, insurance, parts, equipment, and travel to and from the remote location. Contractor shall be required to use the same hourly labor rates as offered in their bids.</w:t>
      </w:r>
    </w:p>
    <w:p w14:paraId="6AA2E7A7" w14:textId="77777777" w:rsidR="00CA03B4" w:rsidRDefault="00000000">
      <w:pPr>
        <w:pStyle w:val="BodyText"/>
        <w:spacing w:before="197"/>
        <w:ind w:left="939" w:right="373"/>
        <w:jc w:val="both"/>
      </w:pPr>
      <w:r>
        <w:t>Contractors willing to perform services outside the defined zones must indicate on their bids. The state will reimburse approved travel, lodging, and meals costs associated with the project. The contractor will provide documentation (</w:t>
      </w:r>
      <w:proofErr w:type="gramStart"/>
      <w:r>
        <w:t>i.e.</w:t>
      </w:r>
      <w:proofErr w:type="gramEnd"/>
      <w:r>
        <w:t xml:space="preserve"> receipts, canceled tickets, invoices) supporting any travel and transportation claims to the state. All travel and travel related expenses must be preapproved in writing by the purchasing agency. The Contractor will not be reimbursed for any travel or transportation expenses not preapproved in writing by the purchasing agency. Cost will not to exceed the rate applicable to State employees for the geographical area in which assigned. If the state provides meals but not lodging or lodging but not meals, the allowance will be adjusted per the current state per diem policy.</w:t>
      </w:r>
    </w:p>
    <w:p w14:paraId="069DDB52" w14:textId="77777777" w:rsidR="00CA03B4" w:rsidRDefault="00CA03B4">
      <w:pPr>
        <w:pStyle w:val="BodyText"/>
        <w:spacing w:before="4"/>
        <w:rPr>
          <w:sz w:val="16"/>
        </w:rPr>
      </w:pPr>
    </w:p>
    <w:p w14:paraId="70F3909C" w14:textId="77777777" w:rsidR="00CA03B4" w:rsidRDefault="00000000">
      <w:pPr>
        <w:pStyle w:val="ListParagraph"/>
        <w:numPr>
          <w:ilvl w:val="0"/>
          <w:numId w:val="7"/>
        </w:numPr>
        <w:tabs>
          <w:tab w:val="left" w:pos="940"/>
        </w:tabs>
        <w:spacing w:line="242" w:lineRule="auto"/>
        <w:ind w:left="939" w:right="382"/>
        <w:jc w:val="both"/>
      </w:pPr>
      <w:r>
        <w:t>QUALIFICATIONS: Contractors shall have a minimum of five years’ experience in providing the full range of commercial electrical services described</w:t>
      </w:r>
      <w:r>
        <w:rPr>
          <w:spacing w:val="-7"/>
        </w:rPr>
        <w:t xml:space="preserve"> </w:t>
      </w:r>
      <w:r>
        <w:t>herein.</w:t>
      </w:r>
    </w:p>
    <w:p w14:paraId="4AFF96E0" w14:textId="77777777" w:rsidR="00CA03B4" w:rsidRDefault="00CA03B4">
      <w:pPr>
        <w:pStyle w:val="BodyText"/>
        <w:spacing w:before="9"/>
        <w:rPr>
          <w:sz w:val="21"/>
        </w:rPr>
      </w:pPr>
    </w:p>
    <w:p w14:paraId="4A4BDFEC" w14:textId="77777777" w:rsidR="00CA03B4" w:rsidRDefault="00000000">
      <w:pPr>
        <w:pStyle w:val="ListParagraph"/>
        <w:numPr>
          <w:ilvl w:val="0"/>
          <w:numId w:val="7"/>
        </w:numPr>
        <w:tabs>
          <w:tab w:val="left" w:pos="940"/>
        </w:tabs>
        <w:ind w:right="377" w:hanging="361"/>
        <w:jc w:val="both"/>
      </w:pPr>
      <w:r>
        <w:t>SUBCONTRACTORS: Within five (5) working days of notice from the state, the apparent low bidder must submit a list of the subcontractors that will be used in the performance of the contract. The list must include the name of each subcontractor and the location of the place of business for each subcontractor and evidence of each subcontractor's valid Alaska business</w:t>
      </w:r>
      <w:r>
        <w:rPr>
          <w:spacing w:val="-17"/>
        </w:rPr>
        <w:t xml:space="preserve"> </w:t>
      </w:r>
      <w:r>
        <w:t>license.</w:t>
      </w:r>
    </w:p>
    <w:p w14:paraId="5BDA44B0" w14:textId="77777777" w:rsidR="00CA03B4" w:rsidRDefault="00CA03B4">
      <w:pPr>
        <w:pStyle w:val="BodyText"/>
        <w:spacing w:before="1"/>
      </w:pPr>
    </w:p>
    <w:p w14:paraId="5F89F99D" w14:textId="77777777" w:rsidR="00CA03B4" w:rsidRDefault="00000000">
      <w:pPr>
        <w:pStyle w:val="ListParagraph"/>
        <w:numPr>
          <w:ilvl w:val="0"/>
          <w:numId w:val="7"/>
        </w:numPr>
        <w:tabs>
          <w:tab w:val="left" w:pos="940"/>
        </w:tabs>
        <w:spacing w:before="1"/>
        <w:ind w:left="939" w:right="376"/>
        <w:jc w:val="both"/>
      </w:pPr>
      <w:r>
        <w:t>CLAIMS: Any act or occurrence, be it a result of an emergency, differing site condition or change order, which may form the basis of a claim for a price or time adjustment, must be reported immediately to the Procurement Officer administering this contract at the time of the act or</w:t>
      </w:r>
      <w:r>
        <w:rPr>
          <w:spacing w:val="-22"/>
        </w:rPr>
        <w:t xml:space="preserve"> </w:t>
      </w:r>
      <w:r>
        <w:t>occurrence.</w:t>
      </w:r>
    </w:p>
    <w:p w14:paraId="4B39E888" w14:textId="77777777" w:rsidR="00CA03B4" w:rsidRDefault="00CA03B4">
      <w:pPr>
        <w:pStyle w:val="BodyText"/>
        <w:spacing w:before="9"/>
        <w:rPr>
          <w:sz w:val="21"/>
        </w:rPr>
      </w:pPr>
    </w:p>
    <w:p w14:paraId="079A83D9" w14:textId="77777777" w:rsidR="00CA03B4" w:rsidRDefault="00000000">
      <w:pPr>
        <w:pStyle w:val="ListParagraph"/>
        <w:numPr>
          <w:ilvl w:val="0"/>
          <w:numId w:val="7"/>
        </w:numPr>
        <w:tabs>
          <w:tab w:val="left" w:pos="940"/>
        </w:tabs>
        <w:spacing w:before="1"/>
        <w:ind w:left="939" w:right="375"/>
        <w:jc w:val="both"/>
      </w:pPr>
      <w:r>
        <w:t>ASSIGNMENTS: Assignment of rights, duties, or payments under this contract is not permitted unless authorized in writing by the State of Alaska, Department of Administration, Shared Services of Alaska.  Bids</w:t>
      </w:r>
      <w:r>
        <w:rPr>
          <w:spacing w:val="-4"/>
        </w:rPr>
        <w:t xml:space="preserve"> </w:t>
      </w:r>
      <w:r>
        <w:t>that</w:t>
      </w:r>
      <w:r>
        <w:rPr>
          <w:spacing w:val="-4"/>
        </w:rPr>
        <w:t xml:space="preserve"> </w:t>
      </w:r>
      <w:r>
        <w:t>are conditioned</w:t>
      </w:r>
      <w:r>
        <w:rPr>
          <w:spacing w:val="-2"/>
        </w:rPr>
        <w:t xml:space="preserve"> </w:t>
      </w:r>
      <w:r>
        <w:t>upon</w:t>
      </w:r>
      <w:r>
        <w:rPr>
          <w:spacing w:val="-2"/>
        </w:rPr>
        <w:t xml:space="preserve"> </w:t>
      </w:r>
      <w:r>
        <w:t>the</w:t>
      </w:r>
      <w:r>
        <w:rPr>
          <w:spacing w:val="-3"/>
        </w:rPr>
        <w:t xml:space="preserve"> </w:t>
      </w:r>
      <w:r>
        <w:t>state’s</w:t>
      </w:r>
      <w:r>
        <w:rPr>
          <w:spacing w:val="-4"/>
        </w:rPr>
        <w:t xml:space="preserve"> </w:t>
      </w:r>
      <w:r>
        <w:t>approval</w:t>
      </w:r>
      <w:r>
        <w:rPr>
          <w:spacing w:val="-4"/>
        </w:rPr>
        <w:t xml:space="preserve"> </w:t>
      </w:r>
      <w:r>
        <w:t>of</w:t>
      </w:r>
      <w:r>
        <w:rPr>
          <w:spacing w:val="-5"/>
        </w:rPr>
        <w:t xml:space="preserve"> </w:t>
      </w:r>
      <w:r>
        <w:t>an</w:t>
      </w:r>
      <w:r>
        <w:rPr>
          <w:spacing w:val="-2"/>
        </w:rPr>
        <w:t xml:space="preserve"> </w:t>
      </w:r>
      <w:r>
        <w:t>assignment</w:t>
      </w:r>
      <w:r>
        <w:rPr>
          <w:spacing w:val="-3"/>
        </w:rPr>
        <w:t xml:space="preserve"> </w:t>
      </w:r>
      <w:r>
        <w:t>will be</w:t>
      </w:r>
      <w:r>
        <w:rPr>
          <w:spacing w:val="-4"/>
        </w:rPr>
        <w:t xml:space="preserve"> </w:t>
      </w:r>
      <w:r>
        <w:t>rejected</w:t>
      </w:r>
      <w:r>
        <w:rPr>
          <w:spacing w:val="-2"/>
        </w:rPr>
        <w:t xml:space="preserve"> </w:t>
      </w:r>
      <w:r>
        <w:t>as</w:t>
      </w:r>
      <w:r>
        <w:rPr>
          <w:spacing w:val="-4"/>
        </w:rPr>
        <w:t xml:space="preserve"> </w:t>
      </w:r>
      <w:r>
        <w:t>nonresponsive.</w:t>
      </w:r>
    </w:p>
    <w:p w14:paraId="4DC0D886" w14:textId="77777777" w:rsidR="00CA03B4" w:rsidRDefault="00CA03B4">
      <w:pPr>
        <w:pStyle w:val="BodyText"/>
        <w:spacing w:before="1"/>
      </w:pPr>
    </w:p>
    <w:p w14:paraId="7A3F6B76" w14:textId="77777777" w:rsidR="00CA03B4" w:rsidRDefault="00000000">
      <w:pPr>
        <w:pStyle w:val="ListParagraph"/>
        <w:numPr>
          <w:ilvl w:val="0"/>
          <w:numId w:val="7"/>
        </w:numPr>
        <w:tabs>
          <w:tab w:val="left" w:pos="940"/>
        </w:tabs>
        <w:ind w:left="939" w:right="377"/>
        <w:jc w:val="both"/>
      </w:pPr>
      <w:r>
        <w:t>BACKGROUND CHECK: All Contractors and subcontractors and their employees who will be in state owned buildings must have a background check at the contractor’s expense. Background checks are required only for state-leased buildings (as requested) and the following</w:t>
      </w:r>
      <w:r>
        <w:rPr>
          <w:spacing w:val="-24"/>
        </w:rPr>
        <w:t xml:space="preserve"> </w:t>
      </w:r>
      <w:r>
        <w:t>buildings:</w:t>
      </w:r>
    </w:p>
    <w:p w14:paraId="6E0A8573" w14:textId="77777777" w:rsidR="00CA03B4" w:rsidRDefault="00CA03B4">
      <w:pPr>
        <w:pStyle w:val="BodyText"/>
        <w:spacing w:before="5"/>
        <w:rPr>
          <w:sz w:val="16"/>
        </w:rPr>
      </w:pPr>
    </w:p>
    <w:tbl>
      <w:tblPr>
        <w:tblW w:w="0" w:type="auto"/>
        <w:tblInd w:w="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04"/>
        <w:gridCol w:w="3960"/>
      </w:tblGrid>
      <w:tr w:rsidR="00CA03B4" w14:paraId="1E00F7A2" w14:textId="77777777">
        <w:trPr>
          <w:trHeight w:val="1093"/>
        </w:trPr>
        <w:tc>
          <w:tcPr>
            <w:tcW w:w="4404" w:type="dxa"/>
            <w:tcBorders>
              <w:bottom w:val="nil"/>
            </w:tcBorders>
          </w:tcPr>
          <w:p w14:paraId="24AE8916" w14:textId="77777777" w:rsidR="00CA03B4" w:rsidRDefault="00000000">
            <w:pPr>
              <w:pStyle w:val="TableParagraph"/>
              <w:spacing w:before="1" w:line="268" w:lineRule="exact"/>
              <w:ind w:left="106"/>
              <w:rPr>
                <w:rFonts w:ascii="Calibri"/>
                <w:b/>
              </w:rPr>
            </w:pPr>
            <w:r>
              <w:rPr>
                <w:rFonts w:ascii="Calibri"/>
                <w:b/>
              </w:rPr>
              <w:t>Juneau:</w:t>
            </w:r>
          </w:p>
          <w:p w14:paraId="56CDD1A7" w14:textId="77777777" w:rsidR="00CA03B4" w:rsidRDefault="00000000">
            <w:pPr>
              <w:pStyle w:val="TableParagraph"/>
              <w:spacing w:line="240" w:lineRule="auto"/>
              <w:ind w:left="106" w:right="2339"/>
              <w:rPr>
                <w:rFonts w:ascii="Calibri"/>
              </w:rPr>
            </w:pPr>
            <w:r>
              <w:rPr>
                <w:rFonts w:ascii="Calibri"/>
              </w:rPr>
              <w:t>Alaska Office Building Alaska State Museum</w:t>
            </w:r>
          </w:p>
          <w:p w14:paraId="30F0EA81" w14:textId="77777777" w:rsidR="00CA03B4" w:rsidRDefault="00000000">
            <w:pPr>
              <w:pStyle w:val="TableParagraph"/>
              <w:spacing w:line="267" w:lineRule="exact"/>
              <w:ind w:left="106"/>
              <w:rPr>
                <w:rFonts w:ascii="Calibri"/>
              </w:rPr>
            </w:pPr>
            <w:r>
              <w:rPr>
                <w:rFonts w:ascii="Calibri"/>
              </w:rPr>
              <w:t>Archives Building</w:t>
            </w:r>
          </w:p>
        </w:tc>
        <w:tc>
          <w:tcPr>
            <w:tcW w:w="3960" w:type="dxa"/>
            <w:tcBorders>
              <w:bottom w:val="nil"/>
            </w:tcBorders>
          </w:tcPr>
          <w:p w14:paraId="256133DA" w14:textId="77777777" w:rsidR="00CA03B4" w:rsidRDefault="00000000">
            <w:pPr>
              <w:pStyle w:val="TableParagraph"/>
              <w:spacing w:before="189" w:line="268" w:lineRule="exact"/>
              <w:ind w:left="106"/>
              <w:rPr>
                <w:rFonts w:ascii="Calibri"/>
                <w:b/>
              </w:rPr>
            </w:pPr>
            <w:r>
              <w:rPr>
                <w:rFonts w:ascii="Calibri"/>
                <w:b/>
              </w:rPr>
              <w:t>Anchorage:</w:t>
            </w:r>
          </w:p>
          <w:p w14:paraId="1D0EF5A2" w14:textId="77777777" w:rsidR="00CA03B4" w:rsidRDefault="00000000">
            <w:pPr>
              <w:pStyle w:val="TableParagraph"/>
              <w:spacing w:line="268" w:lineRule="exact"/>
              <w:ind w:left="107"/>
              <w:rPr>
                <w:rFonts w:ascii="Calibri"/>
              </w:rPr>
            </w:pPr>
            <w:r>
              <w:rPr>
                <w:rFonts w:ascii="Calibri"/>
              </w:rPr>
              <w:t>Atwood Building</w:t>
            </w:r>
          </w:p>
          <w:p w14:paraId="61F20D9C" w14:textId="77777777" w:rsidR="00CA03B4" w:rsidRDefault="00000000">
            <w:pPr>
              <w:pStyle w:val="TableParagraph"/>
              <w:spacing w:before="4" w:line="240" w:lineRule="auto"/>
              <w:ind w:left="107"/>
              <w:rPr>
                <w:rFonts w:ascii="Calibri"/>
              </w:rPr>
            </w:pPr>
            <w:proofErr w:type="spellStart"/>
            <w:r>
              <w:rPr>
                <w:rFonts w:ascii="Calibri"/>
              </w:rPr>
              <w:t>Linny</w:t>
            </w:r>
            <w:proofErr w:type="spellEnd"/>
            <w:r>
              <w:rPr>
                <w:rFonts w:ascii="Calibri"/>
              </w:rPr>
              <w:t xml:space="preserve"> </w:t>
            </w:r>
            <w:proofErr w:type="spellStart"/>
            <w:r>
              <w:rPr>
                <w:rFonts w:ascii="Calibri"/>
              </w:rPr>
              <w:t>Pacillo</w:t>
            </w:r>
            <w:proofErr w:type="spellEnd"/>
            <w:r>
              <w:rPr>
                <w:rFonts w:ascii="Calibri"/>
              </w:rPr>
              <w:t xml:space="preserve"> Parking Garage</w:t>
            </w:r>
          </w:p>
        </w:tc>
      </w:tr>
      <w:tr w:rsidR="00CA03B4" w14:paraId="38CE9050" w14:textId="77777777">
        <w:trPr>
          <w:trHeight w:val="92"/>
        </w:trPr>
        <w:tc>
          <w:tcPr>
            <w:tcW w:w="4404" w:type="dxa"/>
            <w:vMerge w:val="restart"/>
            <w:tcBorders>
              <w:top w:val="nil"/>
              <w:bottom w:val="nil"/>
            </w:tcBorders>
          </w:tcPr>
          <w:p w14:paraId="2628D327" w14:textId="77777777" w:rsidR="00CA03B4" w:rsidRDefault="00000000">
            <w:pPr>
              <w:pStyle w:val="TableParagraph"/>
              <w:spacing w:line="248" w:lineRule="exact"/>
              <w:ind w:left="106"/>
              <w:rPr>
                <w:rFonts w:ascii="Calibri"/>
              </w:rPr>
            </w:pPr>
            <w:r>
              <w:rPr>
                <w:rFonts w:ascii="Calibri"/>
              </w:rPr>
              <w:t>Community building</w:t>
            </w:r>
          </w:p>
        </w:tc>
        <w:tc>
          <w:tcPr>
            <w:tcW w:w="3960" w:type="dxa"/>
            <w:tcBorders>
              <w:top w:val="nil"/>
            </w:tcBorders>
          </w:tcPr>
          <w:p w14:paraId="073935B8" w14:textId="77777777" w:rsidR="00CA03B4" w:rsidRDefault="00CA03B4">
            <w:pPr>
              <w:pStyle w:val="TableParagraph"/>
              <w:spacing w:line="240" w:lineRule="auto"/>
              <w:rPr>
                <w:rFonts w:ascii="Times New Roman"/>
                <w:sz w:val="4"/>
              </w:rPr>
            </w:pPr>
          </w:p>
        </w:tc>
      </w:tr>
      <w:tr w:rsidR="00CA03B4" w14:paraId="38498889" w14:textId="77777777">
        <w:trPr>
          <w:trHeight w:val="165"/>
        </w:trPr>
        <w:tc>
          <w:tcPr>
            <w:tcW w:w="4404" w:type="dxa"/>
            <w:vMerge/>
            <w:tcBorders>
              <w:top w:val="nil"/>
              <w:bottom w:val="nil"/>
            </w:tcBorders>
          </w:tcPr>
          <w:p w14:paraId="678316F1" w14:textId="77777777" w:rsidR="00CA03B4" w:rsidRDefault="00CA03B4">
            <w:pPr>
              <w:rPr>
                <w:sz w:val="2"/>
                <w:szCs w:val="2"/>
              </w:rPr>
            </w:pPr>
          </w:p>
        </w:tc>
        <w:tc>
          <w:tcPr>
            <w:tcW w:w="3960" w:type="dxa"/>
            <w:tcBorders>
              <w:bottom w:val="nil"/>
            </w:tcBorders>
          </w:tcPr>
          <w:p w14:paraId="2B13F923" w14:textId="77777777" w:rsidR="00CA03B4" w:rsidRDefault="00CA03B4">
            <w:pPr>
              <w:pStyle w:val="TableParagraph"/>
              <w:spacing w:line="240" w:lineRule="auto"/>
              <w:rPr>
                <w:rFonts w:ascii="Times New Roman"/>
                <w:sz w:val="10"/>
              </w:rPr>
            </w:pPr>
          </w:p>
        </w:tc>
      </w:tr>
      <w:tr w:rsidR="00CA03B4" w14:paraId="70F5912B" w14:textId="77777777">
        <w:trPr>
          <w:trHeight w:val="807"/>
        </w:trPr>
        <w:tc>
          <w:tcPr>
            <w:tcW w:w="4404" w:type="dxa"/>
            <w:tcBorders>
              <w:top w:val="nil"/>
              <w:bottom w:val="nil"/>
            </w:tcBorders>
          </w:tcPr>
          <w:p w14:paraId="7807BAEB" w14:textId="77777777" w:rsidR="00CA03B4" w:rsidRDefault="00000000">
            <w:pPr>
              <w:pStyle w:val="TableParagraph"/>
              <w:spacing w:line="248" w:lineRule="exact"/>
              <w:ind w:left="106"/>
              <w:rPr>
                <w:rFonts w:ascii="Calibri"/>
              </w:rPr>
            </w:pPr>
            <w:r>
              <w:rPr>
                <w:rFonts w:ascii="Calibri"/>
              </w:rPr>
              <w:t>Court Plaza</w:t>
            </w:r>
            <w:r>
              <w:rPr>
                <w:rFonts w:ascii="Calibri"/>
                <w:spacing w:val="-6"/>
              </w:rPr>
              <w:t xml:space="preserve"> </w:t>
            </w:r>
            <w:r>
              <w:rPr>
                <w:rFonts w:ascii="Calibri"/>
              </w:rPr>
              <w:t>Building</w:t>
            </w:r>
          </w:p>
          <w:p w14:paraId="5B9AD0B1" w14:textId="77777777" w:rsidR="00CA03B4" w:rsidRDefault="00000000">
            <w:pPr>
              <w:pStyle w:val="TableParagraph"/>
              <w:spacing w:line="268" w:lineRule="exact"/>
              <w:ind w:left="106"/>
              <w:rPr>
                <w:rFonts w:ascii="Calibri"/>
              </w:rPr>
            </w:pPr>
            <w:r>
              <w:rPr>
                <w:rFonts w:ascii="Calibri"/>
              </w:rPr>
              <w:t>Dimond</w:t>
            </w:r>
            <w:r>
              <w:rPr>
                <w:rFonts w:ascii="Calibri"/>
                <w:spacing w:val="-7"/>
              </w:rPr>
              <w:t xml:space="preserve"> </w:t>
            </w:r>
            <w:r>
              <w:rPr>
                <w:rFonts w:ascii="Calibri"/>
              </w:rPr>
              <w:t>Courthouse</w:t>
            </w:r>
          </w:p>
          <w:p w14:paraId="5D44F1F0" w14:textId="77777777" w:rsidR="00CA03B4" w:rsidRDefault="00000000">
            <w:pPr>
              <w:pStyle w:val="TableParagraph"/>
              <w:spacing w:before="3" w:line="240" w:lineRule="auto"/>
              <w:ind w:left="106"/>
              <w:rPr>
                <w:rFonts w:ascii="Calibri"/>
              </w:rPr>
            </w:pPr>
            <w:r>
              <w:rPr>
                <w:rFonts w:ascii="Calibri"/>
              </w:rPr>
              <w:t>Public Safety Building</w:t>
            </w:r>
          </w:p>
        </w:tc>
        <w:tc>
          <w:tcPr>
            <w:tcW w:w="3960" w:type="dxa"/>
            <w:tcBorders>
              <w:top w:val="nil"/>
              <w:bottom w:val="nil"/>
            </w:tcBorders>
          </w:tcPr>
          <w:p w14:paraId="390263A6" w14:textId="77777777" w:rsidR="00CA03B4" w:rsidRDefault="00000000">
            <w:pPr>
              <w:pStyle w:val="TableParagraph"/>
              <w:spacing w:before="91" w:line="268" w:lineRule="exact"/>
              <w:ind w:left="106"/>
              <w:rPr>
                <w:rFonts w:ascii="Calibri"/>
                <w:b/>
              </w:rPr>
            </w:pPr>
            <w:r>
              <w:rPr>
                <w:rFonts w:ascii="Calibri"/>
                <w:b/>
              </w:rPr>
              <w:t>Fairbanks:</w:t>
            </w:r>
          </w:p>
          <w:p w14:paraId="2BB59A84" w14:textId="77777777" w:rsidR="00CA03B4" w:rsidRDefault="00000000">
            <w:pPr>
              <w:pStyle w:val="TableParagraph"/>
              <w:spacing w:line="268" w:lineRule="exact"/>
              <w:ind w:left="106"/>
              <w:rPr>
                <w:rFonts w:ascii="Calibri"/>
              </w:rPr>
            </w:pPr>
            <w:r>
              <w:rPr>
                <w:rFonts w:ascii="Calibri"/>
              </w:rPr>
              <w:t>Regional Office Building</w:t>
            </w:r>
          </w:p>
        </w:tc>
      </w:tr>
      <w:tr w:rsidR="00CA03B4" w14:paraId="47549F57" w14:textId="77777777">
        <w:trPr>
          <w:trHeight w:val="80"/>
        </w:trPr>
        <w:tc>
          <w:tcPr>
            <w:tcW w:w="4404" w:type="dxa"/>
            <w:vMerge w:val="restart"/>
            <w:tcBorders>
              <w:top w:val="nil"/>
              <w:bottom w:val="nil"/>
            </w:tcBorders>
          </w:tcPr>
          <w:p w14:paraId="17CF08F2" w14:textId="77777777" w:rsidR="00CA03B4" w:rsidRDefault="00000000">
            <w:pPr>
              <w:pStyle w:val="TableParagraph"/>
              <w:spacing w:line="248" w:lineRule="exact"/>
              <w:ind w:left="106"/>
              <w:rPr>
                <w:rFonts w:ascii="Calibri"/>
              </w:rPr>
            </w:pPr>
            <w:r>
              <w:rPr>
                <w:rFonts w:ascii="Calibri"/>
              </w:rPr>
              <w:t>State Office Building</w:t>
            </w:r>
          </w:p>
        </w:tc>
        <w:tc>
          <w:tcPr>
            <w:tcW w:w="3960" w:type="dxa"/>
            <w:tcBorders>
              <w:top w:val="nil"/>
            </w:tcBorders>
          </w:tcPr>
          <w:p w14:paraId="7C96FC29" w14:textId="77777777" w:rsidR="00CA03B4" w:rsidRDefault="00CA03B4">
            <w:pPr>
              <w:pStyle w:val="TableParagraph"/>
              <w:spacing w:line="240" w:lineRule="auto"/>
              <w:rPr>
                <w:rFonts w:ascii="Times New Roman"/>
                <w:sz w:val="2"/>
              </w:rPr>
            </w:pPr>
          </w:p>
        </w:tc>
      </w:tr>
      <w:tr w:rsidR="00CA03B4" w14:paraId="57B1CCD0" w14:textId="77777777">
        <w:trPr>
          <w:trHeight w:val="177"/>
        </w:trPr>
        <w:tc>
          <w:tcPr>
            <w:tcW w:w="4404" w:type="dxa"/>
            <w:vMerge/>
            <w:tcBorders>
              <w:top w:val="nil"/>
              <w:bottom w:val="nil"/>
            </w:tcBorders>
          </w:tcPr>
          <w:p w14:paraId="14719C8F" w14:textId="77777777" w:rsidR="00CA03B4" w:rsidRDefault="00CA03B4">
            <w:pPr>
              <w:rPr>
                <w:sz w:val="2"/>
                <w:szCs w:val="2"/>
              </w:rPr>
            </w:pPr>
          </w:p>
        </w:tc>
        <w:tc>
          <w:tcPr>
            <w:tcW w:w="3960" w:type="dxa"/>
            <w:tcBorders>
              <w:bottom w:val="nil"/>
            </w:tcBorders>
          </w:tcPr>
          <w:p w14:paraId="658FC628" w14:textId="77777777" w:rsidR="00CA03B4" w:rsidRDefault="00CA03B4">
            <w:pPr>
              <w:pStyle w:val="TableParagraph"/>
              <w:spacing w:line="240" w:lineRule="auto"/>
              <w:rPr>
                <w:rFonts w:ascii="Times New Roman"/>
                <w:sz w:val="10"/>
              </w:rPr>
            </w:pPr>
          </w:p>
        </w:tc>
      </w:tr>
      <w:tr w:rsidR="00CA03B4" w14:paraId="7F9044E4" w14:textId="77777777">
        <w:trPr>
          <w:trHeight w:val="296"/>
        </w:trPr>
        <w:tc>
          <w:tcPr>
            <w:tcW w:w="4404" w:type="dxa"/>
            <w:tcBorders>
              <w:top w:val="nil"/>
              <w:bottom w:val="nil"/>
            </w:tcBorders>
          </w:tcPr>
          <w:p w14:paraId="5B0B310F" w14:textId="77777777" w:rsidR="00CA03B4" w:rsidRDefault="00000000">
            <w:pPr>
              <w:pStyle w:val="TableParagraph"/>
              <w:spacing w:line="248" w:lineRule="exact"/>
              <w:ind w:left="106"/>
              <w:rPr>
                <w:rFonts w:ascii="Calibri"/>
              </w:rPr>
            </w:pPr>
            <w:r>
              <w:rPr>
                <w:rFonts w:ascii="Calibri"/>
              </w:rPr>
              <w:t>Capital Building, 3</w:t>
            </w:r>
            <w:r>
              <w:rPr>
                <w:rFonts w:ascii="Calibri"/>
                <w:vertAlign w:val="superscript"/>
              </w:rPr>
              <w:t>rd</w:t>
            </w:r>
            <w:r>
              <w:rPr>
                <w:rFonts w:ascii="Calibri"/>
              </w:rPr>
              <w:t xml:space="preserve"> floor</w:t>
            </w:r>
          </w:p>
        </w:tc>
        <w:tc>
          <w:tcPr>
            <w:tcW w:w="3960" w:type="dxa"/>
            <w:tcBorders>
              <w:top w:val="nil"/>
              <w:bottom w:val="nil"/>
            </w:tcBorders>
          </w:tcPr>
          <w:p w14:paraId="5766030F" w14:textId="77777777" w:rsidR="00CA03B4" w:rsidRDefault="00000000">
            <w:pPr>
              <w:pStyle w:val="TableParagraph"/>
              <w:spacing w:before="36" w:line="240" w:lineRule="exact"/>
              <w:ind w:left="106"/>
              <w:rPr>
                <w:rFonts w:ascii="Calibri"/>
                <w:b/>
              </w:rPr>
            </w:pPr>
            <w:r>
              <w:rPr>
                <w:rFonts w:ascii="Calibri"/>
                <w:b/>
              </w:rPr>
              <w:t>Palmer:</w:t>
            </w:r>
          </w:p>
        </w:tc>
      </w:tr>
      <w:tr w:rsidR="00CA03B4" w14:paraId="73C74579" w14:textId="77777777">
        <w:trPr>
          <w:trHeight w:val="487"/>
        </w:trPr>
        <w:tc>
          <w:tcPr>
            <w:tcW w:w="4404" w:type="dxa"/>
            <w:tcBorders>
              <w:top w:val="nil"/>
            </w:tcBorders>
          </w:tcPr>
          <w:p w14:paraId="5CAFD4FD" w14:textId="77777777" w:rsidR="00CA03B4" w:rsidRDefault="00000000">
            <w:pPr>
              <w:pStyle w:val="TableParagraph"/>
              <w:spacing w:line="220" w:lineRule="exact"/>
              <w:ind w:left="106"/>
              <w:rPr>
                <w:rFonts w:ascii="Calibri"/>
              </w:rPr>
            </w:pPr>
            <w:proofErr w:type="spellStart"/>
            <w:r>
              <w:rPr>
                <w:rFonts w:ascii="Calibri"/>
              </w:rPr>
              <w:t>Governors</w:t>
            </w:r>
            <w:proofErr w:type="spellEnd"/>
            <w:r>
              <w:rPr>
                <w:rFonts w:ascii="Calibri"/>
              </w:rPr>
              <w:t xml:space="preserve"> Mansion (procedure process and</w:t>
            </w:r>
          </w:p>
          <w:p w14:paraId="608AD8FB" w14:textId="77777777" w:rsidR="00CA03B4" w:rsidRDefault="00000000">
            <w:pPr>
              <w:pStyle w:val="TableParagraph"/>
              <w:spacing w:line="248" w:lineRule="exact"/>
              <w:ind w:left="106"/>
              <w:rPr>
                <w:rFonts w:ascii="Calibri"/>
              </w:rPr>
            </w:pPr>
            <w:r>
              <w:rPr>
                <w:rFonts w:ascii="Calibri"/>
              </w:rPr>
              <w:t>forms are different)</w:t>
            </w:r>
          </w:p>
        </w:tc>
        <w:tc>
          <w:tcPr>
            <w:tcW w:w="3960" w:type="dxa"/>
            <w:tcBorders>
              <w:top w:val="nil"/>
            </w:tcBorders>
          </w:tcPr>
          <w:p w14:paraId="49B304AD" w14:textId="77777777" w:rsidR="00CA03B4" w:rsidRDefault="00000000">
            <w:pPr>
              <w:pStyle w:val="TableParagraph"/>
              <w:spacing w:before="7" w:line="240" w:lineRule="auto"/>
              <w:ind w:left="106"/>
              <w:rPr>
                <w:rFonts w:ascii="Calibri"/>
              </w:rPr>
            </w:pPr>
            <w:r>
              <w:rPr>
                <w:rFonts w:ascii="Calibri"/>
              </w:rPr>
              <w:t>State Office Building</w:t>
            </w:r>
          </w:p>
        </w:tc>
      </w:tr>
    </w:tbl>
    <w:p w14:paraId="3EC130FD" w14:textId="77777777" w:rsidR="00CA03B4" w:rsidRDefault="00CA03B4">
      <w:pPr>
        <w:pStyle w:val="BodyText"/>
        <w:spacing w:before="1"/>
      </w:pPr>
    </w:p>
    <w:p w14:paraId="14812178" w14:textId="77777777" w:rsidR="00CA03B4" w:rsidRDefault="00000000">
      <w:pPr>
        <w:pStyle w:val="ListParagraph"/>
        <w:numPr>
          <w:ilvl w:val="0"/>
          <w:numId w:val="7"/>
        </w:numPr>
        <w:tabs>
          <w:tab w:val="left" w:pos="940"/>
        </w:tabs>
        <w:spacing w:before="1" w:line="268" w:lineRule="exact"/>
      </w:pPr>
      <w:r>
        <w:t>BACKGROUND CHECK</w:t>
      </w:r>
      <w:r>
        <w:rPr>
          <w:spacing w:val="2"/>
        </w:rPr>
        <w:t xml:space="preserve"> </w:t>
      </w:r>
      <w:r>
        <w:t>PROCEDURE:</w:t>
      </w:r>
    </w:p>
    <w:p w14:paraId="38EDBDFA" w14:textId="77777777" w:rsidR="00CA03B4" w:rsidRDefault="00000000">
      <w:pPr>
        <w:pStyle w:val="ListParagraph"/>
        <w:numPr>
          <w:ilvl w:val="0"/>
          <w:numId w:val="4"/>
        </w:numPr>
        <w:tabs>
          <w:tab w:val="left" w:pos="1300"/>
        </w:tabs>
        <w:ind w:right="377"/>
        <w:jc w:val="both"/>
      </w:pPr>
      <w:r>
        <w:t xml:space="preserve">Each person performing work on site under this contract (including </w:t>
      </w:r>
      <w:proofErr w:type="gramStart"/>
      <w:r>
        <w:t>Contractors</w:t>
      </w:r>
      <w:proofErr w:type="gramEnd"/>
      <w:r>
        <w:t xml:space="preserve"> project managers and/or job foreman) are required to obtain a background check through the Department of Public Safety by the Contractor requesting for Criminal Justice Information from the record subject name check (presently the fee for processing is $20 for a single</w:t>
      </w:r>
      <w:r>
        <w:rPr>
          <w:spacing w:val="-11"/>
        </w:rPr>
        <w:t xml:space="preserve"> </w:t>
      </w:r>
      <w:r>
        <w:t>copy).</w:t>
      </w:r>
    </w:p>
    <w:p w14:paraId="139E014E" w14:textId="77777777" w:rsidR="00CA03B4" w:rsidRDefault="00CA03B4">
      <w:pPr>
        <w:jc w:val="both"/>
        <w:sectPr w:rsidR="00CA03B4">
          <w:pgSz w:w="12240" w:h="15840"/>
          <w:pgMar w:top="420" w:right="700" w:bottom="600" w:left="860" w:header="0" w:footer="329" w:gutter="0"/>
          <w:cols w:space="720"/>
        </w:sectPr>
      </w:pPr>
    </w:p>
    <w:p w14:paraId="2FA4CCE0" w14:textId="77777777" w:rsidR="00CA03B4" w:rsidRDefault="00000000">
      <w:pPr>
        <w:pStyle w:val="ListParagraph"/>
        <w:numPr>
          <w:ilvl w:val="0"/>
          <w:numId w:val="4"/>
        </w:numPr>
        <w:tabs>
          <w:tab w:val="left" w:pos="1300"/>
        </w:tabs>
        <w:spacing w:before="30"/>
        <w:ind w:right="382"/>
        <w:jc w:val="both"/>
      </w:pPr>
      <w:r>
        <w:lastRenderedPageBreak/>
        <w:t>The Contractor shall pay all associated processing fees which may be in the form of a personal check, cashiers’ check or money order made payable to the Department of Public</w:t>
      </w:r>
      <w:r>
        <w:rPr>
          <w:spacing w:val="-33"/>
        </w:rPr>
        <w:t xml:space="preserve"> </w:t>
      </w:r>
      <w:r>
        <w:t>Safety.</w:t>
      </w:r>
    </w:p>
    <w:p w14:paraId="60548869" w14:textId="77777777" w:rsidR="00CA03B4" w:rsidRDefault="00000000">
      <w:pPr>
        <w:pStyle w:val="ListParagraph"/>
        <w:numPr>
          <w:ilvl w:val="0"/>
          <w:numId w:val="4"/>
        </w:numPr>
        <w:tabs>
          <w:tab w:val="left" w:pos="1300"/>
        </w:tabs>
        <w:ind w:right="378"/>
        <w:jc w:val="both"/>
      </w:pPr>
      <w:r>
        <w:t xml:space="preserve">The Contractor shall tender to the Contracting Officer/Project Manager listed on the solicitation document a copy </w:t>
      </w:r>
      <w:r>
        <w:rPr>
          <w:spacing w:val="2"/>
        </w:rPr>
        <w:t xml:space="preserve">of </w:t>
      </w:r>
      <w:r>
        <w:t xml:space="preserve">the Background Check reports for </w:t>
      </w:r>
      <w:proofErr w:type="gramStart"/>
      <w:r>
        <w:t>each individual</w:t>
      </w:r>
      <w:proofErr w:type="gramEnd"/>
      <w:r>
        <w:t xml:space="preserve"> for acceptance or denial at the sole discretion of the Shared Services of Alaska Leasing and Facility Manager prior to commencement of any work at the site. The background checks shall remain</w:t>
      </w:r>
      <w:r>
        <w:rPr>
          <w:spacing w:val="-25"/>
        </w:rPr>
        <w:t xml:space="preserve"> </w:t>
      </w:r>
      <w:r>
        <w:t>confidential.</w:t>
      </w:r>
    </w:p>
    <w:p w14:paraId="26021896" w14:textId="77777777" w:rsidR="00CA03B4" w:rsidRDefault="00000000">
      <w:pPr>
        <w:pStyle w:val="ListParagraph"/>
        <w:numPr>
          <w:ilvl w:val="0"/>
          <w:numId w:val="4"/>
        </w:numPr>
        <w:tabs>
          <w:tab w:val="left" w:pos="1300"/>
        </w:tabs>
        <w:ind w:right="380"/>
        <w:jc w:val="both"/>
      </w:pPr>
      <w:r>
        <w:t>The Contractor may request the background check directly with the Alaska Department of Public Safety.</w:t>
      </w:r>
    </w:p>
    <w:p w14:paraId="3975F04F" w14:textId="77777777" w:rsidR="00CA03B4" w:rsidRDefault="00000000">
      <w:pPr>
        <w:pStyle w:val="ListParagraph"/>
        <w:numPr>
          <w:ilvl w:val="0"/>
          <w:numId w:val="4"/>
        </w:numPr>
        <w:tabs>
          <w:tab w:val="left" w:pos="1300"/>
        </w:tabs>
        <w:ind w:right="384" w:hanging="361"/>
        <w:jc w:val="both"/>
      </w:pPr>
      <w:r>
        <w:t>The Contractor shall be advised that the background checks may take longer than a week to obtain from the Department of Public</w:t>
      </w:r>
      <w:r>
        <w:rPr>
          <w:spacing w:val="-15"/>
        </w:rPr>
        <w:t xml:space="preserve"> </w:t>
      </w:r>
      <w:r>
        <w:t>Safety.</w:t>
      </w:r>
    </w:p>
    <w:p w14:paraId="7C90DAEA" w14:textId="77777777" w:rsidR="00CA03B4" w:rsidRDefault="00000000">
      <w:pPr>
        <w:pStyle w:val="ListParagraph"/>
        <w:numPr>
          <w:ilvl w:val="0"/>
          <w:numId w:val="4"/>
        </w:numPr>
        <w:tabs>
          <w:tab w:val="left" w:pos="1300"/>
        </w:tabs>
        <w:ind w:right="380" w:hanging="361"/>
        <w:jc w:val="both"/>
      </w:pPr>
      <w:r>
        <w:t xml:space="preserve">The Contracting Officer will advise the Contractor of acceptance or denial for </w:t>
      </w:r>
      <w:proofErr w:type="gramStart"/>
      <w:r>
        <w:t>each individual</w:t>
      </w:r>
      <w:proofErr w:type="gramEnd"/>
      <w:r>
        <w:t xml:space="preserve"> to work on this project within 48 hours of</w:t>
      </w:r>
      <w:r>
        <w:rPr>
          <w:spacing w:val="-18"/>
        </w:rPr>
        <w:t xml:space="preserve"> </w:t>
      </w:r>
      <w:r>
        <w:t>submittal.</w:t>
      </w:r>
    </w:p>
    <w:p w14:paraId="5C2B4981" w14:textId="77777777" w:rsidR="00CA03B4" w:rsidRDefault="00000000">
      <w:pPr>
        <w:pStyle w:val="ListParagraph"/>
        <w:numPr>
          <w:ilvl w:val="0"/>
          <w:numId w:val="4"/>
        </w:numPr>
        <w:tabs>
          <w:tab w:val="left" w:pos="1300"/>
        </w:tabs>
        <w:ind w:right="377"/>
        <w:jc w:val="both"/>
      </w:pPr>
      <w:r>
        <w:t>Background checks are good for a period of one year from the date of acceptance. The Contractor is responsible for obtaining replacement background checks for each person performing work on site under this contract annually at the Contractor’s</w:t>
      </w:r>
      <w:r>
        <w:rPr>
          <w:spacing w:val="-20"/>
        </w:rPr>
        <w:t xml:space="preserve"> </w:t>
      </w:r>
      <w:r>
        <w:t>expense.</w:t>
      </w:r>
    </w:p>
    <w:p w14:paraId="03AFB581" w14:textId="77777777" w:rsidR="00CA03B4" w:rsidRDefault="00000000">
      <w:pPr>
        <w:pStyle w:val="ListParagraph"/>
        <w:numPr>
          <w:ilvl w:val="0"/>
          <w:numId w:val="4"/>
        </w:numPr>
        <w:tabs>
          <w:tab w:val="left" w:pos="1300"/>
        </w:tabs>
        <w:ind w:right="373"/>
        <w:jc w:val="both"/>
      </w:pPr>
      <w:r>
        <w:t>An alternative to Agency contractors obtaining background clearance is for the Contractor to be escorted by an Agency employee the entire time while on state property at the Agency’s discretion. The name of the Agency employee providing the escort must be provided to DGS during the construction approval</w:t>
      </w:r>
      <w:r>
        <w:rPr>
          <w:spacing w:val="-5"/>
        </w:rPr>
        <w:t xml:space="preserve"> </w:t>
      </w:r>
      <w:r>
        <w:t>process.</w:t>
      </w:r>
    </w:p>
    <w:p w14:paraId="06D2CEF6" w14:textId="77777777" w:rsidR="00CA03B4" w:rsidRDefault="00CA03B4">
      <w:pPr>
        <w:pStyle w:val="BodyText"/>
        <w:spacing w:before="3"/>
        <w:rPr>
          <w:sz w:val="16"/>
        </w:rPr>
      </w:pPr>
    </w:p>
    <w:p w14:paraId="605A7694" w14:textId="77777777" w:rsidR="00CA03B4" w:rsidRDefault="00000000">
      <w:pPr>
        <w:pStyle w:val="Heading1"/>
        <w:rPr>
          <w:u w:val="none"/>
        </w:rPr>
      </w:pPr>
      <w:bookmarkStart w:id="5" w:name="SECTION_VI__-__REQUIRED_LICENSING_AND_CE"/>
      <w:bookmarkEnd w:id="5"/>
      <w:r>
        <w:t>SECTION VI - REQUIRED LICENSING AND CERTIFICATION</w:t>
      </w:r>
    </w:p>
    <w:p w14:paraId="0983E2FC" w14:textId="77777777" w:rsidR="00CA03B4" w:rsidRDefault="00CA03B4">
      <w:pPr>
        <w:pStyle w:val="BodyText"/>
        <w:spacing w:before="4"/>
        <w:rPr>
          <w:sz w:val="15"/>
        </w:rPr>
      </w:pPr>
    </w:p>
    <w:p w14:paraId="23A7A182" w14:textId="77777777" w:rsidR="00CA03B4" w:rsidRDefault="00000000">
      <w:pPr>
        <w:pStyle w:val="ListParagraph"/>
        <w:numPr>
          <w:ilvl w:val="0"/>
          <w:numId w:val="3"/>
        </w:numPr>
        <w:tabs>
          <w:tab w:val="left" w:pos="940"/>
        </w:tabs>
        <w:spacing w:before="55"/>
        <w:ind w:right="231"/>
        <w:jc w:val="both"/>
      </w:pPr>
      <w:r>
        <w:t xml:space="preserve">ALASKA BUSINESS LICENSE: Prior to the award of a contract, a contractor must hold a valid Alaska business license. However, </w:t>
      </w:r>
      <w:proofErr w:type="gramStart"/>
      <w:r>
        <w:t>in order to</w:t>
      </w:r>
      <w:proofErr w:type="gramEnd"/>
      <w:r>
        <w:t xml:space="preserve"> receive the Alaska Contractor Preference and other related preferences, such as the Alaska Veteran and Alaskans with Disabilities Preference; a contractor must hold a valid Alaska business license at the time designated for bid opening. Contractors should contact the Department of Commerce, Community and Economic Development, Division </w:t>
      </w:r>
      <w:r>
        <w:rPr>
          <w:spacing w:val="2"/>
        </w:rPr>
        <w:t xml:space="preserve">of </w:t>
      </w:r>
      <w:r>
        <w:t>Corporations, Business, and Professional Licensing for information on these</w:t>
      </w:r>
      <w:r>
        <w:rPr>
          <w:spacing w:val="-9"/>
        </w:rPr>
        <w:t xml:space="preserve"> </w:t>
      </w:r>
      <w:r>
        <w:t>licenses.</w:t>
      </w:r>
    </w:p>
    <w:p w14:paraId="70EBC866" w14:textId="77777777" w:rsidR="00CA03B4" w:rsidRDefault="00CA03B4">
      <w:pPr>
        <w:pStyle w:val="BodyText"/>
        <w:spacing w:before="5"/>
        <w:rPr>
          <w:sz w:val="16"/>
        </w:rPr>
      </w:pPr>
    </w:p>
    <w:p w14:paraId="2073D888" w14:textId="77777777" w:rsidR="00CA03B4" w:rsidRDefault="00000000">
      <w:pPr>
        <w:pStyle w:val="BodyText"/>
        <w:tabs>
          <w:tab w:val="left" w:pos="2379"/>
        </w:tabs>
        <w:spacing w:before="1"/>
        <w:ind w:left="1211" w:right="1882"/>
      </w:pPr>
      <w:r>
        <w:t>Website:</w:t>
      </w:r>
      <w:r>
        <w:tab/>
      </w:r>
      <w:hyperlink r:id="rId40">
        <w:r>
          <w:rPr>
            <w:spacing w:val="-1"/>
            <w:u w:val="single"/>
          </w:rPr>
          <w:t>https://www.commerce.alaska.gov/web/cbpl/ProfessionalLicensing.aspx</w:t>
        </w:r>
      </w:hyperlink>
      <w:r>
        <w:rPr>
          <w:spacing w:val="-1"/>
        </w:rPr>
        <w:t xml:space="preserve"> </w:t>
      </w:r>
      <w:r>
        <w:t>Phone:</w:t>
      </w:r>
      <w:r>
        <w:tab/>
        <w:t>(907)</w:t>
      </w:r>
      <w:r>
        <w:rPr>
          <w:spacing w:val="-5"/>
        </w:rPr>
        <w:t xml:space="preserve"> </w:t>
      </w:r>
      <w:r>
        <w:t>465-2550</w:t>
      </w:r>
    </w:p>
    <w:p w14:paraId="1746AD67" w14:textId="77777777" w:rsidR="00CA03B4" w:rsidRDefault="00000000">
      <w:pPr>
        <w:pStyle w:val="BodyText"/>
        <w:tabs>
          <w:tab w:val="left" w:pos="2380"/>
        </w:tabs>
        <w:spacing w:before="2"/>
        <w:ind w:left="1212"/>
      </w:pPr>
      <w:r>
        <w:t>Email:</w:t>
      </w:r>
      <w:r>
        <w:tab/>
      </w:r>
      <w:hyperlink r:id="rId41">
        <w:r>
          <w:rPr>
            <w:u w:val="single"/>
          </w:rPr>
          <w:t>license@alaska.gov</w:t>
        </w:r>
      </w:hyperlink>
    </w:p>
    <w:p w14:paraId="0D7713A6" w14:textId="77777777" w:rsidR="00CA03B4" w:rsidRDefault="00CA03B4">
      <w:pPr>
        <w:pStyle w:val="BodyText"/>
        <w:spacing w:before="10"/>
        <w:rPr>
          <w:sz w:val="11"/>
        </w:rPr>
      </w:pPr>
    </w:p>
    <w:p w14:paraId="2C3988DE" w14:textId="77777777" w:rsidR="00CA03B4" w:rsidRDefault="00000000">
      <w:pPr>
        <w:pStyle w:val="BodyText"/>
        <w:spacing w:before="56"/>
        <w:ind w:left="939"/>
      </w:pPr>
      <w:r>
        <w:t>Acceptable evidence that the contractor possesses a valid Alaska business license may consist of any one of the following:</w:t>
      </w:r>
    </w:p>
    <w:p w14:paraId="36448404" w14:textId="77777777" w:rsidR="00CA03B4" w:rsidRDefault="00CA03B4">
      <w:pPr>
        <w:pStyle w:val="BodyText"/>
        <w:spacing w:before="3"/>
        <w:rPr>
          <w:sz w:val="16"/>
        </w:rPr>
      </w:pPr>
    </w:p>
    <w:p w14:paraId="7D895F59" w14:textId="77777777" w:rsidR="00CA03B4" w:rsidRDefault="00000000">
      <w:pPr>
        <w:pStyle w:val="ListParagraph"/>
        <w:numPr>
          <w:ilvl w:val="1"/>
          <w:numId w:val="3"/>
        </w:numPr>
        <w:tabs>
          <w:tab w:val="left" w:pos="1660"/>
        </w:tabs>
        <w:spacing w:line="268" w:lineRule="exact"/>
        <w:ind w:hanging="269"/>
      </w:pPr>
      <w:r>
        <w:t>copy of an Alaska business</w:t>
      </w:r>
      <w:r>
        <w:rPr>
          <w:spacing w:val="-10"/>
        </w:rPr>
        <w:t xml:space="preserve"> </w:t>
      </w:r>
      <w:proofErr w:type="gramStart"/>
      <w:r>
        <w:t>license;</w:t>
      </w:r>
      <w:proofErr w:type="gramEnd"/>
    </w:p>
    <w:p w14:paraId="1A1BC7A1" w14:textId="77777777" w:rsidR="00CA03B4" w:rsidRDefault="00000000">
      <w:pPr>
        <w:pStyle w:val="ListParagraph"/>
        <w:numPr>
          <w:ilvl w:val="1"/>
          <w:numId w:val="3"/>
        </w:numPr>
        <w:tabs>
          <w:tab w:val="left" w:pos="1660"/>
        </w:tabs>
        <w:ind w:right="376"/>
      </w:pPr>
      <w:r>
        <w:t>certification on the bid that the contractor has a valid Alaska business license and has included the license number in the bid (see Attachment 1- Bid Submission Cover</w:t>
      </w:r>
      <w:r>
        <w:rPr>
          <w:spacing w:val="-26"/>
        </w:rPr>
        <w:t xml:space="preserve"> </w:t>
      </w:r>
      <w:r>
        <w:t>Sheet</w:t>
      </w:r>
      <w:proofErr w:type="gramStart"/>
      <w:r>
        <w:t>);</w:t>
      </w:r>
      <w:proofErr w:type="gramEnd"/>
    </w:p>
    <w:p w14:paraId="36C62D5A" w14:textId="77777777" w:rsidR="00CA03B4" w:rsidRDefault="00000000">
      <w:pPr>
        <w:pStyle w:val="ListParagraph"/>
        <w:numPr>
          <w:ilvl w:val="1"/>
          <w:numId w:val="3"/>
        </w:numPr>
        <w:tabs>
          <w:tab w:val="left" w:pos="1660"/>
        </w:tabs>
        <w:spacing w:line="267" w:lineRule="exact"/>
        <w:ind w:hanging="269"/>
      </w:pPr>
      <w:r>
        <w:t>a canceled check for the Alaska business license</w:t>
      </w:r>
      <w:r>
        <w:rPr>
          <w:spacing w:val="-16"/>
        </w:rPr>
        <w:t xml:space="preserve"> </w:t>
      </w:r>
      <w:proofErr w:type="gramStart"/>
      <w:r>
        <w:t>fee;</w:t>
      </w:r>
      <w:proofErr w:type="gramEnd"/>
    </w:p>
    <w:p w14:paraId="6BC6A292" w14:textId="77777777" w:rsidR="00CA03B4" w:rsidRDefault="00000000">
      <w:pPr>
        <w:pStyle w:val="ListParagraph"/>
        <w:numPr>
          <w:ilvl w:val="1"/>
          <w:numId w:val="3"/>
        </w:numPr>
        <w:tabs>
          <w:tab w:val="left" w:pos="1660"/>
        </w:tabs>
        <w:spacing w:line="242" w:lineRule="auto"/>
        <w:ind w:right="380"/>
      </w:pPr>
      <w:r>
        <w:t>a copy of the Alaska business license application with a receipt stamp from the state's occupational licensing office;</w:t>
      </w:r>
      <w:r>
        <w:rPr>
          <w:spacing w:val="-9"/>
        </w:rPr>
        <w:t xml:space="preserve"> </w:t>
      </w:r>
      <w:r>
        <w:t>or</w:t>
      </w:r>
    </w:p>
    <w:p w14:paraId="3E57A2D1" w14:textId="77777777" w:rsidR="00CA03B4" w:rsidRDefault="00000000">
      <w:pPr>
        <w:pStyle w:val="ListParagraph"/>
        <w:numPr>
          <w:ilvl w:val="1"/>
          <w:numId w:val="3"/>
        </w:numPr>
        <w:tabs>
          <w:tab w:val="left" w:pos="1660"/>
        </w:tabs>
        <w:ind w:right="382"/>
      </w:pPr>
      <w:r>
        <w:t>a sworn and notarized statement that the contractor has applied and paid for the Alaska business license.</w:t>
      </w:r>
    </w:p>
    <w:p w14:paraId="430DF56E" w14:textId="77777777" w:rsidR="00CA03B4" w:rsidRDefault="00000000">
      <w:pPr>
        <w:pStyle w:val="BodyText"/>
        <w:ind w:left="939" w:right="228"/>
      </w:pPr>
      <w:r>
        <w:t>You are not required to hold a valid Alaska business license at the time bids are opened if you possess one of the following licenses and are offering services or supplies under that specific line of business:</w:t>
      </w:r>
    </w:p>
    <w:p w14:paraId="098D5E12" w14:textId="77777777" w:rsidR="00CA03B4" w:rsidRDefault="00000000">
      <w:pPr>
        <w:pStyle w:val="ListParagraph"/>
        <w:numPr>
          <w:ilvl w:val="2"/>
          <w:numId w:val="3"/>
        </w:numPr>
        <w:tabs>
          <w:tab w:val="left" w:pos="2111"/>
          <w:tab w:val="left" w:pos="2112"/>
        </w:tabs>
        <w:spacing w:before="195"/>
        <w:ind w:right="377" w:hanging="452"/>
        <w:jc w:val="left"/>
      </w:pPr>
      <w:r>
        <w:t>fisheries business licenses issued by Alaska Department of Revenue or Alaska Department of Fish and</w:t>
      </w:r>
      <w:r>
        <w:rPr>
          <w:spacing w:val="-3"/>
        </w:rPr>
        <w:t xml:space="preserve"> </w:t>
      </w:r>
      <w:r>
        <w:t>Game,</w:t>
      </w:r>
    </w:p>
    <w:p w14:paraId="0F5E9B9A" w14:textId="77777777" w:rsidR="00CA03B4" w:rsidRDefault="00000000">
      <w:pPr>
        <w:pStyle w:val="ListParagraph"/>
        <w:numPr>
          <w:ilvl w:val="2"/>
          <w:numId w:val="3"/>
        </w:numPr>
        <w:tabs>
          <w:tab w:val="left" w:pos="2111"/>
          <w:tab w:val="left" w:pos="2112"/>
        </w:tabs>
        <w:spacing w:before="3" w:line="280" w:lineRule="exact"/>
        <w:jc w:val="left"/>
      </w:pPr>
      <w:r>
        <w:t>liquor licenses issued by Alaska Department of Revenue for alcohol sales</w:t>
      </w:r>
      <w:r>
        <w:rPr>
          <w:spacing w:val="-29"/>
        </w:rPr>
        <w:t xml:space="preserve"> </w:t>
      </w:r>
      <w:r>
        <w:t>only,</w:t>
      </w:r>
    </w:p>
    <w:p w14:paraId="3B842C3A" w14:textId="77777777" w:rsidR="00CA03B4" w:rsidRDefault="00000000">
      <w:pPr>
        <w:pStyle w:val="ListParagraph"/>
        <w:numPr>
          <w:ilvl w:val="2"/>
          <w:numId w:val="3"/>
        </w:numPr>
        <w:tabs>
          <w:tab w:val="left" w:pos="2111"/>
          <w:tab w:val="left" w:pos="2112"/>
        </w:tabs>
        <w:ind w:right="376"/>
        <w:jc w:val="left"/>
      </w:pPr>
      <w:r>
        <w:t>insurance licenses issued by Alaska Department of Commerce, Community and Economic Development, Division of Insurance,</w:t>
      </w:r>
      <w:r>
        <w:rPr>
          <w:spacing w:val="-10"/>
        </w:rPr>
        <w:t xml:space="preserve"> </w:t>
      </w:r>
      <w:r>
        <w:t>or</w:t>
      </w:r>
    </w:p>
    <w:p w14:paraId="58A17945" w14:textId="77777777" w:rsidR="00CA03B4" w:rsidRDefault="00000000">
      <w:pPr>
        <w:pStyle w:val="ListParagraph"/>
        <w:numPr>
          <w:ilvl w:val="2"/>
          <w:numId w:val="3"/>
        </w:numPr>
        <w:tabs>
          <w:tab w:val="left" w:pos="2107"/>
          <w:tab w:val="left" w:pos="2108"/>
        </w:tabs>
        <w:spacing w:line="279" w:lineRule="exact"/>
        <w:ind w:left="2107" w:hanging="449"/>
        <w:jc w:val="left"/>
      </w:pPr>
      <w:r>
        <w:t>Mining licenses issued by Alaska Department of</w:t>
      </w:r>
      <w:r>
        <w:rPr>
          <w:spacing w:val="-11"/>
        </w:rPr>
        <w:t xml:space="preserve"> </w:t>
      </w:r>
      <w:r>
        <w:t>Revenue.</w:t>
      </w:r>
    </w:p>
    <w:p w14:paraId="45B641DB" w14:textId="77777777" w:rsidR="00CA03B4" w:rsidRDefault="00000000">
      <w:pPr>
        <w:pStyle w:val="BodyText"/>
        <w:spacing w:before="199"/>
        <w:ind w:left="939" w:right="379"/>
      </w:pPr>
      <w:r>
        <w:t>At the time designated for bid opening, all contractors must hold any other necessary applicable professional licenses required by Alaska Statute.</w:t>
      </w:r>
    </w:p>
    <w:p w14:paraId="7C0936B6" w14:textId="77777777" w:rsidR="00CA03B4" w:rsidRDefault="00CA03B4">
      <w:pPr>
        <w:sectPr w:rsidR="00CA03B4">
          <w:pgSz w:w="12240" w:h="15840"/>
          <w:pgMar w:top="420" w:right="700" w:bottom="600" w:left="860" w:header="0" w:footer="329" w:gutter="0"/>
          <w:cols w:space="720"/>
        </w:sectPr>
      </w:pPr>
    </w:p>
    <w:p w14:paraId="0884E140" w14:textId="77777777" w:rsidR="00CA03B4" w:rsidRDefault="00000000">
      <w:pPr>
        <w:pStyle w:val="Heading1"/>
        <w:spacing w:before="31"/>
        <w:rPr>
          <w:u w:val="none"/>
        </w:rPr>
      </w:pPr>
      <w:bookmarkStart w:id="6" w:name="SECTION_VII_-__INVOICING_AND_PAYMENTS"/>
      <w:bookmarkEnd w:id="6"/>
      <w:r>
        <w:lastRenderedPageBreak/>
        <w:t>SECTION VII - INVOICING AND PAYMENTS</w:t>
      </w:r>
    </w:p>
    <w:p w14:paraId="6CC214E9" w14:textId="77777777" w:rsidR="00CA03B4" w:rsidRDefault="00CA03B4">
      <w:pPr>
        <w:pStyle w:val="BodyText"/>
        <w:spacing w:before="3"/>
        <w:rPr>
          <w:sz w:val="15"/>
        </w:rPr>
      </w:pPr>
    </w:p>
    <w:p w14:paraId="6CA9257A" w14:textId="77777777" w:rsidR="00CA03B4" w:rsidRDefault="00000000">
      <w:pPr>
        <w:pStyle w:val="ListParagraph"/>
        <w:numPr>
          <w:ilvl w:val="0"/>
          <w:numId w:val="2"/>
        </w:numPr>
        <w:tabs>
          <w:tab w:val="left" w:pos="940"/>
        </w:tabs>
        <w:spacing w:before="56"/>
        <w:ind w:right="378"/>
        <w:jc w:val="both"/>
      </w:pPr>
      <w:r>
        <w:t xml:space="preserve">PRICE DECREASES: During the period of the contract all price decreases experienced by the contractor must be passed on to the state. A contractor's failure to </w:t>
      </w:r>
      <w:proofErr w:type="gramStart"/>
      <w:r>
        <w:t>strictly and faithfully adhere to this clause</w:t>
      </w:r>
      <w:proofErr w:type="gramEnd"/>
      <w:r>
        <w:t>, within the time required, will be considered in breach of</w:t>
      </w:r>
      <w:r>
        <w:rPr>
          <w:spacing w:val="-20"/>
        </w:rPr>
        <w:t xml:space="preserve"> </w:t>
      </w:r>
      <w:r>
        <w:t>contract.</w:t>
      </w:r>
    </w:p>
    <w:p w14:paraId="300FBCD2" w14:textId="77777777" w:rsidR="00CA03B4" w:rsidRDefault="00CA03B4">
      <w:pPr>
        <w:pStyle w:val="BodyText"/>
        <w:spacing w:before="10"/>
        <w:rPr>
          <w:sz w:val="21"/>
        </w:rPr>
      </w:pPr>
    </w:p>
    <w:p w14:paraId="66CB95BC" w14:textId="77777777" w:rsidR="00CA03B4" w:rsidRDefault="00000000">
      <w:pPr>
        <w:pStyle w:val="ListParagraph"/>
        <w:numPr>
          <w:ilvl w:val="0"/>
          <w:numId w:val="2"/>
        </w:numPr>
        <w:tabs>
          <w:tab w:val="left" w:pos="940"/>
        </w:tabs>
        <w:ind w:right="373"/>
        <w:jc w:val="both"/>
      </w:pPr>
      <w:r>
        <w:t>PAYMENT FOR STATE PURCHASES: Payment for agreements under $500,000 for the undisputed purchase of goods or services provided to a state agency, will be made within 30 days of the receipt of a proper billing or the delivery of the goods or services to the location(s) specified in the agreement, whichever is later. A late payment is subject to 1.5% interest per month on the unpaid balance. Interest will not be paid if there is a dispute or if there is an agreement that establishes a lower interest rate or precludes the charging of</w:t>
      </w:r>
      <w:r>
        <w:rPr>
          <w:spacing w:val="-6"/>
        </w:rPr>
        <w:t xml:space="preserve"> </w:t>
      </w:r>
      <w:r>
        <w:t>interest.</w:t>
      </w:r>
    </w:p>
    <w:p w14:paraId="2B3C3825" w14:textId="77777777" w:rsidR="00CA03B4" w:rsidRDefault="00CA03B4">
      <w:pPr>
        <w:pStyle w:val="BodyText"/>
      </w:pPr>
    </w:p>
    <w:p w14:paraId="4042BE08" w14:textId="77777777" w:rsidR="00CA03B4" w:rsidRDefault="00000000">
      <w:pPr>
        <w:pStyle w:val="ListParagraph"/>
        <w:numPr>
          <w:ilvl w:val="0"/>
          <w:numId w:val="2"/>
        </w:numPr>
        <w:tabs>
          <w:tab w:val="left" w:pos="940"/>
        </w:tabs>
        <w:ind w:right="373"/>
        <w:jc w:val="both"/>
      </w:pPr>
      <w:r>
        <w:t>BILLING INSTRUCTIONS: Invoices must be sent directly to the ordering agency's address shown on the individual Purchase Order, Contract Award or Delivery Order. The ordering agency will only make payment after the service is completed and they receive an invoice. Questions concerning payment must be addressed to the ordering agency. Payment shall be made as authorized by the state and in accordance with the terms and conditions of this</w:t>
      </w:r>
      <w:r>
        <w:rPr>
          <w:spacing w:val="-22"/>
        </w:rPr>
        <w:t xml:space="preserve"> </w:t>
      </w:r>
      <w:r>
        <w:t>contract.</w:t>
      </w:r>
    </w:p>
    <w:p w14:paraId="5B810389" w14:textId="77777777" w:rsidR="00CA03B4" w:rsidRDefault="00CA03B4">
      <w:pPr>
        <w:pStyle w:val="BodyText"/>
        <w:spacing w:before="1"/>
      </w:pPr>
    </w:p>
    <w:p w14:paraId="7F71754F" w14:textId="77777777" w:rsidR="00CA03B4" w:rsidRDefault="00000000">
      <w:pPr>
        <w:pStyle w:val="ListParagraph"/>
        <w:numPr>
          <w:ilvl w:val="0"/>
          <w:numId w:val="2"/>
        </w:numPr>
        <w:tabs>
          <w:tab w:val="left" w:pos="940"/>
        </w:tabs>
        <w:ind w:right="382"/>
        <w:jc w:val="both"/>
      </w:pPr>
      <w:r>
        <w:t>INVOICES: The Contractor must submit an itemized invoice directly to the ordering agency. Payment will be made by that agency directly to the Contractor. The Contractors' invoice shall clearly</w:t>
      </w:r>
      <w:r>
        <w:rPr>
          <w:spacing w:val="-32"/>
        </w:rPr>
        <w:t xml:space="preserve"> </w:t>
      </w:r>
      <w:r>
        <w:t>state:</w:t>
      </w:r>
    </w:p>
    <w:p w14:paraId="3EAE5009" w14:textId="77777777" w:rsidR="00CA03B4" w:rsidRDefault="00CA03B4">
      <w:pPr>
        <w:pStyle w:val="BodyText"/>
        <w:spacing w:before="2"/>
      </w:pPr>
    </w:p>
    <w:p w14:paraId="40413852" w14:textId="77777777" w:rsidR="00CA03B4" w:rsidRDefault="00000000">
      <w:pPr>
        <w:pStyle w:val="ListParagraph"/>
        <w:numPr>
          <w:ilvl w:val="1"/>
          <w:numId w:val="2"/>
        </w:numPr>
        <w:tabs>
          <w:tab w:val="left" w:pos="1659"/>
          <w:tab w:val="left" w:pos="1661"/>
        </w:tabs>
        <w:spacing w:before="1" w:line="280" w:lineRule="exact"/>
        <w:ind w:hanging="362"/>
        <w:jc w:val="left"/>
      </w:pPr>
      <w:r>
        <w:t>Actual hours worked at labor rates</w:t>
      </w:r>
      <w:r>
        <w:rPr>
          <w:spacing w:val="-16"/>
        </w:rPr>
        <w:t xml:space="preserve"> </w:t>
      </w:r>
      <w:proofErr w:type="gramStart"/>
      <w:r>
        <w:t>quoted;</w:t>
      </w:r>
      <w:proofErr w:type="gramEnd"/>
    </w:p>
    <w:p w14:paraId="211A6D78" w14:textId="77777777" w:rsidR="00CA03B4" w:rsidRDefault="00000000">
      <w:pPr>
        <w:pStyle w:val="ListParagraph"/>
        <w:numPr>
          <w:ilvl w:val="1"/>
          <w:numId w:val="2"/>
        </w:numPr>
        <w:tabs>
          <w:tab w:val="left" w:pos="1660"/>
          <w:tab w:val="left" w:pos="1661"/>
        </w:tabs>
        <w:spacing w:line="280" w:lineRule="exact"/>
        <w:jc w:val="left"/>
      </w:pPr>
      <w:r>
        <w:t>A complete description of work performed, location, and</w:t>
      </w:r>
      <w:r>
        <w:rPr>
          <w:spacing w:val="-19"/>
        </w:rPr>
        <w:t xml:space="preserve"> </w:t>
      </w:r>
      <w:proofErr w:type="gramStart"/>
      <w:r>
        <w:t>date;</w:t>
      </w:r>
      <w:proofErr w:type="gramEnd"/>
    </w:p>
    <w:p w14:paraId="0DE6599B" w14:textId="77777777" w:rsidR="00CA03B4" w:rsidRDefault="00000000">
      <w:pPr>
        <w:pStyle w:val="ListParagraph"/>
        <w:numPr>
          <w:ilvl w:val="1"/>
          <w:numId w:val="2"/>
        </w:numPr>
        <w:tabs>
          <w:tab w:val="left" w:pos="1660"/>
          <w:tab w:val="left" w:pos="1661"/>
        </w:tabs>
        <w:ind w:right="373" w:hanging="360"/>
        <w:jc w:val="left"/>
      </w:pPr>
      <w:r>
        <w:t>Reimbursable travel and transportation expenses with documentation to support reimbursement claims;</w:t>
      </w:r>
      <w:r>
        <w:rPr>
          <w:spacing w:val="-5"/>
        </w:rPr>
        <w:t xml:space="preserve"> </w:t>
      </w:r>
      <w:r>
        <w:t>and,</w:t>
      </w:r>
    </w:p>
    <w:p w14:paraId="59084DF3" w14:textId="77777777" w:rsidR="00CA03B4" w:rsidRDefault="00000000">
      <w:pPr>
        <w:pStyle w:val="ListParagraph"/>
        <w:numPr>
          <w:ilvl w:val="1"/>
          <w:numId w:val="2"/>
        </w:numPr>
        <w:tabs>
          <w:tab w:val="left" w:pos="1660"/>
          <w:tab w:val="left" w:pos="1661"/>
        </w:tabs>
        <w:spacing w:line="279" w:lineRule="exact"/>
        <w:jc w:val="left"/>
      </w:pPr>
      <w:r>
        <w:t>Copy of original written quote (upon</w:t>
      </w:r>
      <w:r>
        <w:rPr>
          <w:spacing w:val="-16"/>
        </w:rPr>
        <w:t xml:space="preserve"> </w:t>
      </w:r>
      <w:r>
        <w:t>request).</w:t>
      </w:r>
    </w:p>
    <w:p w14:paraId="2EA3376C" w14:textId="77777777" w:rsidR="00CA03B4" w:rsidRDefault="00CA03B4">
      <w:pPr>
        <w:pStyle w:val="BodyText"/>
        <w:spacing w:before="10"/>
        <w:rPr>
          <w:sz w:val="21"/>
        </w:rPr>
      </w:pPr>
    </w:p>
    <w:p w14:paraId="46920366" w14:textId="77777777" w:rsidR="00CA03B4" w:rsidRDefault="00000000">
      <w:pPr>
        <w:pStyle w:val="ListParagraph"/>
        <w:numPr>
          <w:ilvl w:val="0"/>
          <w:numId w:val="2"/>
        </w:numPr>
        <w:tabs>
          <w:tab w:val="left" w:pos="940"/>
        </w:tabs>
        <w:ind w:right="376"/>
        <w:jc w:val="both"/>
      </w:pPr>
      <w:r>
        <w:t xml:space="preserve">INVOICE DISCREPANCIES: Invoice verification will be routinely performed on contract pricing to assure contract compliance. Overcharges shall be credited to individual agency accounts by the Contractor within 30 days of notification. In the case of frequent discrepancies, or at the reasonable request of the state, the Contractor will be required to perform an </w:t>
      </w:r>
      <w:proofErr w:type="gramStart"/>
      <w:r>
        <w:t>item by item</w:t>
      </w:r>
      <w:proofErr w:type="gramEnd"/>
      <w:r>
        <w:t xml:space="preserve"> audit to correct all pricing errors. Repeated cases of invoice errors may cause the contract to be</w:t>
      </w:r>
      <w:r>
        <w:rPr>
          <w:spacing w:val="-20"/>
        </w:rPr>
        <w:t xml:space="preserve"> </w:t>
      </w:r>
      <w:r>
        <w:t>terminated.</w:t>
      </w:r>
    </w:p>
    <w:p w14:paraId="6A993FBC" w14:textId="77777777" w:rsidR="00CA03B4" w:rsidRDefault="00CA03B4">
      <w:pPr>
        <w:pStyle w:val="BodyText"/>
        <w:spacing w:before="1"/>
      </w:pPr>
    </w:p>
    <w:p w14:paraId="142F0DC7" w14:textId="77777777" w:rsidR="00CA03B4" w:rsidRDefault="00000000">
      <w:pPr>
        <w:pStyle w:val="ListParagraph"/>
        <w:numPr>
          <w:ilvl w:val="0"/>
          <w:numId w:val="2"/>
        </w:numPr>
        <w:tabs>
          <w:tab w:val="left" w:pos="940"/>
        </w:tabs>
        <w:ind w:left="940"/>
      </w:pPr>
      <w:r>
        <w:t>DIRECT PURCHASING OF ELECTRICAL</w:t>
      </w:r>
      <w:r>
        <w:rPr>
          <w:spacing w:val="-3"/>
        </w:rPr>
        <w:t xml:space="preserve"> </w:t>
      </w:r>
      <w:r>
        <w:t>SERVICES:</w:t>
      </w:r>
    </w:p>
    <w:p w14:paraId="6C305625" w14:textId="77777777" w:rsidR="00CA03B4" w:rsidRDefault="00000000">
      <w:pPr>
        <w:pStyle w:val="ListParagraph"/>
        <w:numPr>
          <w:ilvl w:val="0"/>
          <w:numId w:val="1"/>
        </w:numPr>
        <w:tabs>
          <w:tab w:val="left" w:pos="1660"/>
        </w:tabs>
        <w:spacing w:before="172"/>
        <w:ind w:right="374"/>
        <w:jc w:val="both"/>
      </w:pPr>
      <w:r>
        <w:t>ELECTRONIC FUNDS TRANSFER (EFT): The use of EFT may be an option for payment of goods purchased off this contract. This option is not a requirement for the award of this contract. If the successful contractor’s bank has the capability of receiving payment via EFT, the state reserves the right to make payments</w:t>
      </w:r>
      <w:r>
        <w:rPr>
          <w:spacing w:val="-14"/>
        </w:rPr>
        <w:t xml:space="preserve"> </w:t>
      </w:r>
      <w:r>
        <w:t>electronically.</w:t>
      </w:r>
    </w:p>
    <w:p w14:paraId="1565B4E4" w14:textId="77777777" w:rsidR="00CA03B4" w:rsidRDefault="00CA03B4">
      <w:pPr>
        <w:pStyle w:val="BodyText"/>
        <w:spacing w:before="9"/>
        <w:rPr>
          <w:sz w:val="21"/>
        </w:rPr>
      </w:pPr>
    </w:p>
    <w:p w14:paraId="79D95495" w14:textId="77777777" w:rsidR="00CA03B4" w:rsidRDefault="00000000">
      <w:pPr>
        <w:pStyle w:val="BodyText"/>
        <w:spacing w:line="242" w:lineRule="auto"/>
        <w:ind w:left="1660" w:right="377" w:hanging="1"/>
        <w:jc w:val="both"/>
      </w:pPr>
      <w:r>
        <w:t xml:space="preserve">If an ordering agency purchases service with ETF, the contractor </w:t>
      </w:r>
      <w:r>
        <w:rPr>
          <w:i/>
        </w:rPr>
        <w:t xml:space="preserve">will send </w:t>
      </w:r>
      <w:r>
        <w:t xml:space="preserve">a scanned copy of the purchasing request to the DGS contract administrator within 24 hours. The document will identify the purchasing agency, </w:t>
      </w:r>
      <w:proofErr w:type="gramStart"/>
      <w:r>
        <w:t>date</w:t>
      </w:r>
      <w:proofErr w:type="gramEnd"/>
      <w:r>
        <w:t xml:space="preserve"> and total amount of purchase.</w:t>
      </w:r>
    </w:p>
    <w:p w14:paraId="218EDC74" w14:textId="77777777" w:rsidR="00CA03B4" w:rsidRDefault="00CA03B4">
      <w:pPr>
        <w:pStyle w:val="BodyText"/>
        <w:spacing w:before="6"/>
        <w:rPr>
          <w:sz w:val="21"/>
        </w:rPr>
      </w:pPr>
    </w:p>
    <w:p w14:paraId="00AC1F98" w14:textId="77777777" w:rsidR="00CA03B4" w:rsidRDefault="00000000">
      <w:pPr>
        <w:pStyle w:val="ListParagraph"/>
        <w:numPr>
          <w:ilvl w:val="0"/>
          <w:numId w:val="1"/>
        </w:numPr>
        <w:tabs>
          <w:tab w:val="left" w:pos="1660"/>
        </w:tabs>
        <w:ind w:right="377"/>
        <w:jc w:val="both"/>
      </w:pPr>
      <w:r>
        <w:t xml:space="preserve">CREDIT CARD PURCHASES: The Contractor shall accept the state’s credit card as a </w:t>
      </w:r>
      <w:proofErr w:type="gramStart"/>
      <w:r>
        <w:t>payment  option</w:t>
      </w:r>
      <w:proofErr w:type="gramEnd"/>
      <w:r>
        <w:t xml:space="preserve"> for orders placed under this contract. Additional fees for use of a credit card shall not be added to the contract</w:t>
      </w:r>
      <w:r>
        <w:rPr>
          <w:spacing w:val="-9"/>
        </w:rPr>
        <w:t xml:space="preserve"> </w:t>
      </w:r>
      <w:r>
        <w:t>price.</w:t>
      </w:r>
    </w:p>
    <w:p w14:paraId="6644A857" w14:textId="77777777" w:rsidR="00CA03B4" w:rsidRDefault="00CA03B4">
      <w:pPr>
        <w:pStyle w:val="BodyText"/>
        <w:spacing w:before="1"/>
      </w:pPr>
    </w:p>
    <w:p w14:paraId="72FAEC31" w14:textId="77777777" w:rsidR="00CA03B4" w:rsidRDefault="00000000">
      <w:pPr>
        <w:pStyle w:val="BodyText"/>
        <w:spacing w:before="1"/>
        <w:ind w:left="1660" w:right="375" w:hanging="1"/>
        <w:jc w:val="both"/>
      </w:pPr>
      <w:r>
        <w:t xml:space="preserve">If an ordering agency purchases service with a credit card, the contractor </w:t>
      </w:r>
      <w:r>
        <w:rPr>
          <w:i/>
        </w:rPr>
        <w:t xml:space="preserve">will send </w:t>
      </w:r>
      <w:r>
        <w:t xml:space="preserve">a scanned copy of the purchasing document to the DGS contract administrator within 24 hours. The document will identify the purchasing agency, </w:t>
      </w:r>
      <w:proofErr w:type="gramStart"/>
      <w:r>
        <w:t>date</w:t>
      </w:r>
      <w:proofErr w:type="gramEnd"/>
      <w:r>
        <w:t xml:space="preserve"> and total amount of</w:t>
      </w:r>
      <w:r>
        <w:rPr>
          <w:spacing w:val="-29"/>
        </w:rPr>
        <w:t xml:space="preserve"> </w:t>
      </w:r>
      <w:r>
        <w:t>purchase.</w:t>
      </w:r>
    </w:p>
    <w:p w14:paraId="1F441042" w14:textId="77777777" w:rsidR="00CA03B4" w:rsidRDefault="00CA03B4">
      <w:pPr>
        <w:jc w:val="both"/>
        <w:sectPr w:rsidR="00CA03B4">
          <w:pgSz w:w="12240" w:h="15840"/>
          <w:pgMar w:top="420" w:right="700" w:bottom="600" w:left="860" w:header="0" w:footer="329" w:gutter="0"/>
          <w:cols w:space="720"/>
        </w:sectPr>
      </w:pPr>
    </w:p>
    <w:p w14:paraId="11308294" w14:textId="77777777" w:rsidR="00CA03B4" w:rsidRDefault="00000000">
      <w:pPr>
        <w:pStyle w:val="ListParagraph"/>
        <w:numPr>
          <w:ilvl w:val="0"/>
          <w:numId w:val="2"/>
        </w:numPr>
        <w:tabs>
          <w:tab w:val="left" w:pos="940"/>
        </w:tabs>
        <w:spacing w:before="30"/>
        <w:ind w:right="381"/>
        <w:jc w:val="both"/>
      </w:pPr>
      <w:r>
        <w:lastRenderedPageBreak/>
        <w:t>REPORTING DIRECT PURCHASES: The preferred method of reporting ETF purchases, or Credit Card purchases, is scanned document submittal is via email. However, a hardcopy may be mailed to the contract</w:t>
      </w:r>
      <w:r>
        <w:rPr>
          <w:spacing w:val="-3"/>
        </w:rPr>
        <w:t xml:space="preserve"> </w:t>
      </w:r>
      <w:r>
        <w:t>administrator:</w:t>
      </w:r>
    </w:p>
    <w:p w14:paraId="0D0E3000" w14:textId="77777777" w:rsidR="00CA03B4" w:rsidRDefault="00CA03B4">
      <w:pPr>
        <w:pStyle w:val="BodyText"/>
        <w:spacing w:before="3"/>
        <w:rPr>
          <w:sz w:val="16"/>
        </w:rPr>
      </w:pPr>
    </w:p>
    <w:p w14:paraId="7454275F" w14:textId="77777777" w:rsidR="00CA03B4" w:rsidRDefault="00000000">
      <w:pPr>
        <w:pStyle w:val="BodyText"/>
        <w:spacing w:line="268" w:lineRule="exact"/>
        <w:ind w:left="1660"/>
      </w:pPr>
      <w:r>
        <w:t>State of Alaska</w:t>
      </w:r>
    </w:p>
    <w:p w14:paraId="5B774A44" w14:textId="77777777" w:rsidR="00CA03B4" w:rsidRDefault="00000000">
      <w:pPr>
        <w:pStyle w:val="BodyText"/>
        <w:ind w:left="1660" w:right="6156"/>
      </w:pPr>
      <w:r>
        <w:t>Department of Administration Shared Services of Alaska (</w:t>
      </w:r>
      <w:proofErr w:type="spellStart"/>
      <w:r>
        <w:t>SSoA</w:t>
      </w:r>
      <w:proofErr w:type="spellEnd"/>
      <w:r>
        <w:t>) PO Box 110210</w:t>
      </w:r>
    </w:p>
    <w:p w14:paraId="0A68FC21" w14:textId="77777777" w:rsidR="00CA03B4" w:rsidRDefault="00000000">
      <w:pPr>
        <w:pStyle w:val="BodyText"/>
        <w:spacing w:line="267" w:lineRule="exact"/>
        <w:ind w:left="1660"/>
      </w:pPr>
      <w:r>
        <w:t>Juneau, AK 99811-0210</w:t>
      </w:r>
    </w:p>
    <w:p w14:paraId="789D4744" w14:textId="77777777" w:rsidR="00CA03B4" w:rsidRDefault="00000000">
      <w:pPr>
        <w:spacing w:before="3"/>
        <w:ind w:left="1660" w:right="5455"/>
      </w:pPr>
      <w:r>
        <w:t xml:space="preserve">ATTN: </w:t>
      </w:r>
      <w:r>
        <w:rPr>
          <w:i/>
        </w:rPr>
        <w:t xml:space="preserve">Contract Administrator’s Name </w:t>
      </w:r>
      <w:r>
        <w:t>– Electrical Services Contract #180000003</w:t>
      </w:r>
    </w:p>
    <w:p w14:paraId="44C3EE45" w14:textId="77777777" w:rsidR="00CA03B4" w:rsidRDefault="00CA03B4">
      <w:pPr>
        <w:pStyle w:val="BodyText"/>
        <w:spacing w:before="11"/>
        <w:rPr>
          <w:sz w:val="21"/>
        </w:rPr>
      </w:pPr>
    </w:p>
    <w:p w14:paraId="2B989C91" w14:textId="77777777" w:rsidR="00CA03B4" w:rsidRDefault="00000000">
      <w:pPr>
        <w:pStyle w:val="BodyText"/>
        <w:ind w:left="939" w:right="373"/>
        <w:jc w:val="both"/>
      </w:pPr>
      <w:r>
        <w:t>NOTE: Ordering agencies will be instructed to submit a copy of the final invoice or credit card payment receipt directly to the DGS Contract Administrator listed on this solicitation or on the Contract Award Manual at the DGS website. The payment information submitted by both the contractor and purchasing agency will be used for contract auditing purposes. Direct purchases must be also reported on quarterly reports.</w:t>
      </w:r>
    </w:p>
    <w:sectPr w:rsidR="00CA03B4">
      <w:pgSz w:w="12240" w:h="15840"/>
      <w:pgMar w:top="420" w:right="700" w:bottom="600" w:left="860" w:header="0" w:footer="3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2BAB0" w14:textId="77777777" w:rsidR="00867D41" w:rsidRDefault="00867D41">
      <w:r>
        <w:separator/>
      </w:r>
    </w:p>
  </w:endnote>
  <w:endnote w:type="continuationSeparator" w:id="0">
    <w:p w14:paraId="19C5344C" w14:textId="77777777" w:rsidR="00867D41" w:rsidRDefault="00867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9D1D2" w14:textId="77777777" w:rsidR="00CA03B4" w:rsidRDefault="00000000">
    <w:pPr>
      <w:pStyle w:val="BodyText"/>
      <w:spacing w:line="14" w:lineRule="auto"/>
      <w:rPr>
        <w:sz w:val="12"/>
      </w:rPr>
    </w:pPr>
    <w:r>
      <w:pict w14:anchorId="4CE05B56">
        <v:shapetype id="_x0000_t202" coordsize="21600,21600" o:spt="202" path="m,l,21600r21600,l21600,xe">
          <v:stroke joinstyle="miter"/>
          <v:path gradientshapeok="t" o:connecttype="rect"/>
        </v:shapetype>
        <v:shape id="_x0000_s1025" type="#_x0000_t202" style="position:absolute;margin-left:484.4pt;margin-top:760.55pt;width:74.45pt;height:10.95pt;z-index:-251658752;mso-position-horizontal-relative:page;mso-position-vertical-relative:page" filled="f" stroked="f">
          <v:textbox inset="0,0,0,0">
            <w:txbxContent>
              <w:p w14:paraId="09FC5578" w14:textId="77777777" w:rsidR="00CA03B4" w:rsidRDefault="00000000">
                <w:pPr>
                  <w:spacing w:before="14"/>
                  <w:ind w:left="20"/>
                  <w:rPr>
                    <w:rFonts w:ascii="Arial"/>
                    <w:sz w:val="16"/>
                  </w:rPr>
                </w:pPr>
                <w:r>
                  <w:rPr>
                    <w:rFonts w:ascii="Arial"/>
                    <w:sz w:val="16"/>
                  </w:rPr>
                  <w:t>Updated 08/01/2022</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E8D03" w14:textId="77777777" w:rsidR="00867D41" w:rsidRDefault="00867D41">
      <w:r>
        <w:separator/>
      </w:r>
    </w:p>
  </w:footnote>
  <w:footnote w:type="continuationSeparator" w:id="0">
    <w:p w14:paraId="3B4A0203" w14:textId="77777777" w:rsidR="00867D41" w:rsidRDefault="00867D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E1210"/>
    <w:multiLevelType w:val="hybridMultilevel"/>
    <w:tmpl w:val="6B64726A"/>
    <w:lvl w:ilvl="0" w:tplc="AA4EF262">
      <w:start w:val="1"/>
      <w:numFmt w:val="decimal"/>
      <w:lvlText w:val="%1."/>
      <w:lvlJc w:val="left"/>
      <w:pPr>
        <w:ind w:left="1299" w:hanging="360"/>
        <w:jc w:val="left"/>
      </w:pPr>
      <w:rPr>
        <w:rFonts w:ascii="Calibri Light" w:eastAsia="Calibri Light" w:hAnsi="Calibri Light" w:cs="Calibri Light" w:hint="default"/>
        <w:w w:val="100"/>
        <w:sz w:val="22"/>
        <w:szCs w:val="22"/>
        <w:lang w:val="en-US" w:eastAsia="en-US" w:bidi="ar-SA"/>
      </w:rPr>
    </w:lvl>
    <w:lvl w:ilvl="1" w:tplc="46023652">
      <w:numFmt w:val="bullet"/>
      <w:lvlText w:val="•"/>
      <w:lvlJc w:val="left"/>
      <w:pPr>
        <w:ind w:left="2238" w:hanging="360"/>
      </w:pPr>
      <w:rPr>
        <w:rFonts w:hint="default"/>
        <w:lang w:val="en-US" w:eastAsia="en-US" w:bidi="ar-SA"/>
      </w:rPr>
    </w:lvl>
    <w:lvl w:ilvl="2" w:tplc="3EBAF390">
      <w:numFmt w:val="bullet"/>
      <w:lvlText w:val="•"/>
      <w:lvlJc w:val="left"/>
      <w:pPr>
        <w:ind w:left="3176" w:hanging="360"/>
      </w:pPr>
      <w:rPr>
        <w:rFonts w:hint="default"/>
        <w:lang w:val="en-US" w:eastAsia="en-US" w:bidi="ar-SA"/>
      </w:rPr>
    </w:lvl>
    <w:lvl w:ilvl="3" w:tplc="A3581A54">
      <w:numFmt w:val="bullet"/>
      <w:lvlText w:val="•"/>
      <w:lvlJc w:val="left"/>
      <w:pPr>
        <w:ind w:left="4114" w:hanging="360"/>
      </w:pPr>
      <w:rPr>
        <w:rFonts w:hint="default"/>
        <w:lang w:val="en-US" w:eastAsia="en-US" w:bidi="ar-SA"/>
      </w:rPr>
    </w:lvl>
    <w:lvl w:ilvl="4" w:tplc="55E8118C">
      <w:numFmt w:val="bullet"/>
      <w:lvlText w:val="•"/>
      <w:lvlJc w:val="left"/>
      <w:pPr>
        <w:ind w:left="5052" w:hanging="360"/>
      </w:pPr>
      <w:rPr>
        <w:rFonts w:hint="default"/>
        <w:lang w:val="en-US" w:eastAsia="en-US" w:bidi="ar-SA"/>
      </w:rPr>
    </w:lvl>
    <w:lvl w:ilvl="5" w:tplc="77126E3E">
      <w:numFmt w:val="bullet"/>
      <w:lvlText w:val="•"/>
      <w:lvlJc w:val="left"/>
      <w:pPr>
        <w:ind w:left="5990" w:hanging="360"/>
      </w:pPr>
      <w:rPr>
        <w:rFonts w:hint="default"/>
        <w:lang w:val="en-US" w:eastAsia="en-US" w:bidi="ar-SA"/>
      </w:rPr>
    </w:lvl>
    <w:lvl w:ilvl="6" w:tplc="99F60B54">
      <w:numFmt w:val="bullet"/>
      <w:lvlText w:val="•"/>
      <w:lvlJc w:val="left"/>
      <w:pPr>
        <w:ind w:left="6928" w:hanging="360"/>
      </w:pPr>
      <w:rPr>
        <w:rFonts w:hint="default"/>
        <w:lang w:val="en-US" w:eastAsia="en-US" w:bidi="ar-SA"/>
      </w:rPr>
    </w:lvl>
    <w:lvl w:ilvl="7" w:tplc="E57AFEEC">
      <w:numFmt w:val="bullet"/>
      <w:lvlText w:val="•"/>
      <w:lvlJc w:val="left"/>
      <w:pPr>
        <w:ind w:left="7866" w:hanging="360"/>
      </w:pPr>
      <w:rPr>
        <w:rFonts w:hint="default"/>
        <w:lang w:val="en-US" w:eastAsia="en-US" w:bidi="ar-SA"/>
      </w:rPr>
    </w:lvl>
    <w:lvl w:ilvl="8" w:tplc="327046D6">
      <w:numFmt w:val="bullet"/>
      <w:lvlText w:val="•"/>
      <w:lvlJc w:val="left"/>
      <w:pPr>
        <w:ind w:left="8804" w:hanging="360"/>
      </w:pPr>
      <w:rPr>
        <w:rFonts w:hint="default"/>
        <w:lang w:val="en-US" w:eastAsia="en-US" w:bidi="ar-SA"/>
      </w:rPr>
    </w:lvl>
  </w:abstractNum>
  <w:abstractNum w:abstractNumId="1" w15:restartNumberingAfterBreak="0">
    <w:nsid w:val="251A12BA"/>
    <w:multiLevelType w:val="hybridMultilevel"/>
    <w:tmpl w:val="49D01616"/>
    <w:lvl w:ilvl="0" w:tplc="989E9012">
      <w:start w:val="1"/>
      <w:numFmt w:val="decimal"/>
      <w:lvlText w:val="%1."/>
      <w:lvlJc w:val="left"/>
      <w:pPr>
        <w:ind w:left="940" w:hanging="360"/>
        <w:jc w:val="left"/>
      </w:pPr>
      <w:rPr>
        <w:rFonts w:ascii="Calibri Light" w:eastAsia="Calibri Light" w:hAnsi="Calibri Light" w:cs="Calibri Light" w:hint="default"/>
        <w:w w:val="100"/>
        <w:sz w:val="18"/>
        <w:szCs w:val="18"/>
        <w:lang w:val="en-US" w:eastAsia="en-US" w:bidi="ar-SA"/>
      </w:rPr>
    </w:lvl>
    <w:lvl w:ilvl="1" w:tplc="82C2EBA0">
      <w:numFmt w:val="bullet"/>
      <w:lvlText w:val=""/>
      <w:lvlJc w:val="left"/>
      <w:pPr>
        <w:ind w:left="1659" w:hanging="361"/>
      </w:pPr>
      <w:rPr>
        <w:rFonts w:ascii="Symbol" w:eastAsia="Symbol" w:hAnsi="Symbol" w:cs="Symbol" w:hint="default"/>
        <w:w w:val="100"/>
        <w:sz w:val="22"/>
        <w:szCs w:val="22"/>
        <w:lang w:val="en-US" w:eastAsia="en-US" w:bidi="ar-SA"/>
      </w:rPr>
    </w:lvl>
    <w:lvl w:ilvl="2" w:tplc="F7563722">
      <w:numFmt w:val="bullet"/>
      <w:lvlText w:val="•"/>
      <w:lvlJc w:val="left"/>
      <w:pPr>
        <w:ind w:left="2020" w:hanging="361"/>
      </w:pPr>
      <w:rPr>
        <w:rFonts w:hint="default"/>
        <w:lang w:val="en-US" w:eastAsia="en-US" w:bidi="ar-SA"/>
      </w:rPr>
    </w:lvl>
    <w:lvl w:ilvl="3" w:tplc="A1D2718A">
      <w:numFmt w:val="bullet"/>
      <w:lvlText w:val="•"/>
      <w:lvlJc w:val="left"/>
      <w:pPr>
        <w:ind w:left="3102" w:hanging="361"/>
      </w:pPr>
      <w:rPr>
        <w:rFonts w:hint="default"/>
        <w:lang w:val="en-US" w:eastAsia="en-US" w:bidi="ar-SA"/>
      </w:rPr>
    </w:lvl>
    <w:lvl w:ilvl="4" w:tplc="551811FA">
      <w:numFmt w:val="bullet"/>
      <w:lvlText w:val="•"/>
      <w:lvlJc w:val="left"/>
      <w:pPr>
        <w:ind w:left="4185" w:hanging="361"/>
      </w:pPr>
      <w:rPr>
        <w:rFonts w:hint="default"/>
        <w:lang w:val="en-US" w:eastAsia="en-US" w:bidi="ar-SA"/>
      </w:rPr>
    </w:lvl>
    <w:lvl w:ilvl="5" w:tplc="FEF0F988">
      <w:numFmt w:val="bullet"/>
      <w:lvlText w:val="•"/>
      <w:lvlJc w:val="left"/>
      <w:pPr>
        <w:ind w:left="5267" w:hanging="361"/>
      </w:pPr>
      <w:rPr>
        <w:rFonts w:hint="default"/>
        <w:lang w:val="en-US" w:eastAsia="en-US" w:bidi="ar-SA"/>
      </w:rPr>
    </w:lvl>
    <w:lvl w:ilvl="6" w:tplc="72521D56">
      <w:numFmt w:val="bullet"/>
      <w:lvlText w:val="•"/>
      <w:lvlJc w:val="left"/>
      <w:pPr>
        <w:ind w:left="6350" w:hanging="361"/>
      </w:pPr>
      <w:rPr>
        <w:rFonts w:hint="default"/>
        <w:lang w:val="en-US" w:eastAsia="en-US" w:bidi="ar-SA"/>
      </w:rPr>
    </w:lvl>
    <w:lvl w:ilvl="7" w:tplc="B832D488">
      <w:numFmt w:val="bullet"/>
      <w:lvlText w:val="•"/>
      <w:lvlJc w:val="left"/>
      <w:pPr>
        <w:ind w:left="7432" w:hanging="361"/>
      </w:pPr>
      <w:rPr>
        <w:rFonts w:hint="default"/>
        <w:lang w:val="en-US" w:eastAsia="en-US" w:bidi="ar-SA"/>
      </w:rPr>
    </w:lvl>
    <w:lvl w:ilvl="8" w:tplc="0ED44F68">
      <w:numFmt w:val="bullet"/>
      <w:lvlText w:val="•"/>
      <w:lvlJc w:val="left"/>
      <w:pPr>
        <w:ind w:left="8515" w:hanging="361"/>
      </w:pPr>
      <w:rPr>
        <w:rFonts w:hint="default"/>
        <w:lang w:val="en-US" w:eastAsia="en-US" w:bidi="ar-SA"/>
      </w:rPr>
    </w:lvl>
  </w:abstractNum>
  <w:abstractNum w:abstractNumId="2" w15:restartNumberingAfterBreak="0">
    <w:nsid w:val="26A65A09"/>
    <w:multiLevelType w:val="hybridMultilevel"/>
    <w:tmpl w:val="C27218F6"/>
    <w:lvl w:ilvl="0" w:tplc="015809A4">
      <w:start w:val="1"/>
      <w:numFmt w:val="decimal"/>
      <w:lvlText w:val="%1."/>
      <w:lvlJc w:val="left"/>
      <w:pPr>
        <w:ind w:left="939" w:hanging="360"/>
        <w:jc w:val="left"/>
      </w:pPr>
      <w:rPr>
        <w:rFonts w:ascii="Calibri Light" w:eastAsia="Calibri Light" w:hAnsi="Calibri Light" w:cs="Calibri Light" w:hint="default"/>
        <w:w w:val="100"/>
        <w:sz w:val="18"/>
        <w:szCs w:val="18"/>
        <w:lang w:val="en-US" w:eastAsia="en-US" w:bidi="ar-SA"/>
      </w:rPr>
    </w:lvl>
    <w:lvl w:ilvl="1" w:tplc="39C46560">
      <w:start w:val="1"/>
      <w:numFmt w:val="lowerLetter"/>
      <w:lvlText w:val="(%2)"/>
      <w:lvlJc w:val="left"/>
      <w:pPr>
        <w:ind w:left="1659" w:hanging="268"/>
        <w:jc w:val="left"/>
      </w:pPr>
      <w:rPr>
        <w:rFonts w:ascii="Calibri Light" w:eastAsia="Calibri Light" w:hAnsi="Calibri Light" w:cs="Calibri Light" w:hint="default"/>
        <w:spacing w:val="-2"/>
        <w:w w:val="100"/>
        <w:sz w:val="22"/>
        <w:szCs w:val="22"/>
        <w:lang w:val="en-US" w:eastAsia="en-US" w:bidi="ar-SA"/>
      </w:rPr>
    </w:lvl>
    <w:lvl w:ilvl="2" w:tplc="91ACF13A">
      <w:numFmt w:val="bullet"/>
      <w:lvlText w:val=""/>
      <w:lvlJc w:val="left"/>
      <w:pPr>
        <w:ind w:left="2111" w:hanging="453"/>
      </w:pPr>
      <w:rPr>
        <w:rFonts w:ascii="Symbol" w:eastAsia="Symbol" w:hAnsi="Symbol" w:cs="Symbol" w:hint="default"/>
        <w:w w:val="100"/>
        <w:sz w:val="22"/>
        <w:szCs w:val="22"/>
        <w:lang w:val="en-US" w:eastAsia="en-US" w:bidi="ar-SA"/>
      </w:rPr>
    </w:lvl>
    <w:lvl w:ilvl="3" w:tplc="027489AA">
      <w:numFmt w:val="bullet"/>
      <w:lvlText w:val="•"/>
      <w:lvlJc w:val="left"/>
      <w:pPr>
        <w:ind w:left="3190" w:hanging="453"/>
      </w:pPr>
      <w:rPr>
        <w:rFonts w:hint="default"/>
        <w:lang w:val="en-US" w:eastAsia="en-US" w:bidi="ar-SA"/>
      </w:rPr>
    </w:lvl>
    <w:lvl w:ilvl="4" w:tplc="A7DE85FE">
      <w:numFmt w:val="bullet"/>
      <w:lvlText w:val="•"/>
      <w:lvlJc w:val="left"/>
      <w:pPr>
        <w:ind w:left="4260" w:hanging="453"/>
      </w:pPr>
      <w:rPr>
        <w:rFonts w:hint="default"/>
        <w:lang w:val="en-US" w:eastAsia="en-US" w:bidi="ar-SA"/>
      </w:rPr>
    </w:lvl>
    <w:lvl w:ilvl="5" w:tplc="EB4ED08E">
      <w:numFmt w:val="bullet"/>
      <w:lvlText w:val="•"/>
      <w:lvlJc w:val="left"/>
      <w:pPr>
        <w:ind w:left="5330" w:hanging="453"/>
      </w:pPr>
      <w:rPr>
        <w:rFonts w:hint="default"/>
        <w:lang w:val="en-US" w:eastAsia="en-US" w:bidi="ar-SA"/>
      </w:rPr>
    </w:lvl>
    <w:lvl w:ilvl="6" w:tplc="5018142A">
      <w:numFmt w:val="bullet"/>
      <w:lvlText w:val="•"/>
      <w:lvlJc w:val="left"/>
      <w:pPr>
        <w:ind w:left="6400" w:hanging="453"/>
      </w:pPr>
      <w:rPr>
        <w:rFonts w:hint="default"/>
        <w:lang w:val="en-US" w:eastAsia="en-US" w:bidi="ar-SA"/>
      </w:rPr>
    </w:lvl>
    <w:lvl w:ilvl="7" w:tplc="0E706156">
      <w:numFmt w:val="bullet"/>
      <w:lvlText w:val="•"/>
      <w:lvlJc w:val="left"/>
      <w:pPr>
        <w:ind w:left="7470" w:hanging="453"/>
      </w:pPr>
      <w:rPr>
        <w:rFonts w:hint="default"/>
        <w:lang w:val="en-US" w:eastAsia="en-US" w:bidi="ar-SA"/>
      </w:rPr>
    </w:lvl>
    <w:lvl w:ilvl="8" w:tplc="B0EA8F32">
      <w:numFmt w:val="bullet"/>
      <w:lvlText w:val="•"/>
      <w:lvlJc w:val="left"/>
      <w:pPr>
        <w:ind w:left="8540" w:hanging="453"/>
      </w:pPr>
      <w:rPr>
        <w:rFonts w:hint="default"/>
        <w:lang w:val="en-US" w:eastAsia="en-US" w:bidi="ar-SA"/>
      </w:rPr>
    </w:lvl>
  </w:abstractNum>
  <w:abstractNum w:abstractNumId="3" w15:restartNumberingAfterBreak="0">
    <w:nsid w:val="29166283"/>
    <w:multiLevelType w:val="hybridMultilevel"/>
    <w:tmpl w:val="FDAE7F58"/>
    <w:lvl w:ilvl="0" w:tplc="CF0A637A">
      <w:start w:val="1"/>
      <w:numFmt w:val="decimal"/>
      <w:lvlText w:val="%1)"/>
      <w:lvlJc w:val="left"/>
      <w:pPr>
        <w:ind w:left="2063" w:hanging="224"/>
        <w:jc w:val="left"/>
      </w:pPr>
      <w:rPr>
        <w:rFonts w:ascii="Calibri Light" w:eastAsia="Calibri Light" w:hAnsi="Calibri Light" w:cs="Calibri Light" w:hint="default"/>
        <w:w w:val="100"/>
        <w:sz w:val="22"/>
        <w:szCs w:val="22"/>
        <w:lang w:val="en-US" w:eastAsia="en-US" w:bidi="ar-SA"/>
      </w:rPr>
    </w:lvl>
    <w:lvl w:ilvl="1" w:tplc="B5AC3E78">
      <w:numFmt w:val="bullet"/>
      <w:lvlText w:val="•"/>
      <w:lvlJc w:val="left"/>
      <w:pPr>
        <w:ind w:left="2922" w:hanging="224"/>
      </w:pPr>
      <w:rPr>
        <w:rFonts w:hint="default"/>
        <w:lang w:val="en-US" w:eastAsia="en-US" w:bidi="ar-SA"/>
      </w:rPr>
    </w:lvl>
    <w:lvl w:ilvl="2" w:tplc="FB0CB604">
      <w:numFmt w:val="bullet"/>
      <w:lvlText w:val="•"/>
      <w:lvlJc w:val="left"/>
      <w:pPr>
        <w:ind w:left="3784" w:hanging="224"/>
      </w:pPr>
      <w:rPr>
        <w:rFonts w:hint="default"/>
        <w:lang w:val="en-US" w:eastAsia="en-US" w:bidi="ar-SA"/>
      </w:rPr>
    </w:lvl>
    <w:lvl w:ilvl="3" w:tplc="533A33AA">
      <w:numFmt w:val="bullet"/>
      <w:lvlText w:val="•"/>
      <w:lvlJc w:val="left"/>
      <w:pPr>
        <w:ind w:left="4646" w:hanging="224"/>
      </w:pPr>
      <w:rPr>
        <w:rFonts w:hint="default"/>
        <w:lang w:val="en-US" w:eastAsia="en-US" w:bidi="ar-SA"/>
      </w:rPr>
    </w:lvl>
    <w:lvl w:ilvl="4" w:tplc="69FA216E">
      <w:numFmt w:val="bullet"/>
      <w:lvlText w:val="•"/>
      <w:lvlJc w:val="left"/>
      <w:pPr>
        <w:ind w:left="5508" w:hanging="224"/>
      </w:pPr>
      <w:rPr>
        <w:rFonts w:hint="default"/>
        <w:lang w:val="en-US" w:eastAsia="en-US" w:bidi="ar-SA"/>
      </w:rPr>
    </w:lvl>
    <w:lvl w:ilvl="5" w:tplc="CCBE0D8C">
      <w:numFmt w:val="bullet"/>
      <w:lvlText w:val="•"/>
      <w:lvlJc w:val="left"/>
      <w:pPr>
        <w:ind w:left="6370" w:hanging="224"/>
      </w:pPr>
      <w:rPr>
        <w:rFonts w:hint="default"/>
        <w:lang w:val="en-US" w:eastAsia="en-US" w:bidi="ar-SA"/>
      </w:rPr>
    </w:lvl>
    <w:lvl w:ilvl="6" w:tplc="151C2482">
      <w:numFmt w:val="bullet"/>
      <w:lvlText w:val="•"/>
      <w:lvlJc w:val="left"/>
      <w:pPr>
        <w:ind w:left="7232" w:hanging="224"/>
      </w:pPr>
      <w:rPr>
        <w:rFonts w:hint="default"/>
        <w:lang w:val="en-US" w:eastAsia="en-US" w:bidi="ar-SA"/>
      </w:rPr>
    </w:lvl>
    <w:lvl w:ilvl="7" w:tplc="F1AABD06">
      <w:numFmt w:val="bullet"/>
      <w:lvlText w:val="•"/>
      <w:lvlJc w:val="left"/>
      <w:pPr>
        <w:ind w:left="8094" w:hanging="224"/>
      </w:pPr>
      <w:rPr>
        <w:rFonts w:hint="default"/>
        <w:lang w:val="en-US" w:eastAsia="en-US" w:bidi="ar-SA"/>
      </w:rPr>
    </w:lvl>
    <w:lvl w:ilvl="8" w:tplc="482E5CF2">
      <w:numFmt w:val="bullet"/>
      <w:lvlText w:val="•"/>
      <w:lvlJc w:val="left"/>
      <w:pPr>
        <w:ind w:left="8956" w:hanging="224"/>
      </w:pPr>
      <w:rPr>
        <w:rFonts w:hint="default"/>
        <w:lang w:val="en-US" w:eastAsia="en-US" w:bidi="ar-SA"/>
      </w:rPr>
    </w:lvl>
  </w:abstractNum>
  <w:abstractNum w:abstractNumId="4" w15:restartNumberingAfterBreak="0">
    <w:nsid w:val="3DD144FC"/>
    <w:multiLevelType w:val="hybridMultilevel"/>
    <w:tmpl w:val="65A4CA1C"/>
    <w:lvl w:ilvl="0" w:tplc="2788EE46">
      <w:start w:val="1"/>
      <w:numFmt w:val="decimal"/>
      <w:lvlText w:val="%1."/>
      <w:lvlJc w:val="left"/>
      <w:pPr>
        <w:ind w:left="939" w:hanging="360"/>
        <w:jc w:val="left"/>
      </w:pPr>
      <w:rPr>
        <w:rFonts w:ascii="Calibri Light" w:eastAsia="Calibri Light" w:hAnsi="Calibri Light" w:cs="Calibri Light" w:hint="default"/>
        <w:w w:val="100"/>
        <w:sz w:val="18"/>
        <w:szCs w:val="18"/>
        <w:lang w:val="en-US" w:eastAsia="en-US" w:bidi="ar-SA"/>
      </w:rPr>
    </w:lvl>
    <w:lvl w:ilvl="1" w:tplc="8D0A5630">
      <w:numFmt w:val="bullet"/>
      <w:lvlText w:val=""/>
      <w:lvlJc w:val="left"/>
      <w:pPr>
        <w:ind w:left="1659" w:hanging="361"/>
      </w:pPr>
      <w:rPr>
        <w:rFonts w:ascii="Symbol" w:eastAsia="Symbol" w:hAnsi="Symbol" w:cs="Symbol" w:hint="default"/>
        <w:w w:val="100"/>
        <w:sz w:val="22"/>
        <w:szCs w:val="22"/>
        <w:lang w:val="en-US" w:eastAsia="en-US" w:bidi="ar-SA"/>
      </w:rPr>
    </w:lvl>
    <w:lvl w:ilvl="2" w:tplc="EB40BF3A">
      <w:numFmt w:val="bullet"/>
      <w:lvlText w:val="•"/>
      <w:lvlJc w:val="left"/>
      <w:pPr>
        <w:ind w:left="2662" w:hanging="361"/>
      </w:pPr>
      <w:rPr>
        <w:rFonts w:hint="default"/>
        <w:lang w:val="en-US" w:eastAsia="en-US" w:bidi="ar-SA"/>
      </w:rPr>
    </w:lvl>
    <w:lvl w:ilvl="3" w:tplc="B3DA23AA">
      <w:numFmt w:val="bullet"/>
      <w:lvlText w:val="•"/>
      <w:lvlJc w:val="left"/>
      <w:pPr>
        <w:ind w:left="3664" w:hanging="361"/>
      </w:pPr>
      <w:rPr>
        <w:rFonts w:hint="default"/>
        <w:lang w:val="en-US" w:eastAsia="en-US" w:bidi="ar-SA"/>
      </w:rPr>
    </w:lvl>
    <w:lvl w:ilvl="4" w:tplc="8C58A644">
      <w:numFmt w:val="bullet"/>
      <w:lvlText w:val="•"/>
      <w:lvlJc w:val="left"/>
      <w:pPr>
        <w:ind w:left="4666" w:hanging="361"/>
      </w:pPr>
      <w:rPr>
        <w:rFonts w:hint="default"/>
        <w:lang w:val="en-US" w:eastAsia="en-US" w:bidi="ar-SA"/>
      </w:rPr>
    </w:lvl>
    <w:lvl w:ilvl="5" w:tplc="2A705042">
      <w:numFmt w:val="bullet"/>
      <w:lvlText w:val="•"/>
      <w:lvlJc w:val="left"/>
      <w:pPr>
        <w:ind w:left="5668" w:hanging="361"/>
      </w:pPr>
      <w:rPr>
        <w:rFonts w:hint="default"/>
        <w:lang w:val="en-US" w:eastAsia="en-US" w:bidi="ar-SA"/>
      </w:rPr>
    </w:lvl>
    <w:lvl w:ilvl="6" w:tplc="86642894">
      <w:numFmt w:val="bullet"/>
      <w:lvlText w:val="•"/>
      <w:lvlJc w:val="left"/>
      <w:pPr>
        <w:ind w:left="6671" w:hanging="361"/>
      </w:pPr>
      <w:rPr>
        <w:rFonts w:hint="default"/>
        <w:lang w:val="en-US" w:eastAsia="en-US" w:bidi="ar-SA"/>
      </w:rPr>
    </w:lvl>
    <w:lvl w:ilvl="7" w:tplc="1C22A75A">
      <w:numFmt w:val="bullet"/>
      <w:lvlText w:val="•"/>
      <w:lvlJc w:val="left"/>
      <w:pPr>
        <w:ind w:left="7673" w:hanging="361"/>
      </w:pPr>
      <w:rPr>
        <w:rFonts w:hint="default"/>
        <w:lang w:val="en-US" w:eastAsia="en-US" w:bidi="ar-SA"/>
      </w:rPr>
    </w:lvl>
    <w:lvl w:ilvl="8" w:tplc="B64C3A44">
      <w:numFmt w:val="bullet"/>
      <w:lvlText w:val="•"/>
      <w:lvlJc w:val="left"/>
      <w:pPr>
        <w:ind w:left="8675" w:hanging="361"/>
      </w:pPr>
      <w:rPr>
        <w:rFonts w:hint="default"/>
        <w:lang w:val="en-US" w:eastAsia="en-US" w:bidi="ar-SA"/>
      </w:rPr>
    </w:lvl>
  </w:abstractNum>
  <w:abstractNum w:abstractNumId="5" w15:restartNumberingAfterBreak="0">
    <w:nsid w:val="45BE3B06"/>
    <w:multiLevelType w:val="hybridMultilevel"/>
    <w:tmpl w:val="50124DC0"/>
    <w:lvl w:ilvl="0" w:tplc="251E5890">
      <w:start w:val="1"/>
      <w:numFmt w:val="decimal"/>
      <w:lvlText w:val="%1)"/>
      <w:lvlJc w:val="left"/>
      <w:pPr>
        <w:ind w:left="1392" w:hanging="272"/>
        <w:jc w:val="left"/>
      </w:pPr>
      <w:rPr>
        <w:rFonts w:ascii="Calibri Light" w:eastAsia="Calibri Light" w:hAnsi="Calibri Light" w:cs="Calibri Light" w:hint="default"/>
        <w:w w:val="100"/>
        <w:sz w:val="22"/>
        <w:szCs w:val="22"/>
        <w:lang w:val="en-US" w:eastAsia="en-US" w:bidi="ar-SA"/>
      </w:rPr>
    </w:lvl>
    <w:lvl w:ilvl="1" w:tplc="EACAC56E">
      <w:numFmt w:val="bullet"/>
      <w:lvlText w:val="•"/>
      <w:lvlJc w:val="left"/>
      <w:pPr>
        <w:ind w:left="2328" w:hanging="272"/>
      </w:pPr>
      <w:rPr>
        <w:rFonts w:hint="default"/>
        <w:lang w:val="en-US" w:eastAsia="en-US" w:bidi="ar-SA"/>
      </w:rPr>
    </w:lvl>
    <w:lvl w:ilvl="2" w:tplc="93A8027C">
      <w:numFmt w:val="bullet"/>
      <w:lvlText w:val="•"/>
      <w:lvlJc w:val="left"/>
      <w:pPr>
        <w:ind w:left="3256" w:hanging="272"/>
      </w:pPr>
      <w:rPr>
        <w:rFonts w:hint="default"/>
        <w:lang w:val="en-US" w:eastAsia="en-US" w:bidi="ar-SA"/>
      </w:rPr>
    </w:lvl>
    <w:lvl w:ilvl="3" w:tplc="A9C6AB80">
      <w:numFmt w:val="bullet"/>
      <w:lvlText w:val="•"/>
      <w:lvlJc w:val="left"/>
      <w:pPr>
        <w:ind w:left="4184" w:hanging="272"/>
      </w:pPr>
      <w:rPr>
        <w:rFonts w:hint="default"/>
        <w:lang w:val="en-US" w:eastAsia="en-US" w:bidi="ar-SA"/>
      </w:rPr>
    </w:lvl>
    <w:lvl w:ilvl="4" w:tplc="DACC5BBE">
      <w:numFmt w:val="bullet"/>
      <w:lvlText w:val="•"/>
      <w:lvlJc w:val="left"/>
      <w:pPr>
        <w:ind w:left="5112" w:hanging="272"/>
      </w:pPr>
      <w:rPr>
        <w:rFonts w:hint="default"/>
        <w:lang w:val="en-US" w:eastAsia="en-US" w:bidi="ar-SA"/>
      </w:rPr>
    </w:lvl>
    <w:lvl w:ilvl="5" w:tplc="E16A4832">
      <w:numFmt w:val="bullet"/>
      <w:lvlText w:val="•"/>
      <w:lvlJc w:val="left"/>
      <w:pPr>
        <w:ind w:left="6040" w:hanging="272"/>
      </w:pPr>
      <w:rPr>
        <w:rFonts w:hint="default"/>
        <w:lang w:val="en-US" w:eastAsia="en-US" w:bidi="ar-SA"/>
      </w:rPr>
    </w:lvl>
    <w:lvl w:ilvl="6" w:tplc="396C3E5A">
      <w:numFmt w:val="bullet"/>
      <w:lvlText w:val="•"/>
      <w:lvlJc w:val="left"/>
      <w:pPr>
        <w:ind w:left="6968" w:hanging="272"/>
      </w:pPr>
      <w:rPr>
        <w:rFonts w:hint="default"/>
        <w:lang w:val="en-US" w:eastAsia="en-US" w:bidi="ar-SA"/>
      </w:rPr>
    </w:lvl>
    <w:lvl w:ilvl="7" w:tplc="8828CBBE">
      <w:numFmt w:val="bullet"/>
      <w:lvlText w:val="•"/>
      <w:lvlJc w:val="left"/>
      <w:pPr>
        <w:ind w:left="7896" w:hanging="272"/>
      </w:pPr>
      <w:rPr>
        <w:rFonts w:hint="default"/>
        <w:lang w:val="en-US" w:eastAsia="en-US" w:bidi="ar-SA"/>
      </w:rPr>
    </w:lvl>
    <w:lvl w:ilvl="8" w:tplc="EC2275F6">
      <w:numFmt w:val="bullet"/>
      <w:lvlText w:val="•"/>
      <w:lvlJc w:val="left"/>
      <w:pPr>
        <w:ind w:left="8824" w:hanging="272"/>
      </w:pPr>
      <w:rPr>
        <w:rFonts w:hint="default"/>
        <w:lang w:val="en-US" w:eastAsia="en-US" w:bidi="ar-SA"/>
      </w:rPr>
    </w:lvl>
  </w:abstractNum>
  <w:abstractNum w:abstractNumId="6" w15:restartNumberingAfterBreak="0">
    <w:nsid w:val="5E996E12"/>
    <w:multiLevelType w:val="hybridMultilevel"/>
    <w:tmpl w:val="027CCC1C"/>
    <w:lvl w:ilvl="0" w:tplc="F7E83F2C">
      <w:start w:val="1"/>
      <w:numFmt w:val="decimal"/>
      <w:lvlText w:val="%1."/>
      <w:lvlJc w:val="left"/>
      <w:pPr>
        <w:ind w:left="939" w:hanging="360"/>
        <w:jc w:val="left"/>
      </w:pPr>
      <w:rPr>
        <w:rFonts w:ascii="Calibri Light" w:eastAsia="Calibri Light" w:hAnsi="Calibri Light" w:cs="Calibri Light" w:hint="default"/>
        <w:w w:val="100"/>
        <w:sz w:val="22"/>
        <w:szCs w:val="22"/>
        <w:lang w:val="en-US" w:eastAsia="en-US" w:bidi="ar-SA"/>
      </w:rPr>
    </w:lvl>
    <w:lvl w:ilvl="1" w:tplc="E8CC8B64">
      <w:numFmt w:val="bullet"/>
      <w:lvlText w:val=""/>
      <w:lvlJc w:val="left"/>
      <w:pPr>
        <w:ind w:left="1660" w:hanging="361"/>
      </w:pPr>
      <w:rPr>
        <w:rFonts w:ascii="Symbol" w:eastAsia="Symbol" w:hAnsi="Symbol" w:cs="Symbol" w:hint="default"/>
        <w:w w:val="100"/>
        <w:sz w:val="22"/>
        <w:szCs w:val="22"/>
        <w:lang w:val="en-US" w:eastAsia="en-US" w:bidi="ar-SA"/>
      </w:rPr>
    </w:lvl>
    <w:lvl w:ilvl="2" w:tplc="12CC8E0A">
      <w:numFmt w:val="bullet"/>
      <w:lvlText w:val="•"/>
      <w:lvlJc w:val="left"/>
      <w:pPr>
        <w:ind w:left="2662" w:hanging="361"/>
      </w:pPr>
      <w:rPr>
        <w:rFonts w:hint="default"/>
        <w:lang w:val="en-US" w:eastAsia="en-US" w:bidi="ar-SA"/>
      </w:rPr>
    </w:lvl>
    <w:lvl w:ilvl="3" w:tplc="A6D02406">
      <w:numFmt w:val="bullet"/>
      <w:lvlText w:val="•"/>
      <w:lvlJc w:val="left"/>
      <w:pPr>
        <w:ind w:left="3664" w:hanging="361"/>
      </w:pPr>
      <w:rPr>
        <w:rFonts w:hint="default"/>
        <w:lang w:val="en-US" w:eastAsia="en-US" w:bidi="ar-SA"/>
      </w:rPr>
    </w:lvl>
    <w:lvl w:ilvl="4" w:tplc="840A0060">
      <w:numFmt w:val="bullet"/>
      <w:lvlText w:val="•"/>
      <w:lvlJc w:val="left"/>
      <w:pPr>
        <w:ind w:left="4666" w:hanging="361"/>
      </w:pPr>
      <w:rPr>
        <w:rFonts w:hint="default"/>
        <w:lang w:val="en-US" w:eastAsia="en-US" w:bidi="ar-SA"/>
      </w:rPr>
    </w:lvl>
    <w:lvl w:ilvl="5" w:tplc="D3E45E30">
      <w:numFmt w:val="bullet"/>
      <w:lvlText w:val="•"/>
      <w:lvlJc w:val="left"/>
      <w:pPr>
        <w:ind w:left="5668" w:hanging="361"/>
      </w:pPr>
      <w:rPr>
        <w:rFonts w:hint="default"/>
        <w:lang w:val="en-US" w:eastAsia="en-US" w:bidi="ar-SA"/>
      </w:rPr>
    </w:lvl>
    <w:lvl w:ilvl="6" w:tplc="E8F496C8">
      <w:numFmt w:val="bullet"/>
      <w:lvlText w:val="•"/>
      <w:lvlJc w:val="left"/>
      <w:pPr>
        <w:ind w:left="6671" w:hanging="361"/>
      </w:pPr>
      <w:rPr>
        <w:rFonts w:hint="default"/>
        <w:lang w:val="en-US" w:eastAsia="en-US" w:bidi="ar-SA"/>
      </w:rPr>
    </w:lvl>
    <w:lvl w:ilvl="7" w:tplc="E1063D7C">
      <w:numFmt w:val="bullet"/>
      <w:lvlText w:val="•"/>
      <w:lvlJc w:val="left"/>
      <w:pPr>
        <w:ind w:left="7673" w:hanging="361"/>
      </w:pPr>
      <w:rPr>
        <w:rFonts w:hint="default"/>
        <w:lang w:val="en-US" w:eastAsia="en-US" w:bidi="ar-SA"/>
      </w:rPr>
    </w:lvl>
    <w:lvl w:ilvl="8" w:tplc="3D08B70E">
      <w:numFmt w:val="bullet"/>
      <w:lvlText w:val="•"/>
      <w:lvlJc w:val="left"/>
      <w:pPr>
        <w:ind w:left="8675" w:hanging="361"/>
      </w:pPr>
      <w:rPr>
        <w:rFonts w:hint="default"/>
        <w:lang w:val="en-US" w:eastAsia="en-US" w:bidi="ar-SA"/>
      </w:rPr>
    </w:lvl>
  </w:abstractNum>
  <w:abstractNum w:abstractNumId="7" w15:restartNumberingAfterBreak="0">
    <w:nsid w:val="654B3BB4"/>
    <w:multiLevelType w:val="hybridMultilevel"/>
    <w:tmpl w:val="6308C374"/>
    <w:lvl w:ilvl="0" w:tplc="B33485C6">
      <w:start w:val="1"/>
      <w:numFmt w:val="decimal"/>
      <w:lvlText w:val="%1."/>
      <w:lvlJc w:val="left"/>
      <w:pPr>
        <w:ind w:left="940" w:hanging="360"/>
        <w:jc w:val="left"/>
      </w:pPr>
      <w:rPr>
        <w:rFonts w:ascii="Calibri Light" w:eastAsia="Calibri Light" w:hAnsi="Calibri Light" w:cs="Calibri Light" w:hint="default"/>
        <w:w w:val="100"/>
        <w:sz w:val="18"/>
        <w:szCs w:val="18"/>
        <w:lang w:val="en-US" w:eastAsia="en-US" w:bidi="ar-SA"/>
      </w:rPr>
    </w:lvl>
    <w:lvl w:ilvl="1" w:tplc="6AA6FEFA">
      <w:numFmt w:val="bullet"/>
      <w:lvlText w:val="•"/>
      <w:lvlJc w:val="left"/>
      <w:pPr>
        <w:ind w:left="1100" w:hanging="360"/>
      </w:pPr>
      <w:rPr>
        <w:rFonts w:hint="default"/>
        <w:lang w:val="en-US" w:eastAsia="en-US" w:bidi="ar-SA"/>
      </w:rPr>
    </w:lvl>
    <w:lvl w:ilvl="2" w:tplc="44FE1AEA">
      <w:numFmt w:val="bullet"/>
      <w:lvlText w:val="•"/>
      <w:lvlJc w:val="left"/>
      <w:pPr>
        <w:ind w:left="2164" w:hanging="360"/>
      </w:pPr>
      <w:rPr>
        <w:rFonts w:hint="default"/>
        <w:lang w:val="en-US" w:eastAsia="en-US" w:bidi="ar-SA"/>
      </w:rPr>
    </w:lvl>
    <w:lvl w:ilvl="3" w:tplc="C688FBAC">
      <w:numFmt w:val="bullet"/>
      <w:lvlText w:val="•"/>
      <w:lvlJc w:val="left"/>
      <w:pPr>
        <w:ind w:left="3228" w:hanging="360"/>
      </w:pPr>
      <w:rPr>
        <w:rFonts w:hint="default"/>
        <w:lang w:val="en-US" w:eastAsia="en-US" w:bidi="ar-SA"/>
      </w:rPr>
    </w:lvl>
    <w:lvl w:ilvl="4" w:tplc="90D26A46">
      <w:numFmt w:val="bullet"/>
      <w:lvlText w:val="•"/>
      <w:lvlJc w:val="left"/>
      <w:pPr>
        <w:ind w:left="4293" w:hanging="360"/>
      </w:pPr>
      <w:rPr>
        <w:rFonts w:hint="default"/>
        <w:lang w:val="en-US" w:eastAsia="en-US" w:bidi="ar-SA"/>
      </w:rPr>
    </w:lvl>
    <w:lvl w:ilvl="5" w:tplc="8AF67C2C">
      <w:numFmt w:val="bullet"/>
      <w:lvlText w:val="•"/>
      <w:lvlJc w:val="left"/>
      <w:pPr>
        <w:ind w:left="5357" w:hanging="360"/>
      </w:pPr>
      <w:rPr>
        <w:rFonts w:hint="default"/>
        <w:lang w:val="en-US" w:eastAsia="en-US" w:bidi="ar-SA"/>
      </w:rPr>
    </w:lvl>
    <w:lvl w:ilvl="6" w:tplc="449A5ACC">
      <w:numFmt w:val="bullet"/>
      <w:lvlText w:val="•"/>
      <w:lvlJc w:val="left"/>
      <w:pPr>
        <w:ind w:left="6422" w:hanging="360"/>
      </w:pPr>
      <w:rPr>
        <w:rFonts w:hint="default"/>
        <w:lang w:val="en-US" w:eastAsia="en-US" w:bidi="ar-SA"/>
      </w:rPr>
    </w:lvl>
    <w:lvl w:ilvl="7" w:tplc="D4D229EC">
      <w:numFmt w:val="bullet"/>
      <w:lvlText w:val="•"/>
      <w:lvlJc w:val="left"/>
      <w:pPr>
        <w:ind w:left="7486" w:hanging="360"/>
      </w:pPr>
      <w:rPr>
        <w:rFonts w:hint="default"/>
        <w:lang w:val="en-US" w:eastAsia="en-US" w:bidi="ar-SA"/>
      </w:rPr>
    </w:lvl>
    <w:lvl w:ilvl="8" w:tplc="9BC2D8B2">
      <w:numFmt w:val="bullet"/>
      <w:lvlText w:val="•"/>
      <w:lvlJc w:val="left"/>
      <w:pPr>
        <w:ind w:left="8551" w:hanging="360"/>
      </w:pPr>
      <w:rPr>
        <w:rFonts w:hint="default"/>
        <w:lang w:val="en-US" w:eastAsia="en-US" w:bidi="ar-SA"/>
      </w:rPr>
    </w:lvl>
  </w:abstractNum>
  <w:abstractNum w:abstractNumId="8" w15:restartNumberingAfterBreak="0">
    <w:nsid w:val="674C2B38"/>
    <w:multiLevelType w:val="hybridMultilevel"/>
    <w:tmpl w:val="9446CF04"/>
    <w:lvl w:ilvl="0" w:tplc="4B601D56">
      <w:start w:val="1"/>
      <w:numFmt w:val="lowerLetter"/>
      <w:lvlText w:val="%1."/>
      <w:lvlJc w:val="left"/>
      <w:pPr>
        <w:ind w:left="1659" w:hanging="360"/>
        <w:jc w:val="left"/>
      </w:pPr>
      <w:rPr>
        <w:rFonts w:ascii="Calibri Light" w:eastAsia="Calibri Light" w:hAnsi="Calibri Light" w:cs="Calibri Light" w:hint="default"/>
        <w:w w:val="100"/>
        <w:sz w:val="22"/>
        <w:szCs w:val="22"/>
        <w:lang w:val="en-US" w:eastAsia="en-US" w:bidi="ar-SA"/>
      </w:rPr>
    </w:lvl>
    <w:lvl w:ilvl="1" w:tplc="DFBA764E">
      <w:numFmt w:val="bullet"/>
      <w:lvlText w:val="•"/>
      <w:lvlJc w:val="left"/>
      <w:pPr>
        <w:ind w:left="2562" w:hanging="360"/>
      </w:pPr>
      <w:rPr>
        <w:rFonts w:hint="default"/>
        <w:lang w:val="en-US" w:eastAsia="en-US" w:bidi="ar-SA"/>
      </w:rPr>
    </w:lvl>
    <w:lvl w:ilvl="2" w:tplc="06843B40">
      <w:numFmt w:val="bullet"/>
      <w:lvlText w:val="•"/>
      <w:lvlJc w:val="left"/>
      <w:pPr>
        <w:ind w:left="3464" w:hanging="360"/>
      </w:pPr>
      <w:rPr>
        <w:rFonts w:hint="default"/>
        <w:lang w:val="en-US" w:eastAsia="en-US" w:bidi="ar-SA"/>
      </w:rPr>
    </w:lvl>
    <w:lvl w:ilvl="3" w:tplc="79ECC594">
      <w:numFmt w:val="bullet"/>
      <w:lvlText w:val="•"/>
      <w:lvlJc w:val="left"/>
      <w:pPr>
        <w:ind w:left="4366" w:hanging="360"/>
      </w:pPr>
      <w:rPr>
        <w:rFonts w:hint="default"/>
        <w:lang w:val="en-US" w:eastAsia="en-US" w:bidi="ar-SA"/>
      </w:rPr>
    </w:lvl>
    <w:lvl w:ilvl="4" w:tplc="69405C4E">
      <w:numFmt w:val="bullet"/>
      <w:lvlText w:val="•"/>
      <w:lvlJc w:val="left"/>
      <w:pPr>
        <w:ind w:left="5268" w:hanging="360"/>
      </w:pPr>
      <w:rPr>
        <w:rFonts w:hint="default"/>
        <w:lang w:val="en-US" w:eastAsia="en-US" w:bidi="ar-SA"/>
      </w:rPr>
    </w:lvl>
    <w:lvl w:ilvl="5" w:tplc="884C5DFA">
      <w:numFmt w:val="bullet"/>
      <w:lvlText w:val="•"/>
      <w:lvlJc w:val="left"/>
      <w:pPr>
        <w:ind w:left="6170" w:hanging="360"/>
      </w:pPr>
      <w:rPr>
        <w:rFonts w:hint="default"/>
        <w:lang w:val="en-US" w:eastAsia="en-US" w:bidi="ar-SA"/>
      </w:rPr>
    </w:lvl>
    <w:lvl w:ilvl="6" w:tplc="BB009C54">
      <w:numFmt w:val="bullet"/>
      <w:lvlText w:val="•"/>
      <w:lvlJc w:val="left"/>
      <w:pPr>
        <w:ind w:left="7072" w:hanging="360"/>
      </w:pPr>
      <w:rPr>
        <w:rFonts w:hint="default"/>
        <w:lang w:val="en-US" w:eastAsia="en-US" w:bidi="ar-SA"/>
      </w:rPr>
    </w:lvl>
    <w:lvl w:ilvl="7" w:tplc="B66254EE">
      <w:numFmt w:val="bullet"/>
      <w:lvlText w:val="•"/>
      <w:lvlJc w:val="left"/>
      <w:pPr>
        <w:ind w:left="7974" w:hanging="360"/>
      </w:pPr>
      <w:rPr>
        <w:rFonts w:hint="default"/>
        <w:lang w:val="en-US" w:eastAsia="en-US" w:bidi="ar-SA"/>
      </w:rPr>
    </w:lvl>
    <w:lvl w:ilvl="8" w:tplc="ACCC82B2">
      <w:numFmt w:val="bullet"/>
      <w:lvlText w:val="•"/>
      <w:lvlJc w:val="left"/>
      <w:pPr>
        <w:ind w:left="8876" w:hanging="360"/>
      </w:pPr>
      <w:rPr>
        <w:rFonts w:hint="default"/>
        <w:lang w:val="en-US" w:eastAsia="en-US" w:bidi="ar-SA"/>
      </w:rPr>
    </w:lvl>
  </w:abstractNum>
  <w:abstractNum w:abstractNumId="9" w15:restartNumberingAfterBreak="0">
    <w:nsid w:val="7E794627"/>
    <w:multiLevelType w:val="hybridMultilevel"/>
    <w:tmpl w:val="16ECC7DE"/>
    <w:lvl w:ilvl="0" w:tplc="37982D80">
      <w:start w:val="1"/>
      <w:numFmt w:val="decimal"/>
      <w:lvlText w:val="%1."/>
      <w:lvlJc w:val="left"/>
      <w:pPr>
        <w:ind w:left="940" w:hanging="360"/>
        <w:jc w:val="left"/>
      </w:pPr>
      <w:rPr>
        <w:rFonts w:ascii="Calibri Light" w:eastAsia="Calibri Light" w:hAnsi="Calibri Light" w:cs="Calibri Light" w:hint="default"/>
        <w:w w:val="100"/>
        <w:sz w:val="18"/>
        <w:szCs w:val="18"/>
        <w:lang w:val="en-US" w:eastAsia="en-US" w:bidi="ar-SA"/>
      </w:rPr>
    </w:lvl>
    <w:lvl w:ilvl="1" w:tplc="07769480">
      <w:numFmt w:val="bullet"/>
      <w:lvlText w:val="•"/>
      <w:lvlJc w:val="left"/>
      <w:pPr>
        <w:ind w:left="1914" w:hanging="360"/>
      </w:pPr>
      <w:rPr>
        <w:rFonts w:hint="default"/>
        <w:lang w:val="en-US" w:eastAsia="en-US" w:bidi="ar-SA"/>
      </w:rPr>
    </w:lvl>
    <w:lvl w:ilvl="2" w:tplc="60B446DA">
      <w:numFmt w:val="bullet"/>
      <w:lvlText w:val="•"/>
      <w:lvlJc w:val="left"/>
      <w:pPr>
        <w:ind w:left="2888" w:hanging="360"/>
      </w:pPr>
      <w:rPr>
        <w:rFonts w:hint="default"/>
        <w:lang w:val="en-US" w:eastAsia="en-US" w:bidi="ar-SA"/>
      </w:rPr>
    </w:lvl>
    <w:lvl w:ilvl="3" w:tplc="AED0DF7E">
      <w:numFmt w:val="bullet"/>
      <w:lvlText w:val="•"/>
      <w:lvlJc w:val="left"/>
      <w:pPr>
        <w:ind w:left="3862" w:hanging="360"/>
      </w:pPr>
      <w:rPr>
        <w:rFonts w:hint="default"/>
        <w:lang w:val="en-US" w:eastAsia="en-US" w:bidi="ar-SA"/>
      </w:rPr>
    </w:lvl>
    <w:lvl w:ilvl="4" w:tplc="65EC7E44">
      <w:numFmt w:val="bullet"/>
      <w:lvlText w:val="•"/>
      <w:lvlJc w:val="left"/>
      <w:pPr>
        <w:ind w:left="4836" w:hanging="360"/>
      </w:pPr>
      <w:rPr>
        <w:rFonts w:hint="default"/>
        <w:lang w:val="en-US" w:eastAsia="en-US" w:bidi="ar-SA"/>
      </w:rPr>
    </w:lvl>
    <w:lvl w:ilvl="5" w:tplc="85CEB7F4">
      <w:numFmt w:val="bullet"/>
      <w:lvlText w:val="•"/>
      <w:lvlJc w:val="left"/>
      <w:pPr>
        <w:ind w:left="5810" w:hanging="360"/>
      </w:pPr>
      <w:rPr>
        <w:rFonts w:hint="default"/>
        <w:lang w:val="en-US" w:eastAsia="en-US" w:bidi="ar-SA"/>
      </w:rPr>
    </w:lvl>
    <w:lvl w:ilvl="6" w:tplc="9672263A">
      <w:numFmt w:val="bullet"/>
      <w:lvlText w:val="•"/>
      <w:lvlJc w:val="left"/>
      <w:pPr>
        <w:ind w:left="6784" w:hanging="360"/>
      </w:pPr>
      <w:rPr>
        <w:rFonts w:hint="default"/>
        <w:lang w:val="en-US" w:eastAsia="en-US" w:bidi="ar-SA"/>
      </w:rPr>
    </w:lvl>
    <w:lvl w:ilvl="7" w:tplc="FB0EE9EA">
      <w:numFmt w:val="bullet"/>
      <w:lvlText w:val="•"/>
      <w:lvlJc w:val="left"/>
      <w:pPr>
        <w:ind w:left="7758" w:hanging="360"/>
      </w:pPr>
      <w:rPr>
        <w:rFonts w:hint="default"/>
        <w:lang w:val="en-US" w:eastAsia="en-US" w:bidi="ar-SA"/>
      </w:rPr>
    </w:lvl>
    <w:lvl w:ilvl="8" w:tplc="61F8D3D8">
      <w:numFmt w:val="bullet"/>
      <w:lvlText w:val="•"/>
      <w:lvlJc w:val="left"/>
      <w:pPr>
        <w:ind w:left="8732" w:hanging="360"/>
      </w:pPr>
      <w:rPr>
        <w:rFonts w:hint="default"/>
        <w:lang w:val="en-US" w:eastAsia="en-US" w:bidi="ar-SA"/>
      </w:rPr>
    </w:lvl>
  </w:abstractNum>
  <w:abstractNum w:abstractNumId="10" w15:restartNumberingAfterBreak="0">
    <w:nsid w:val="7F9B2B63"/>
    <w:multiLevelType w:val="hybridMultilevel"/>
    <w:tmpl w:val="82E89AFA"/>
    <w:lvl w:ilvl="0" w:tplc="CD942346">
      <w:start w:val="1"/>
      <w:numFmt w:val="decimal"/>
      <w:lvlText w:val="%1."/>
      <w:lvlJc w:val="left"/>
      <w:pPr>
        <w:ind w:left="939" w:hanging="360"/>
        <w:jc w:val="left"/>
      </w:pPr>
      <w:rPr>
        <w:rFonts w:ascii="Calibri Light" w:eastAsia="Calibri Light" w:hAnsi="Calibri Light" w:cs="Calibri Light" w:hint="default"/>
        <w:w w:val="100"/>
        <w:sz w:val="18"/>
        <w:szCs w:val="18"/>
        <w:lang w:val="en-US" w:eastAsia="en-US" w:bidi="ar-SA"/>
      </w:rPr>
    </w:lvl>
    <w:lvl w:ilvl="1" w:tplc="9B3E0708">
      <w:numFmt w:val="bullet"/>
      <w:lvlText w:val="•"/>
      <w:lvlJc w:val="left"/>
      <w:pPr>
        <w:ind w:left="1914" w:hanging="360"/>
      </w:pPr>
      <w:rPr>
        <w:rFonts w:hint="default"/>
        <w:lang w:val="en-US" w:eastAsia="en-US" w:bidi="ar-SA"/>
      </w:rPr>
    </w:lvl>
    <w:lvl w:ilvl="2" w:tplc="304679B4">
      <w:numFmt w:val="bullet"/>
      <w:lvlText w:val="•"/>
      <w:lvlJc w:val="left"/>
      <w:pPr>
        <w:ind w:left="2888" w:hanging="360"/>
      </w:pPr>
      <w:rPr>
        <w:rFonts w:hint="default"/>
        <w:lang w:val="en-US" w:eastAsia="en-US" w:bidi="ar-SA"/>
      </w:rPr>
    </w:lvl>
    <w:lvl w:ilvl="3" w:tplc="789A4AF2">
      <w:numFmt w:val="bullet"/>
      <w:lvlText w:val="•"/>
      <w:lvlJc w:val="left"/>
      <w:pPr>
        <w:ind w:left="3862" w:hanging="360"/>
      </w:pPr>
      <w:rPr>
        <w:rFonts w:hint="default"/>
        <w:lang w:val="en-US" w:eastAsia="en-US" w:bidi="ar-SA"/>
      </w:rPr>
    </w:lvl>
    <w:lvl w:ilvl="4" w:tplc="90C2C78A">
      <w:numFmt w:val="bullet"/>
      <w:lvlText w:val="•"/>
      <w:lvlJc w:val="left"/>
      <w:pPr>
        <w:ind w:left="4836" w:hanging="360"/>
      </w:pPr>
      <w:rPr>
        <w:rFonts w:hint="default"/>
        <w:lang w:val="en-US" w:eastAsia="en-US" w:bidi="ar-SA"/>
      </w:rPr>
    </w:lvl>
    <w:lvl w:ilvl="5" w:tplc="AAE6A90A">
      <w:numFmt w:val="bullet"/>
      <w:lvlText w:val="•"/>
      <w:lvlJc w:val="left"/>
      <w:pPr>
        <w:ind w:left="5810" w:hanging="360"/>
      </w:pPr>
      <w:rPr>
        <w:rFonts w:hint="default"/>
        <w:lang w:val="en-US" w:eastAsia="en-US" w:bidi="ar-SA"/>
      </w:rPr>
    </w:lvl>
    <w:lvl w:ilvl="6" w:tplc="91086D8A">
      <w:numFmt w:val="bullet"/>
      <w:lvlText w:val="•"/>
      <w:lvlJc w:val="left"/>
      <w:pPr>
        <w:ind w:left="6784" w:hanging="360"/>
      </w:pPr>
      <w:rPr>
        <w:rFonts w:hint="default"/>
        <w:lang w:val="en-US" w:eastAsia="en-US" w:bidi="ar-SA"/>
      </w:rPr>
    </w:lvl>
    <w:lvl w:ilvl="7" w:tplc="E6889DC2">
      <w:numFmt w:val="bullet"/>
      <w:lvlText w:val="•"/>
      <w:lvlJc w:val="left"/>
      <w:pPr>
        <w:ind w:left="7758" w:hanging="360"/>
      </w:pPr>
      <w:rPr>
        <w:rFonts w:hint="default"/>
        <w:lang w:val="en-US" w:eastAsia="en-US" w:bidi="ar-SA"/>
      </w:rPr>
    </w:lvl>
    <w:lvl w:ilvl="8" w:tplc="C0425EB2">
      <w:numFmt w:val="bullet"/>
      <w:lvlText w:val="•"/>
      <w:lvlJc w:val="left"/>
      <w:pPr>
        <w:ind w:left="8732" w:hanging="360"/>
      </w:pPr>
      <w:rPr>
        <w:rFonts w:hint="default"/>
        <w:lang w:val="en-US" w:eastAsia="en-US" w:bidi="ar-SA"/>
      </w:rPr>
    </w:lvl>
  </w:abstractNum>
  <w:num w:numId="1" w16cid:durableId="2139374601">
    <w:abstractNumId w:val="8"/>
  </w:num>
  <w:num w:numId="2" w16cid:durableId="1430272709">
    <w:abstractNumId w:val="6"/>
  </w:num>
  <w:num w:numId="3" w16cid:durableId="399326322">
    <w:abstractNumId w:val="2"/>
  </w:num>
  <w:num w:numId="4" w16cid:durableId="1623614349">
    <w:abstractNumId w:val="0"/>
  </w:num>
  <w:num w:numId="5" w16cid:durableId="423844708">
    <w:abstractNumId w:val="5"/>
  </w:num>
  <w:num w:numId="6" w16cid:durableId="1809517350">
    <w:abstractNumId w:val="3"/>
  </w:num>
  <w:num w:numId="7" w16cid:durableId="2008945070">
    <w:abstractNumId w:val="1"/>
  </w:num>
  <w:num w:numId="8" w16cid:durableId="1847354871">
    <w:abstractNumId w:val="4"/>
  </w:num>
  <w:num w:numId="9" w16cid:durableId="1892761919">
    <w:abstractNumId w:val="10"/>
  </w:num>
  <w:num w:numId="10" w16cid:durableId="1174759213">
    <w:abstractNumId w:val="9"/>
  </w:num>
  <w:num w:numId="11" w16cid:durableId="17767510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CA03B4"/>
    <w:rsid w:val="00091414"/>
    <w:rsid w:val="00867D41"/>
    <w:rsid w:val="00CA03B4"/>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5984620"/>
  <w15:docId w15:val="{98D9815B-80D8-408B-9EBB-49D61E4A5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Light" w:eastAsia="Calibri Light" w:hAnsi="Calibri Light" w:cs="Calibri Light"/>
    </w:rPr>
  </w:style>
  <w:style w:type="paragraph" w:styleId="Heading1">
    <w:name w:val="heading 1"/>
    <w:basedOn w:val="Normal"/>
    <w:uiPriority w:val="9"/>
    <w:qFormat/>
    <w:pPr>
      <w:ind w:left="580"/>
      <w:outlineLvl w:val="0"/>
    </w:pPr>
    <w:rPr>
      <w:sz w:val="24"/>
      <w:szCs w:val="24"/>
      <w:u w:val="single" w:color="000000"/>
    </w:rPr>
  </w:style>
  <w:style w:type="paragraph" w:styleId="Heading2">
    <w:name w:val="heading 2"/>
    <w:basedOn w:val="Normal"/>
    <w:uiPriority w:val="9"/>
    <w:unhideWhenUsed/>
    <w:qFormat/>
    <w:pPr>
      <w:spacing w:before="55"/>
      <w:ind w:left="219"/>
      <w:jc w:val="both"/>
      <w:outlineLvl w:val="1"/>
    </w:pPr>
    <w:rPr>
      <w:rFonts w:ascii="Calibri" w:eastAsia="Calibri" w:hAnsi="Calibri" w:cs="Calibri"/>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39" w:hanging="360"/>
      <w:jc w:val="both"/>
    </w:pPr>
  </w:style>
  <w:style w:type="paragraph" w:customStyle="1" w:styleId="TableParagraph">
    <w:name w:val="Table Paragraph"/>
    <w:basedOn w:val="Normal"/>
    <w:uiPriority w:val="1"/>
    <w:qFormat/>
    <w:pPr>
      <w:spacing w:line="258" w:lineRule="exact"/>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mailto:doa.dgs.purchasing.statewide@alaska.gov" TargetMode="External" Type="http://schemas.openxmlformats.org/officeDocument/2006/relationships/hyperlink"/>
<Relationship Id="rId11" Target="media/image1.jpeg" Type="http://schemas.openxmlformats.org/officeDocument/2006/relationships/image"/>
<Relationship Id="rId12" Target="mailto:cfleming@alcanelectric.com" TargetMode="External" Type="http://schemas.openxmlformats.org/officeDocument/2006/relationships/hyperlink"/>
<Relationship Id="rId13" Target="http://www.alcanelectric.com/" TargetMode="External" Type="http://schemas.openxmlformats.org/officeDocument/2006/relationships/hyperlink"/>
<Relationship Id="rId14" Target="media/image2.jpeg" Type="http://schemas.openxmlformats.org/officeDocument/2006/relationships/image"/>
<Relationship Id="rId15" Target="mailto:Chuck@chathamelectric.com" TargetMode="External" Type="http://schemas.openxmlformats.org/officeDocument/2006/relationships/hyperlink"/>
<Relationship Id="rId16" Target="http://www.chathamelectric.com/" TargetMode="External" Type="http://schemas.openxmlformats.org/officeDocument/2006/relationships/hyperlink"/>
<Relationship Id="rId17" Target="media/image3.jpeg" Type="http://schemas.openxmlformats.org/officeDocument/2006/relationships/image"/>
<Relationship Id="rId18" Target="mailto:Lael@fullfordelectric.com" TargetMode="External" Type="http://schemas.openxmlformats.org/officeDocument/2006/relationships/hyperlink"/>
<Relationship Id="rId19" Target="http://www.fullfordelectric.com/" TargetMode="External" Type="http://schemas.openxmlformats.org/officeDocument/2006/relationships/hyperlink"/>
<Relationship Id="rId2" Target="styles.xml" Type="http://schemas.openxmlformats.org/officeDocument/2006/relationships/styles"/>
<Relationship Id="rId20" Target="media/image4.png" Type="http://schemas.openxmlformats.org/officeDocument/2006/relationships/image"/>
<Relationship Id="rId21" Target="mailto:eharris@megawattelectric.com" TargetMode="External" Type="http://schemas.openxmlformats.org/officeDocument/2006/relationships/hyperlink"/>
<Relationship Id="rId22" Target="http://www.megawattelectric.com/" TargetMode="External" Type="http://schemas.openxmlformats.org/officeDocument/2006/relationships/hyperlink"/>
<Relationship Id="rId23" Target="media/image5.jpeg" Type="http://schemas.openxmlformats.org/officeDocument/2006/relationships/image"/>
<Relationship Id="rId24" Target="mailto:premierelectric@mtaonline.net" TargetMode="External" Type="http://schemas.openxmlformats.org/officeDocument/2006/relationships/hyperlink"/>
<Relationship Id="rId25" Target="http://www.premierelectricak.com/" TargetMode="External" Type="http://schemas.openxmlformats.org/officeDocument/2006/relationships/hyperlink"/>
<Relationship Id="rId26" Target="media/image6.jpeg" Type="http://schemas.openxmlformats.org/officeDocument/2006/relationships/image"/>
<Relationship Id="rId27" Target="mailto:TPiersch@WiredAK.com" TargetMode="External" Type="http://schemas.openxmlformats.org/officeDocument/2006/relationships/hyperlink"/>
<Relationship Id="rId28" Target="http://www.wiredak.com/" TargetMode="External" Type="http://schemas.openxmlformats.org/officeDocument/2006/relationships/hyperlink"/>
<Relationship Id="rId29" Target="media/image7.jpeg" Type="http://schemas.openxmlformats.org/officeDocument/2006/relationships/image"/>
<Relationship Id="rId3" Target="settings.xml" Type="http://schemas.openxmlformats.org/officeDocument/2006/relationships/settings"/>
<Relationship Id="rId30" Target="mailto:JNovak@yukonelectricinc.com" TargetMode="External" Type="http://schemas.openxmlformats.org/officeDocument/2006/relationships/hyperlink"/>
<Relationship Id="rId31" Target="https://www.alaskapeninsulacorp.com/subsidiaries/yukon-electric-inc/" TargetMode="External" Type="http://schemas.openxmlformats.org/officeDocument/2006/relationships/hyperlink"/>
<Relationship Id="rId32" Target="media/image8.jpeg" Type="http://schemas.openxmlformats.org/officeDocument/2006/relationships/image"/>
<Relationship Id="rId33" Target="mailto:ever@gci.net" TargetMode="External" Type="http://schemas.openxmlformats.org/officeDocument/2006/relationships/hyperlink"/>
<Relationship Id="rId34" Target="http://www.buzzfile.com/business/Island-Electric-907-225-5800" TargetMode="External" Type="http://schemas.openxmlformats.org/officeDocument/2006/relationships/hyperlink"/>
<Relationship Id="rId35" Target="http://www.buzzfile.com/business/Island-Electric-907-225-5800" TargetMode="External" Type="http://schemas.openxmlformats.org/officeDocument/2006/relationships/hyperlink"/>
<Relationship Id="rId36" Target="http://www.state.gov/g/tip/" TargetMode="External" Type="http://schemas.openxmlformats.org/officeDocument/2006/relationships/hyperlink"/>
<Relationship Id="rId37" Target="http://labor.alaska.gov/lss/pamp600.htm" TargetMode="External" Type="http://schemas.openxmlformats.org/officeDocument/2006/relationships/hyperlink"/>
<Relationship Id="rId38" Target="http://dot.alaska.gov/procurement/warrant_manual/warrant_manual05.pdf" TargetMode="External" Type="http://schemas.openxmlformats.org/officeDocument/2006/relationships/hyperlink"/>
<Relationship Id="rId39" Target="http://dot.alaska.gov/procurement/warrant_manual/warrant_manual05.pdf" TargetMode="External" Type="http://schemas.openxmlformats.org/officeDocument/2006/relationships/hyperlink"/>
<Relationship Id="rId4" Target="webSettings.xml" Type="http://schemas.openxmlformats.org/officeDocument/2006/relationships/webSettings"/>
<Relationship Id="rId40" Target="https://www.commerce.alaska.gov/web/cbpl/ProfessionalLicensing.aspx" TargetMode="External" Type="http://schemas.openxmlformats.org/officeDocument/2006/relationships/hyperlink"/>
<Relationship Id="rId41" Target="mailto:license@alaska.gov" TargetMode="External" Type="http://schemas.openxmlformats.org/officeDocument/2006/relationships/hyperlink"/>
<Relationship Id="rId42" Target="fontTable.xml" Type="http://schemas.openxmlformats.org/officeDocument/2006/relationships/fontTable"/>
<Relationship Id="rId43" Target="theme/theme1.xml" Type="http://schemas.openxmlformats.org/officeDocument/2006/relationships/theme"/>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http://www.dot.state.ak.us/procurement/warrant_manual/warrant_manual05.pdf" TargetMode="External" Type="http://schemas.openxmlformats.org/officeDocument/2006/relationships/hyperlink"/>
<Relationship Id="rId9" Target="http://www.dot.state.ak.us/procurement/warrant_manual/warrant_manual05.pdf"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15</Pages>
  <Words>7394</Words>
  <Characters>42147</Characters>
  <DocSecurity>0</DocSecurity>
  <Lines>351</Lines>
  <Paragraphs>98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49443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