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A88A" w14:textId="77777777" w:rsidR="008A3750" w:rsidRDefault="00000000">
      <w:pPr>
        <w:pStyle w:val="Heading1"/>
        <w:spacing w:line="252" w:lineRule="exact"/>
        <w:ind w:left="2830" w:right="2807"/>
      </w:pPr>
      <w:bookmarkStart w:id="0" w:name="MOBILE_HOME_REPLACEMENT_PROGRAM"/>
      <w:bookmarkEnd w:id="0"/>
      <w:r>
        <w:t>MOBILE HOME REPLACEMENT PROGRAM</w:t>
      </w:r>
    </w:p>
    <w:p w14:paraId="396D70E1" w14:textId="77777777" w:rsidR="008A3750" w:rsidRDefault="00000000">
      <w:pPr>
        <w:pStyle w:val="Title"/>
      </w:pPr>
      <w:bookmarkStart w:id="1" w:name="MORTGAGE_DEED"/>
      <w:bookmarkEnd w:id="1"/>
      <w:r>
        <w:t>MORTGAGE DEED</w:t>
      </w:r>
    </w:p>
    <w:p w14:paraId="36902ACD" w14:textId="77777777" w:rsidR="008A3750" w:rsidRDefault="00000000">
      <w:pPr>
        <w:pStyle w:val="Heading1"/>
        <w:tabs>
          <w:tab w:val="left" w:pos="5151"/>
          <w:tab w:val="left" w:pos="9471"/>
        </w:tabs>
        <w:spacing w:before="255"/>
        <w:jc w:val="both"/>
      </w:pPr>
      <w:r>
        <w:rPr>
          <w:u w:val="single"/>
        </w:rPr>
        <w:t xml:space="preserve"> </w:t>
      </w:r>
      <w:r>
        <w:rPr>
          <w:u w:val="single"/>
        </w:rPr>
        <w:tab/>
      </w:r>
      <w:r>
        <w:t>and</w:t>
      </w:r>
      <w:r>
        <w:rPr>
          <w:u w:val="single"/>
        </w:rPr>
        <w:t xml:space="preserve"> </w:t>
      </w:r>
      <w:r>
        <w:rPr>
          <w:u w:val="single"/>
        </w:rPr>
        <w:tab/>
      </w:r>
      <w:r>
        <w:rPr>
          <w:spacing w:val="-3"/>
        </w:rPr>
        <w:t>of</w:t>
      </w:r>
    </w:p>
    <w:p w14:paraId="53C6C3C0" w14:textId="77777777" w:rsidR="008A3750" w:rsidRDefault="00000000">
      <w:pPr>
        <w:pStyle w:val="BodyText"/>
        <w:tabs>
          <w:tab w:val="left" w:pos="2991"/>
          <w:tab w:val="left" w:pos="5871"/>
        </w:tabs>
        <w:spacing w:before="50" w:line="288" w:lineRule="auto"/>
        <w:ind w:right="155"/>
        <w:jc w:val="both"/>
      </w:pPr>
      <w:r>
        <w:rPr>
          <w:sz w:val="22"/>
          <w:u w:val="single"/>
        </w:rPr>
        <w:t xml:space="preserve"> </w:t>
      </w:r>
      <w:r>
        <w:rPr>
          <w:sz w:val="22"/>
          <w:u w:val="single"/>
        </w:rPr>
        <w:tab/>
      </w:r>
      <w:r>
        <w:rPr>
          <w:sz w:val="22"/>
        </w:rPr>
        <w:t xml:space="preserve">, </w:t>
      </w:r>
      <w:r>
        <w:t>County</w:t>
      </w:r>
      <w:r>
        <w:rPr>
          <w:spacing w:val="-3"/>
        </w:rPr>
        <w:t xml:space="preserve"> </w:t>
      </w:r>
      <w:r>
        <w:t>of</w:t>
      </w:r>
      <w:r>
        <w:rPr>
          <w:u w:val="single"/>
        </w:rPr>
        <w:t xml:space="preserve"> </w:t>
      </w:r>
      <w:r>
        <w:rPr>
          <w:u w:val="single"/>
        </w:rPr>
        <w:tab/>
      </w:r>
      <w:r>
        <w:t>, State of Maine (collectively, the “Owner”), for consideration</w:t>
      </w:r>
      <w:r>
        <w:rPr>
          <w:spacing w:val="-3"/>
        </w:rPr>
        <w:t xml:space="preserve"> </w:t>
      </w:r>
      <w:r>
        <w:t>paid,</w:t>
      </w:r>
      <w:r>
        <w:rPr>
          <w:spacing w:val="-3"/>
        </w:rPr>
        <w:t xml:space="preserve"> </w:t>
      </w:r>
      <w:proofErr w:type="gramStart"/>
      <w:r>
        <w:t>grants</w:t>
      </w:r>
      <w:proofErr w:type="gramEnd"/>
      <w:r>
        <w:rPr>
          <w:spacing w:val="1"/>
        </w:rPr>
        <w:t xml:space="preserve"> </w:t>
      </w:r>
      <w:r>
        <w:t>and</w:t>
      </w:r>
      <w:r>
        <w:rPr>
          <w:spacing w:val="-3"/>
        </w:rPr>
        <w:t xml:space="preserve"> </w:t>
      </w:r>
      <w:r>
        <w:t>conveys</w:t>
      </w:r>
      <w:r>
        <w:rPr>
          <w:spacing w:val="-2"/>
        </w:rPr>
        <w:t xml:space="preserve"> </w:t>
      </w:r>
      <w:r>
        <w:t>to</w:t>
      </w:r>
      <w:r>
        <w:rPr>
          <w:spacing w:val="-3"/>
        </w:rPr>
        <w:t xml:space="preserve"> </w:t>
      </w:r>
      <w:r>
        <w:t>the</w:t>
      </w:r>
      <w:r>
        <w:rPr>
          <w:spacing w:val="-3"/>
        </w:rPr>
        <w:t xml:space="preserve"> </w:t>
      </w:r>
      <w:r>
        <w:t>Maine</w:t>
      </w:r>
      <w:r>
        <w:rPr>
          <w:spacing w:val="-1"/>
        </w:rPr>
        <w:t xml:space="preserve"> </w:t>
      </w:r>
      <w:r>
        <w:t>State</w:t>
      </w:r>
      <w:r>
        <w:rPr>
          <w:spacing w:val="-3"/>
        </w:rPr>
        <w:t xml:space="preserve"> </w:t>
      </w:r>
      <w:r>
        <w:t>Housing</w:t>
      </w:r>
      <w:r>
        <w:rPr>
          <w:spacing w:val="-3"/>
        </w:rPr>
        <w:t xml:space="preserve"> </w:t>
      </w:r>
      <w:r>
        <w:t>Authority</w:t>
      </w:r>
      <w:r>
        <w:rPr>
          <w:spacing w:val="-6"/>
        </w:rPr>
        <w:t xml:space="preserve"> </w:t>
      </w:r>
      <w:r>
        <w:t>a</w:t>
      </w:r>
      <w:r>
        <w:rPr>
          <w:spacing w:val="-1"/>
        </w:rPr>
        <w:t xml:space="preserve"> </w:t>
      </w:r>
      <w:r>
        <w:t>public</w:t>
      </w:r>
      <w:r>
        <w:rPr>
          <w:spacing w:val="-2"/>
        </w:rPr>
        <w:t xml:space="preserve"> </w:t>
      </w:r>
      <w:r>
        <w:t>body</w:t>
      </w:r>
      <w:r>
        <w:rPr>
          <w:spacing w:val="-6"/>
        </w:rPr>
        <w:t xml:space="preserve"> </w:t>
      </w:r>
      <w:r>
        <w:t>corporate</w:t>
      </w:r>
      <w:r>
        <w:rPr>
          <w:spacing w:val="-2"/>
        </w:rPr>
        <w:t xml:space="preserve"> </w:t>
      </w:r>
      <w:r>
        <w:t>and</w:t>
      </w:r>
      <w:r>
        <w:rPr>
          <w:spacing w:val="-3"/>
        </w:rPr>
        <w:t xml:space="preserve"> </w:t>
      </w:r>
      <w:r>
        <w:t>politic and an instrumentality of the State of Maine with a mailing address of 353 Water Street, Augusta, Maine 04330- 4633, its successors and assigns (“</w:t>
      </w:r>
      <w:proofErr w:type="spellStart"/>
      <w:r>
        <w:t>MaineHousing</w:t>
      </w:r>
      <w:proofErr w:type="spellEnd"/>
      <w:r>
        <w:t>”), with mortgage covenants, to secure the repayment</w:t>
      </w:r>
      <w:r>
        <w:rPr>
          <w:spacing w:val="-29"/>
        </w:rPr>
        <w:t xml:space="preserve"> </w:t>
      </w:r>
      <w:r>
        <w:t>of</w:t>
      </w:r>
    </w:p>
    <w:p w14:paraId="0B508F52" w14:textId="77777777" w:rsidR="008A3750" w:rsidRDefault="00000000">
      <w:pPr>
        <w:pStyle w:val="BodyText"/>
        <w:tabs>
          <w:tab w:val="left" w:leader="underscore" w:pos="5006"/>
          <w:tab w:val="left" w:pos="5151"/>
          <w:tab w:val="left" w:pos="6671"/>
          <w:tab w:val="left" w:pos="8031"/>
          <w:tab w:val="left" w:pos="9471"/>
        </w:tabs>
        <w:spacing w:before="1" w:line="288" w:lineRule="auto"/>
        <w:ind w:left="111" w:right="276"/>
      </w:pPr>
      <w:r>
        <w:rPr>
          <w:w w:val="99"/>
          <w:u w:val="single"/>
        </w:rPr>
        <w:t xml:space="preserve"> </w:t>
      </w:r>
      <w:r>
        <w:rPr>
          <w:u w:val="single"/>
        </w:rPr>
        <w:tab/>
      </w:r>
      <w:r>
        <w:rPr>
          <w:u w:val="single"/>
        </w:rPr>
        <w:tab/>
      </w:r>
      <w:r>
        <w:t>dollars</w:t>
      </w:r>
      <w:r>
        <w:rPr>
          <w:spacing w:val="-3"/>
        </w:rPr>
        <w:t xml:space="preserve"> </w:t>
      </w:r>
      <w:r>
        <w:t>($</w:t>
      </w:r>
      <w:r>
        <w:rPr>
          <w:u w:val="single"/>
        </w:rPr>
        <w:t xml:space="preserve"> </w:t>
      </w:r>
      <w:r>
        <w:rPr>
          <w:u w:val="single"/>
        </w:rPr>
        <w:tab/>
      </w:r>
      <w:r>
        <w:rPr>
          <w:u w:val="single"/>
        </w:rPr>
        <w:tab/>
      </w:r>
      <w:r>
        <w:t>) as provided in a Mobile Home Replacement Program Promissory Note of even date herewith, certain property with the address of</w:t>
      </w:r>
      <w:r>
        <w:tab/>
      </w:r>
      <w:r>
        <w:rPr>
          <w:u w:val="single"/>
        </w:rPr>
        <w:t xml:space="preserve"> </w:t>
      </w:r>
      <w:r>
        <w:rPr>
          <w:u w:val="single"/>
        </w:rPr>
        <w:tab/>
      </w:r>
      <w:r>
        <w:rPr>
          <w:u w:val="single"/>
        </w:rPr>
        <w:tab/>
      </w:r>
      <w:r>
        <w:t>,</w:t>
      </w:r>
      <w:r>
        <w:rPr>
          <w:spacing w:val="2"/>
        </w:rPr>
        <w:t xml:space="preserve"> </w:t>
      </w:r>
      <w:r>
        <w:t>County</w:t>
      </w:r>
      <w:r>
        <w:rPr>
          <w:spacing w:val="-2"/>
        </w:rPr>
        <w:t xml:space="preserve"> </w:t>
      </w:r>
      <w:r>
        <w:t>of</w:t>
      </w:r>
      <w:r>
        <w:rPr>
          <w:u w:val="single"/>
        </w:rPr>
        <w:t xml:space="preserve"> </w:t>
      </w:r>
      <w:r>
        <w:rPr>
          <w:u w:val="single"/>
        </w:rPr>
        <w:tab/>
      </w:r>
      <w:r>
        <w:rPr>
          <w:u w:val="single"/>
        </w:rPr>
        <w:tab/>
      </w:r>
      <w:r>
        <w:t>,</w:t>
      </w:r>
    </w:p>
    <w:p w14:paraId="2C96E5DA" w14:textId="77777777" w:rsidR="008A3750" w:rsidRDefault="00000000">
      <w:pPr>
        <w:pStyle w:val="BodyText"/>
        <w:spacing w:line="230" w:lineRule="exact"/>
      </w:pPr>
      <w:r>
        <w:t>State of Maine (the “Property”) and which is more fully described as attached Exhibit A.</w:t>
      </w:r>
    </w:p>
    <w:p w14:paraId="33FCA45A" w14:textId="77777777" w:rsidR="008A3750" w:rsidRDefault="00000000">
      <w:pPr>
        <w:pStyle w:val="BodyText"/>
        <w:spacing w:before="166" w:line="288" w:lineRule="auto"/>
        <w:ind w:right="324"/>
      </w:pPr>
      <w:r>
        <w:t>This mortgage is upon the statutory condition, for any breach of which the mortgagee shall have the remedies provided by law.</w:t>
      </w:r>
    </w:p>
    <w:p w14:paraId="7E39E775" w14:textId="77777777" w:rsidR="008A3750" w:rsidRDefault="00000000">
      <w:pPr>
        <w:pStyle w:val="BodyText"/>
        <w:spacing w:before="120"/>
        <w:ind w:left="111"/>
        <w:jc w:val="both"/>
      </w:pPr>
      <w:r>
        <w:t>The Owner agrees:</w:t>
      </w:r>
    </w:p>
    <w:p w14:paraId="0E7180BF" w14:textId="77777777" w:rsidR="008A3750" w:rsidRDefault="00000000">
      <w:pPr>
        <w:pStyle w:val="ListParagraph"/>
        <w:numPr>
          <w:ilvl w:val="0"/>
          <w:numId w:val="1"/>
        </w:numPr>
        <w:tabs>
          <w:tab w:val="left" w:pos="651"/>
          <w:tab w:val="left" w:pos="653"/>
        </w:tabs>
        <w:spacing w:before="166" w:line="288" w:lineRule="auto"/>
        <w:ind w:left="651" w:right="304" w:hanging="540"/>
        <w:rPr>
          <w:sz w:val="20"/>
        </w:rPr>
      </w:pPr>
      <w:r>
        <w:rPr>
          <w:sz w:val="20"/>
          <w:u w:val="single"/>
        </w:rPr>
        <w:t>Transfer.</w:t>
      </w:r>
      <w:r>
        <w:rPr>
          <w:sz w:val="20"/>
        </w:rPr>
        <w:t xml:space="preserve"> The Owner shall not transfer the property described above without the prior written consent of </w:t>
      </w:r>
      <w:proofErr w:type="spellStart"/>
      <w:r>
        <w:rPr>
          <w:sz w:val="20"/>
        </w:rPr>
        <w:t>MaineHousing</w:t>
      </w:r>
      <w:proofErr w:type="spellEnd"/>
      <w:r>
        <w:rPr>
          <w:sz w:val="20"/>
        </w:rPr>
        <w:t>.</w:t>
      </w:r>
    </w:p>
    <w:p w14:paraId="3364E200" w14:textId="77777777" w:rsidR="008A3750" w:rsidRDefault="00000000">
      <w:pPr>
        <w:pStyle w:val="ListParagraph"/>
        <w:numPr>
          <w:ilvl w:val="0"/>
          <w:numId w:val="1"/>
        </w:numPr>
        <w:tabs>
          <w:tab w:val="left" w:pos="651"/>
          <w:tab w:val="left" w:pos="653"/>
        </w:tabs>
        <w:spacing w:line="288" w:lineRule="auto"/>
        <w:ind w:left="651" w:right="606" w:hanging="540"/>
        <w:rPr>
          <w:sz w:val="20"/>
        </w:rPr>
      </w:pPr>
      <w:r>
        <w:rPr>
          <w:sz w:val="20"/>
          <w:u w:val="single"/>
        </w:rPr>
        <w:t>Completion Certificates</w:t>
      </w:r>
      <w:r>
        <w:rPr>
          <w:sz w:val="20"/>
        </w:rPr>
        <w:t xml:space="preserve">. A default </w:t>
      </w:r>
      <w:r>
        <w:rPr>
          <w:spacing w:val="2"/>
          <w:sz w:val="20"/>
        </w:rPr>
        <w:t xml:space="preserve">may </w:t>
      </w:r>
      <w:r>
        <w:rPr>
          <w:sz w:val="20"/>
        </w:rPr>
        <w:t>be declared hereunder if the Owner fails to provide any Borrower/Contractor</w:t>
      </w:r>
      <w:r>
        <w:rPr>
          <w:spacing w:val="-6"/>
          <w:sz w:val="20"/>
        </w:rPr>
        <w:t xml:space="preserve"> </w:t>
      </w:r>
      <w:r>
        <w:rPr>
          <w:sz w:val="20"/>
        </w:rPr>
        <w:t>Completion,</w:t>
      </w:r>
      <w:r>
        <w:rPr>
          <w:spacing w:val="-6"/>
          <w:sz w:val="20"/>
        </w:rPr>
        <w:t xml:space="preserve"> </w:t>
      </w:r>
      <w:r>
        <w:rPr>
          <w:sz w:val="20"/>
        </w:rPr>
        <w:t>or</w:t>
      </w:r>
      <w:r>
        <w:rPr>
          <w:spacing w:val="-2"/>
          <w:sz w:val="20"/>
        </w:rPr>
        <w:t xml:space="preserve"> </w:t>
      </w:r>
      <w:r>
        <w:rPr>
          <w:sz w:val="20"/>
        </w:rPr>
        <w:t>other</w:t>
      </w:r>
      <w:r>
        <w:rPr>
          <w:spacing w:val="-3"/>
          <w:sz w:val="20"/>
        </w:rPr>
        <w:t xml:space="preserve"> </w:t>
      </w:r>
      <w:r>
        <w:rPr>
          <w:sz w:val="20"/>
        </w:rPr>
        <w:t>Certificates</w:t>
      </w:r>
      <w:r>
        <w:rPr>
          <w:spacing w:val="-6"/>
          <w:sz w:val="20"/>
        </w:rPr>
        <w:t xml:space="preserve"> </w:t>
      </w:r>
      <w:r>
        <w:rPr>
          <w:sz w:val="20"/>
        </w:rPr>
        <w:t>required</w:t>
      </w:r>
      <w:r>
        <w:rPr>
          <w:spacing w:val="-4"/>
          <w:sz w:val="20"/>
        </w:rPr>
        <w:t xml:space="preserve"> </w:t>
      </w:r>
      <w:r>
        <w:rPr>
          <w:sz w:val="20"/>
        </w:rPr>
        <w:t>under</w:t>
      </w:r>
      <w:r>
        <w:rPr>
          <w:spacing w:val="-5"/>
          <w:sz w:val="20"/>
        </w:rPr>
        <w:t xml:space="preserve"> </w:t>
      </w:r>
      <w:r>
        <w:rPr>
          <w:sz w:val="20"/>
        </w:rPr>
        <w:t>the</w:t>
      </w:r>
      <w:r>
        <w:rPr>
          <w:spacing w:val="-3"/>
          <w:sz w:val="20"/>
        </w:rPr>
        <w:t xml:space="preserve"> </w:t>
      </w:r>
      <w:r>
        <w:rPr>
          <w:sz w:val="20"/>
        </w:rPr>
        <w:t>Mobile</w:t>
      </w:r>
      <w:r>
        <w:rPr>
          <w:spacing w:val="-6"/>
          <w:sz w:val="20"/>
        </w:rPr>
        <w:t xml:space="preserve"> </w:t>
      </w:r>
      <w:r>
        <w:rPr>
          <w:sz w:val="20"/>
        </w:rPr>
        <w:t>Home</w:t>
      </w:r>
      <w:r>
        <w:rPr>
          <w:spacing w:val="-6"/>
          <w:sz w:val="20"/>
        </w:rPr>
        <w:t xml:space="preserve"> </w:t>
      </w:r>
      <w:r>
        <w:rPr>
          <w:sz w:val="20"/>
        </w:rPr>
        <w:t>Replacement Program.</w:t>
      </w:r>
    </w:p>
    <w:p w14:paraId="403EDFD5" w14:textId="77777777" w:rsidR="008A3750" w:rsidRDefault="00000000">
      <w:pPr>
        <w:pStyle w:val="ListParagraph"/>
        <w:numPr>
          <w:ilvl w:val="0"/>
          <w:numId w:val="1"/>
        </w:numPr>
        <w:tabs>
          <w:tab w:val="left" w:pos="653"/>
        </w:tabs>
        <w:spacing w:line="288" w:lineRule="auto"/>
        <w:ind w:left="651" w:hanging="540"/>
        <w:jc w:val="both"/>
        <w:rPr>
          <w:sz w:val="20"/>
        </w:rPr>
      </w:pPr>
      <w:r>
        <w:rPr>
          <w:sz w:val="20"/>
          <w:u w:val="single"/>
        </w:rPr>
        <w:t>Forbearance Not Waiver.</w:t>
      </w:r>
      <w:r>
        <w:rPr>
          <w:sz w:val="20"/>
        </w:rPr>
        <w:t xml:space="preserve"> Any forbearance by </w:t>
      </w:r>
      <w:proofErr w:type="spellStart"/>
      <w:r>
        <w:rPr>
          <w:sz w:val="20"/>
        </w:rPr>
        <w:t>MaineHousing</w:t>
      </w:r>
      <w:proofErr w:type="spellEnd"/>
      <w:r>
        <w:rPr>
          <w:sz w:val="20"/>
        </w:rPr>
        <w:t xml:space="preserve"> in exercising any right or remedy hereunder, or otherwise afforded by applicable law, shall not be a waiver of or preclude the exercise of any such right or</w:t>
      </w:r>
      <w:r>
        <w:rPr>
          <w:spacing w:val="-1"/>
          <w:sz w:val="20"/>
        </w:rPr>
        <w:t xml:space="preserve"> </w:t>
      </w:r>
      <w:r>
        <w:rPr>
          <w:sz w:val="20"/>
        </w:rPr>
        <w:t>remedy.</w:t>
      </w:r>
    </w:p>
    <w:p w14:paraId="471DD34F" w14:textId="77777777" w:rsidR="008A3750" w:rsidRDefault="00000000">
      <w:pPr>
        <w:pStyle w:val="ListParagraph"/>
        <w:numPr>
          <w:ilvl w:val="0"/>
          <w:numId w:val="1"/>
        </w:numPr>
        <w:tabs>
          <w:tab w:val="left" w:pos="651"/>
          <w:tab w:val="left" w:pos="653"/>
        </w:tabs>
        <w:spacing w:line="288" w:lineRule="auto"/>
        <w:ind w:left="651" w:right="313" w:hanging="540"/>
        <w:rPr>
          <w:sz w:val="20"/>
        </w:rPr>
      </w:pPr>
      <w:r>
        <w:rPr>
          <w:sz w:val="20"/>
          <w:u w:val="single"/>
        </w:rPr>
        <w:t>Taxes and Insurance</w:t>
      </w:r>
      <w:r>
        <w:rPr>
          <w:sz w:val="20"/>
        </w:rPr>
        <w:t>. The Owner shall pay all taxes, and assessments, if any, due on the Property and will keep the Property free from all future claims against it. The Owner shall keep the Property insured under terms as required by</w:t>
      </w:r>
      <w:r>
        <w:rPr>
          <w:spacing w:val="-3"/>
          <w:sz w:val="20"/>
        </w:rPr>
        <w:t xml:space="preserve"> </w:t>
      </w:r>
      <w:proofErr w:type="spellStart"/>
      <w:r>
        <w:rPr>
          <w:sz w:val="20"/>
        </w:rPr>
        <w:t>MaineHousing</w:t>
      </w:r>
      <w:proofErr w:type="spellEnd"/>
      <w:r>
        <w:rPr>
          <w:sz w:val="20"/>
        </w:rPr>
        <w:t>.</w:t>
      </w:r>
    </w:p>
    <w:p w14:paraId="5E404AE0" w14:textId="77777777" w:rsidR="008A3750" w:rsidRDefault="00000000">
      <w:pPr>
        <w:pStyle w:val="ListParagraph"/>
        <w:numPr>
          <w:ilvl w:val="0"/>
          <w:numId w:val="1"/>
        </w:numPr>
        <w:tabs>
          <w:tab w:val="left" w:pos="651"/>
          <w:tab w:val="left" w:pos="653"/>
        </w:tabs>
        <w:spacing w:line="288" w:lineRule="auto"/>
        <w:ind w:left="651" w:hanging="540"/>
        <w:rPr>
          <w:sz w:val="20"/>
        </w:rPr>
      </w:pPr>
      <w:r>
        <w:rPr>
          <w:sz w:val="20"/>
          <w:u w:val="single"/>
        </w:rPr>
        <w:t>Protection of Security.</w:t>
      </w:r>
      <w:r>
        <w:rPr>
          <w:sz w:val="20"/>
        </w:rPr>
        <w:t xml:space="preserve"> If the Owner fails to </w:t>
      </w:r>
      <w:r>
        <w:rPr>
          <w:spacing w:val="2"/>
          <w:sz w:val="20"/>
        </w:rPr>
        <w:t xml:space="preserve">pay </w:t>
      </w:r>
      <w:r>
        <w:rPr>
          <w:sz w:val="20"/>
        </w:rPr>
        <w:t xml:space="preserve">taxes or assessments, if any, or keep the Property insured under terms as required by </w:t>
      </w:r>
      <w:proofErr w:type="spellStart"/>
      <w:r>
        <w:rPr>
          <w:sz w:val="20"/>
        </w:rPr>
        <w:t>MaineHousing</w:t>
      </w:r>
      <w:proofErr w:type="spellEnd"/>
      <w:r>
        <w:rPr>
          <w:sz w:val="20"/>
        </w:rPr>
        <w:t xml:space="preserve">, or if the Owner fails to protect </w:t>
      </w:r>
      <w:proofErr w:type="spellStart"/>
      <w:r>
        <w:rPr>
          <w:sz w:val="20"/>
        </w:rPr>
        <w:t>MaineHousing’s</w:t>
      </w:r>
      <w:proofErr w:type="spellEnd"/>
      <w:r>
        <w:rPr>
          <w:sz w:val="20"/>
        </w:rPr>
        <w:t xml:space="preserve"> interest in any other way, </w:t>
      </w:r>
      <w:proofErr w:type="spellStart"/>
      <w:r>
        <w:rPr>
          <w:sz w:val="20"/>
        </w:rPr>
        <w:t>MaineHousing</w:t>
      </w:r>
      <w:proofErr w:type="spellEnd"/>
      <w:r>
        <w:rPr>
          <w:sz w:val="20"/>
        </w:rPr>
        <w:t xml:space="preserve"> may, at its option, upon notice to the Owner, pay such sums and take such action as is necessary to protect </w:t>
      </w:r>
      <w:proofErr w:type="spellStart"/>
      <w:r>
        <w:rPr>
          <w:sz w:val="20"/>
        </w:rPr>
        <w:t>MaineHousing’s</w:t>
      </w:r>
      <w:proofErr w:type="spellEnd"/>
      <w:r>
        <w:rPr>
          <w:sz w:val="20"/>
        </w:rPr>
        <w:t xml:space="preserve"> interest. Any amounts disbursed under this paragraph shall become indebtedness of the Owner secured by this</w:t>
      </w:r>
      <w:r>
        <w:rPr>
          <w:spacing w:val="-9"/>
          <w:sz w:val="20"/>
        </w:rPr>
        <w:t xml:space="preserve"> </w:t>
      </w:r>
      <w:r>
        <w:rPr>
          <w:sz w:val="20"/>
        </w:rPr>
        <w:t>Mortgage.</w:t>
      </w:r>
    </w:p>
    <w:p w14:paraId="638550A9" w14:textId="77777777" w:rsidR="008A3750" w:rsidRDefault="00000000">
      <w:pPr>
        <w:pStyle w:val="BodyText"/>
        <w:tabs>
          <w:tab w:val="left" w:pos="9199"/>
        </w:tabs>
        <w:spacing w:before="118"/>
        <w:ind w:left="831"/>
      </w:pPr>
      <w:r>
        <w:rPr>
          <w:b/>
        </w:rPr>
        <w:t>IN WITNESS WHEREOF</w:t>
      </w:r>
      <w:r>
        <w:t>, the Owner has caused this instrument to be duly executed</w:t>
      </w:r>
      <w:r>
        <w:rPr>
          <w:spacing w:val="-29"/>
        </w:rPr>
        <w:t xml:space="preserve"> </w:t>
      </w:r>
      <w:r>
        <w:t>this</w:t>
      </w:r>
      <w:r>
        <w:rPr>
          <w:spacing w:val="-2"/>
        </w:rPr>
        <w:t xml:space="preserve"> </w:t>
      </w:r>
      <w:r>
        <w:t>_</w:t>
      </w:r>
      <w:r>
        <w:rPr>
          <w:u w:val="single"/>
        </w:rPr>
        <w:t xml:space="preserve"> </w:t>
      </w:r>
      <w:r>
        <w:rPr>
          <w:u w:val="single"/>
        </w:rPr>
        <w:tab/>
      </w:r>
      <w:r>
        <w:t>day</w:t>
      </w:r>
      <w:r>
        <w:rPr>
          <w:spacing w:val="-4"/>
        </w:rPr>
        <w:t xml:space="preserve"> </w:t>
      </w:r>
      <w:r>
        <w:t>of</w:t>
      </w:r>
    </w:p>
    <w:p w14:paraId="0C7442B5" w14:textId="77777777" w:rsidR="008A3750" w:rsidRDefault="00000000">
      <w:pPr>
        <w:pStyle w:val="BodyText"/>
        <w:tabs>
          <w:tab w:val="left" w:pos="2271"/>
          <w:tab w:val="left" w:pos="4428"/>
        </w:tabs>
        <w:spacing w:before="49"/>
      </w:pPr>
      <w:r>
        <w:rPr>
          <w:w w:val="99"/>
          <w:u w:val="single"/>
        </w:rPr>
        <w:t xml:space="preserve"> </w:t>
      </w:r>
      <w:r>
        <w:rPr>
          <w:u w:val="single"/>
        </w:rPr>
        <w:tab/>
      </w:r>
      <w:r>
        <w:t>,</w:t>
      </w:r>
      <w:r>
        <w:rPr>
          <w:spacing w:val="-3"/>
        </w:rPr>
        <w:t xml:space="preserve"> </w:t>
      </w:r>
      <w:r>
        <w:t>2016</w:t>
      </w:r>
      <w:r>
        <w:rPr>
          <w:spacing w:val="-3"/>
        </w:rPr>
        <w:t xml:space="preserve"> </w:t>
      </w:r>
      <w:r>
        <w:t>at</w:t>
      </w:r>
      <w:r>
        <w:rPr>
          <w:u w:val="single"/>
        </w:rPr>
        <w:t xml:space="preserve"> </w:t>
      </w:r>
      <w:r>
        <w:rPr>
          <w:u w:val="single"/>
        </w:rPr>
        <w:tab/>
      </w:r>
      <w:r>
        <w:t>,</w:t>
      </w:r>
      <w:r>
        <w:rPr>
          <w:spacing w:val="-1"/>
        </w:rPr>
        <w:t xml:space="preserve"> </w:t>
      </w:r>
      <w:r>
        <w:t>Maine.</w:t>
      </w:r>
    </w:p>
    <w:p w14:paraId="632FCF07" w14:textId="77777777" w:rsidR="008A3750" w:rsidRDefault="008A3750">
      <w:pPr>
        <w:pStyle w:val="BodyText"/>
        <w:ind w:left="0"/>
      </w:pPr>
    </w:p>
    <w:p w14:paraId="3C261F01" w14:textId="77777777" w:rsidR="008A3750" w:rsidRDefault="00000000">
      <w:pPr>
        <w:pStyle w:val="BodyText"/>
        <w:spacing w:before="9"/>
        <w:ind w:left="0"/>
        <w:rPr>
          <w:sz w:val="18"/>
        </w:rPr>
      </w:pPr>
      <w:r>
        <w:pict w14:anchorId="23E5B7C8">
          <v:rect id="_x0000_s1030" style="position:absolute;margin-left:57.6pt;margin-top:12.75pt;width:180pt;height:.7pt;z-index:-15728640;mso-wrap-distance-left:0;mso-wrap-distance-right:0;mso-position-horizontal-relative:page" fillcolor="black" stroked="f">
            <w10:wrap type="topAndBottom" anchorx="page"/>
          </v:rect>
        </w:pict>
      </w:r>
      <w:r>
        <w:pict w14:anchorId="3EC8379E">
          <v:rect id="_x0000_s1029" style="position:absolute;margin-left:309.6pt;margin-top:12.75pt;width:3in;height:.7pt;z-index:-15728128;mso-wrap-distance-left:0;mso-wrap-distance-right:0;mso-position-horizontal-relative:page" fillcolor="black" stroked="f">
            <w10:wrap type="topAndBottom" anchorx="page"/>
          </v:rect>
        </w:pict>
      </w:r>
    </w:p>
    <w:p w14:paraId="1D802C94" w14:textId="77777777" w:rsidR="008A3750" w:rsidRDefault="00000000">
      <w:pPr>
        <w:pStyle w:val="BodyText"/>
        <w:tabs>
          <w:tab w:val="left" w:pos="5151"/>
        </w:tabs>
        <w:spacing w:line="205" w:lineRule="exact"/>
      </w:pPr>
      <w:r>
        <w:t>Witness</w:t>
      </w:r>
      <w:r>
        <w:tab/>
        <w:t>Owner:</w:t>
      </w:r>
    </w:p>
    <w:p w14:paraId="593ADA9E" w14:textId="77777777" w:rsidR="008A3750" w:rsidRDefault="008A3750">
      <w:pPr>
        <w:pStyle w:val="BodyText"/>
        <w:ind w:left="0"/>
      </w:pPr>
    </w:p>
    <w:p w14:paraId="41E1C9B9" w14:textId="77777777" w:rsidR="008A3750" w:rsidRDefault="00000000">
      <w:pPr>
        <w:pStyle w:val="BodyText"/>
        <w:spacing w:before="10"/>
        <w:ind w:left="0"/>
        <w:rPr>
          <w:sz w:val="14"/>
        </w:rPr>
      </w:pPr>
      <w:r>
        <w:pict w14:anchorId="220A7893">
          <v:rect id="_x0000_s1028" style="position:absolute;margin-left:57.6pt;margin-top:10.5pt;width:180pt;height:.7pt;z-index:-15727616;mso-wrap-distance-left:0;mso-wrap-distance-right:0;mso-position-horizontal-relative:page" fillcolor="black" stroked="f">
            <w10:wrap type="topAndBottom" anchorx="page"/>
          </v:rect>
        </w:pict>
      </w:r>
      <w:r>
        <w:pict w14:anchorId="06C06085">
          <v:rect id="_x0000_s1027" style="position:absolute;margin-left:309.6pt;margin-top:10.5pt;width:3in;height:.7pt;z-index:-15727104;mso-wrap-distance-left:0;mso-wrap-distance-right:0;mso-position-horizontal-relative:page" fillcolor="black" stroked="f">
            <w10:wrap type="topAndBottom" anchorx="page"/>
          </v:rect>
        </w:pict>
      </w:r>
    </w:p>
    <w:p w14:paraId="0E048E62" w14:textId="77777777" w:rsidR="008A3750" w:rsidRDefault="00000000">
      <w:pPr>
        <w:pStyle w:val="BodyText"/>
        <w:tabs>
          <w:tab w:val="left" w:pos="5151"/>
        </w:tabs>
        <w:spacing w:line="208" w:lineRule="exact"/>
      </w:pPr>
      <w:r>
        <w:t>Witness</w:t>
      </w:r>
      <w:r>
        <w:tab/>
        <w:t>Owner:</w:t>
      </w:r>
    </w:p>
    <w:p w14:paraId="5FD706B6" w14:textId="77777777" w:rsidR="008A3750" w:rsidRDefault="008A3750">
      <w:pPr>
        <w:pStyle w:val="BodyText"/>
        <w:ind w:left="0"/>
      </w:pPr>
    </w:p>
    <w:p w14:paraId="57296E66" w14:textId="77777777" w:rsidR="008A3750" w:rsidRDefault="00000000">
      <w:pPr>
        <w:pStyle w:val="BodyText"/>
        <w:spacing w:before="1"/>
        <w:ind w:left="111"/>
      </w:pPr>
      <w:r>
        <w:t>State of Maine</w:t>
      </w:r>
    </w:p>
    <w:p w14:paraId="6B7D29AD" w14:textId="77777777" w:rsidR="008A3750" w:rsidRDefault="00000000">
      <w:pPr>
        <w:pStyle w:val="BodyText"/>
        <w:tabs>
          <w:tab w:val="left" w:pos="2991"/>
          <w:tab w:val="left" w:pos="7311"/>
          <w:tab w:val="left" w:pos="9470"/>
        </w:tabs>
        <w:spacing w:before="36"/>
      </w:pPr>
      <w:r>
        <w:t>County</w:t>
      </w:r>
      <w:r>
        <w:rPr>
          <w:spacing w:val="-4"/>
        </w:rPr>
        <w:t xml:space="preserve"> </w:t>
      </w:r>
      <w:r>
        <w:t>of</w:t>
      </w:r>
      <w:r>
        <w:rPr>
          <w:u w:val="single"/>
        </w:rPr>
        <w:t xml:space="preserve"> </w:t>
      </w:r>
      <w:r>
        <w:rPr>
          <w:u w:val="single"/>
        </w:rPr>
        <w:tab/>
      </w:r>
      <w:r>
        <w:t>, ss.</w:t>
      </w:r>
      <w:r>
        <w:tab/>
      </w:r>
      <w:r>
        <w:rPr>
          <w:u w:val="single"/>
        </w:rPr>
        <w:t xml:space="preserve"> </w:t>
      </w:r>
      <w:r>
        <w:rPr>
          <w:u w:val="single"/>
        </w:rPr>
        <w:tab/>
      </w:r>
      <w:r>
        <w:t>,</w:t>
      </w:r>
      <w:r>
        <w:rPr>
          <w:spacing w:val="-3"/>
        </w:rPr>
        <w:t xml:space="preserve"> </w:t>
      </w:r>
      <w:r>
        <w:t>2016</w:t>
      </w:r>
    </w:p>
    <w:p w14:paraId="3BB4BDE5" w14:textId="77777777" w:rsidR="008A3750" w:rsidRDefault="00000000">
      <w:pPr>
        <w:pStyle w:val="BodyText"/>
        <w:tabs>
          <w:tab w:val="left" w:pos="9471"/>
        </w:tabs>
        <w:spacing w:before="154"/>
        <w:ind w:left="831"/>
      </w:pPr>
      <w:r>
        <w:t>Personally appeared before me</w:t>
      </w:r>
      <w:r>
        <w:rPr>
          <w:spacing w:val="-12"/>
        </w:rPr>
        <w:t xml:space="preserve"> </w:t>
      </w:r>
      <w:r>
        <w:t>the</w:t>
      </w:r>
      <w:r>
        <w:rPr>
          <w:spacing w:val="-3"/>
        </w:rPr>
        <w:t xml:space="preserve"> </w:t>
      </w:r>
      <w:r>
        <w:t>above-named</w:t>
      </w:r>
      <w:r>
        <w:rPr>
          <w:u w:val="single"/>
        </w:rPr>
        <w:t xml:space="preserve"> </w:t>
      </w:r>
      <w:r>
        <w:rPr>
          <w:u w:val="single"/>
        </w:rPr>
        <w:tab/>
      </w:r>
      <w:r>
        <w:t>and</w:t>
      </w:r>
    </w:p>
    <w:p w14:paraId="1FE5D156" w14:textId="77777777" w:rsidR="008A3750" w:rsidRDefault="00000000">
      <w:pPr>
        <w:pStyle w:val="BodyText"/>
        <w:tabs>
          <w:tab w:val="left" w:pos="3711"/>
        </w:tabs>
        <w:spacing w:before="34" w:line="276" w:lineRule="auto"/>
        <w:ind w:right="167"/>
      </w:pPr>
      <w:r>
        <w:rPr>
          <w:w w:val="99"/>
          <w:u w:val="single"/>
        </w:rPr>
        <w:t xml:space="preserve"> </w:t>
      </w:r>
      <w:r>
        <w:rPr>
          <w:u w:val="single"/>
        </w:rPr>
        <w:tab/>
      </w:r>
      <w:r>
        <w:rPr>
          <w:spacing w:val="-1"/>
        </w:rPr>
        <w:t xml:space="preserve"> </w:t>
      </w:r>
      <w:r>
        <w:t>and acknowledged the foregoing instrument to be his/her/their free act and deed.</w:t>
      </w:r>
    </w:p>
    <w:p w14:paraId="4E9C8D3C" w14:textId="77777777" w:rsidR="008A3750" w:rsidRDefault="00000000">
      <w:pPr>
        <w:pStyle w:val="BodyText"/>
        <w:spacing w:before="8"/>
        <w:ind w:left="0"/>
        <w:rPr>
          <w:sz w:val="14"/>
        </w:rPr>
      </w:pPr>
      <w:r>
        <w:pict w14:anchorId="1D437BE0">
          <v:rect id="_x0000_s1026" style="position:absolute;margin-left:309.6pt;margin-top:10.45pt;width:3in;height:.7pt;z-index:-15726592;mso-wrap-distance-left:0;mso-wrap-distance-right:0;mso-position-horizontal-relative:page" fillcolor="black" stroked="f">
            <w10:wrap type="topAndBottom" anchorx="page"/>
          </v:rect>
        </w:pict>
      </w:r>
    </w:p>
    <w:p w14:paraId="66E30B17" w14:textId="77777777" w:rsidR="008A3750" w:rsidRDefault="00000000">
      <w:pPr>
        <w:pStyle w:val="BodyText"/>
        <w:tabs>
          <w:tab w:val="left" w:pos="9471"/>
        </w:tabs>
        <w:spacing w:before="14" w:line="276" w:lineRule="auto"/>
        <w:ind w:left="5151" w:right="667"/>
      </w:pPr>
      <w:r>
        <w:t>Print</w:t>
      </w:r>
      <w:r>
        <w:rPr>
          <w:spacing w:val="-6"/>
        </w:rPr>
        <w:t xml:space="preserve"> </w:t>
      </w:r>
      <w:r>
        <w:t>Name:</w:t>
      </w:r>
      <w:r>
        <w:rPr>
          <w:w w:val="99"/>
          <w:u w:val="single"/>
        </w:rPr>
        <w:t xml:space="preserve"> </w:t>
      </w:r>
      <w:r>
        <w:rPr>
          <w:u w:val="single"/>
        </w:rPr>
        <w:tab/>
      </w:r>
      <w:r>
        <w:t xml:space="preserve"> Notary</w:t>
      </w:r>
      <w:r>
        <w:rPr>
          <w:spacing w:val="-3"/>
        </w:rPr>
        <w:t xml:space="preserve"> </w:t>
      </w:r>
      <w:r>
        <w:t>Public/Attorney-at-Law</w:t>
      </w:r>
    </w:p>
    <w:p w14:paraId="2F2D5875" w14:textId="77777777" w:rsidR="008A3750" w:rsidRDefault="00000000">
      <w:pPr>
        <w:pStyle w:val="BodyText"/>
        <w:tabs>
          <w:tab w:val="left" w:pos="9471"/>
        </w:tabs>
        <w:spacing w:line="229" w:lineRule="exact"/>
        <w:ind w:left="5151"/>
      </w:pPr>
      <w:r>
        <w:t>My Commission</w:t>
      </w:r>
      <w:r>
        <w:rPr>
          <w:spacing w:val="-8"/>
        </w:rPr>
        <w:t xml:space="preserve"> </w:t>
      </w:r>
      <w:r>
        <w:t>Expires:</w:t>
      </w:r>
      <w:r>
        <w:rPr>
          <w:u w:val="single"/>
        </w:rPr>
        <w:t xml:space="preserve"> </w:t>
      </w:r>
      <w:r>
        <w:rPr>
          <w:u w:val="single"/>
        </w:rPr>
        <w:tab/>
      </w:r>
    </w:p>
    <w:p w14:paraId="79A757F1" w14:textId="77777777" w:rsidR="008A3750" w:rsidRDefault="00000000">
      <w:pPr>
        <w:spacing w:before="157"/>
        <w:ind w:right="126"/>
        <w:jc w:val="right"/>
        <w:rPr>
          <w:sz w:val="16"/>
        </w:rPr>
      </w:pPr>
      <w:r>
        <w:rPr>
          <w:sz w:val="16"/>
        </w:rPr>
        <w:t>Mortgage Deed MOHO 01062016</w:t>
      </w:r>
    </w:p>
    <w:sectPr w:rsidR="008A3750">
      <w:type w:val="continuous"/>
      <w:pgSz w:w="12240" w:h="15840"/>
      <w:pgMar w:top="780" w:right="10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238D"/>
    <w:multiLevelType w:val="hybridMultilevel"/>
    <w:tmpl w:val="3AC4CDBE"/>
    <w:lvl w:ilvl="0" w:tplc="6CAEB8FE">
      <w:start w:val="1"/>
      <w:numFmt w:val="decimal"/>
      <w:lvlText w:val="%1."/>
      <w:lvlJc w:val="left"/>
      <w:pPr>
        <w:ind w:left="652" w:hanging="541"/>
        <w:jc w:val="left"/>
      </w:pPr>
      <w:rPr>
        <w:rFonts w:ascii="Arial" w:eastAsia="Arial" w:hAnsi="Arial" w:cs="Arial" w:hint="default"/>
        <w:spacing w:val="-1"/>
        <w:w w:val="99"/>
        <w:sz w:val="20"/>
        <w:szCs w:val="20"/>
        <w:lang w:val="en-US" w:eastAsia="en-US" w:bidi="ar-SA"/>
      </w:rPr>
    </w:lvl>
    <w:lvl w:ilvl="1" w:tplc="6882B1CC">
      <w:numFmt w:val="bullet"/>
      <w:lvlText w:val="•"/>
      <w:lvlJc w:val="left"/>
      <w:pPr>
        <w:ind w:left="1608" w:hanging="541"/>
      </w:pPr>
      <w:rPr>
        <w:rFonts w:hint="default"/>
        <w:lang w:val="en-US" w:eastAsia="en-US" w:bidi="ar-SA"/>
      </w:rPr>
    </w:lvl>
    <w:lvl w:ilvl="2" w:tplc="74F2E80C">
      <w:numFmt w:val="bullet"/>
      <w:lvlText w:val="•"/>
      <w:lvlJc w:val="left"/>
      <w:pPr>
        <w:ind w:left="2556" w:hanging="541"/>
      </w:pPr>
      <w:rPr>
        <w:rFonts w:hint="default"/>
        <w:lang w:val="en-US" w:eastAsia="en-US" w:bidi="ar-SA"/>
      </w:rPr>
    </w:lvl>
    <w:lvl w:ilvl="3" w:tplc="A880A382">
      <w:numFmt w:val="bullet"/>
      <w:lvlText w:val="•"/>
      <w:lvlJc w:val="left"/>
      <w:pPr>
        <w:ind w:left="3504" w:hanging="541"/>
      </w:pPr>
      <w:rPr>
        <w:rFonts w:hint="default"/>
        <w:lang w:val="en-US" w:eastAsia="en-US" w:bidi="ar-SA"/>
      </w:rPr>
    </w:lvl>
    <w:lvl w:ilvl="4" w:tplc="30FA77B6">
      <w:numFmt w:val="bullet"/>
      <w:lvlText w:val="•"/>
      <w:lvlJc w:val="left"/>
      <w:pPr>
        <w:ind w:left="4452" w:hanging="541"/>
      </w:pPr>
      <w:rPr>
        <w:rFonts w:hint="default"/>
        <w:lang w:val="en-US" w:eastAsia="en-US" w:bidi="ar-SA"/>
      </w:rPr>
    </w:lvl>
    <w:lvl w:ilvl="5" w:tplc="EA3C7CC0">
      <w:numFmt w:val="bullet"/>
      <w:lvlText w:val="•"/>
      <w:lvlJc w:val="left"/>
      <w:pPr>
        <w:ind w:left="5400" w:hanging="541"/>
      </w:pPr>
      <w:rPr>
        <w:rFonts w:hint="default"/>
        <w:lang w:val="en-US" w:eastAsia="en-US" w:bidi="ar-SA"/>
      </w:rPr>
    </w:lvl>
    <w:lvl w:ilvl="6" w:tplc="5FA8131E">
      <w:numFmt w:val="bullet"/>
      <w:lvlText w:val="•"/>
      <w:lvlJc w:val="left"/>
      <w:pPr>
        <w:ind w:left="6348" w:hanging="541"/>
      </w:pPr>
      <w:rPr>
        <w:rFonts w:hint="default"/>
        <w:lang w:val="en-US" w:eastAsia="en-US" w:bidi="ar-SA"/>
      </w:rPr>
    </w:lvl>
    <w:lvl w:ilvl="7" w:tplc="CD0E3000">
      <w:numFmt w:val="bullet"/>
      <w:lvlText w:val="•"/>
      <w:lvlJc w:val="left"/>
      <w:pPr>
        <w:ind w:left="7296" w:hanging="541"/>
      </w:pPr>
      <w:rPr>
        <w:rFonts w:hint="default"/>
        <w:lang w:val="en-US" w:eastAsia="en-US" w:bidi="ar-SA"/>
      </w:rPr>
    </w:lvl>
    <w:lvl w:ilvl="8" w:tplc="F30834D6">
      <w:numFmt w:val="bullet"/>
      <w:lvlText w:val="•"/>
      <w:lvlJc w:val="left"/>
      <w:pPr>
        <w:ind w:left="8244" w:hanging="541"/>
      </w:pPr>
      <w:rPr>
        <w:rFonts w:hint="default"/>
        <w:lang w:val="en-US" w:eastAsia="en-US" w:bidi="ar-SA"/>
      </w:rPr>
    </w:lvl>
  </w:abstractNum>
  <w:num w:numId="1" w16cid:durableId="149907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A3750"/>
    <w:rsid w:val="008A3750"/>
    <w:rsid w:val="00BE6EF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C62A6E5"/>
  <w15:docId w15:val="{EF953AB4-5303-4886-83FE-13F3D71B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112"/>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line="321" w:lineRule="exact"/>
      <w:ind w:left="2826" w:right="2807"/>
      <w:jc w:val="center"/>
    </w:pPr>
    <w:rPr>
      <w:b/>
      <w:bCs/>
      <w:sz w:val="28"/>
      <w:szCs w:val="28"/>
    </w:rPr>
  </w:style>
  <w:style w:type="paragraph" w:styleId="ListParagraph">
    <w:name w:val="List Paragraph"/>
    <w:basedOn w:val="Normal"/>
    <w:uiPriority w:val="1"/>
    <w:qFormat/>
    <w:pPr>
      <w:spacing w:before="120"/>
      <w:ind w:left="651" w:right="104"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378</Words>
  <Characters>2159</Characters>
  <DocSecurity>0</DocSecurity>
  <Lines>17</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