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22"/>
        </w:rPr>
      </w:pPr>
    </w:p>
    <w:p>
      <w:pPr>
        <w:pStyle w:val="BodyText"/>
        <w:ind w:left="2757" w:right="2714"/>
        <w:jc w:val="center"/>
      </w:pPr>
      <w:r>
        <w:rPr/>
        <w:t>MORTGAGE LOAN ASSUMPTION AGREEMENT (WITHOUT RELEASE OF LIABILITY)</w:t>
      </w:r>
    </w:p>
    <w:p>
      <w:pPr>
        <w:pStyle w:val="BodyText"/>
        <w:rPr>
          <w:sz w:val="23"/>
        </w:rPr>
      </w:pPr>
    </w:p>
    <w:p>
      <w:pPr>
        <w:pStyle w:val="BodyText"/>
        <w:tabs>
          <w:tab w:pos="2802" w:val="left" w:leader="none"/>
        </w:tabs>
        <w:spacing w:before="1"/>
        <w:ind w:left="40"/>
        <w:jc w:val="center"/>
      </w:pPr>
      <w:r>
        <w:rPr/>
        <w:t>BOND</w:t>
      </w:r>
      <w:r>
        <w:rPr>
          <w:spacing w:val="-7"/>
        </w:rPr>
        <w:t> </w:t>
      </w:r>
      <w:r>
        <w:rPr/>
        <w:t>SERIES</w:t>
      </w:r>
      <w:r>
        <w:rPr>
          <w:u w:val="single"/>
        </w:rPr>
        <w:t> </w:t>
        <w:tab/>
      </w:r>
    </w:p>
    <w:p>
      <w:pPr>
        <w:pStyle w:val="BodyText"/>
        <w:spacing w:before="10"/>
        <w:rPr>
          <w:sz w:val="14"/>
        </w:rPr>
      </w:pPr>
    </w:p>
    <w:p>
      <w:pPr>
        <w:pStyle w:val="BodyText"/>
        <w:tabs>
          <w:tab w:pos="2819" w:val="left" w:leader="none"/>
        </w:tabs>
        <w:spacing w:before="100"/>
        <w:ind w:left="41"/>
        <w:jc w:val="center"/>
      </w:pPr>
      <w:r>
        <w:rPr/>
        <w:t>MBOH LOAN</w:t>
      </w:r>
      <w:r>
        <w:rPr>
          <w:spacing w:val="-8"/>
        </w:rPr>
        <w:t> </w:t>
      </w:r>
      <w:r>
        <w:rPr/>
        <w:t>NO.</w:t>
      </w:r>
      <w:r>
        <w:rPr>
          <w:u w:val="single"/>
        </w:rPr>
        <w:t> </w:t>
        <w:tab/>
      </w:r>
    </w:p>
    <w:p>
      <w:pPr>
        <w:pStyle w:val="BodyText"/>
        <w:spacing w:before="9"/>
        <w:rPr>
          <w:sz w:val="14"/>
        </w:rPr>
      </w:pPr>
    </w:p>
    <w:p>
      <w:pPr>
        <w:pStyle w:val="BodyText"/>
        <w:tabs>
          <w:tab w:pos="2731" w:val="left" w:leader="none"/>
        </w:tabs>
        <w:spacing w:before="100"/>
        <w:ind w:left="39"/>
        <w:jc w:val="center"/>
      </w:pPr>
      <w:r>
        <w:rPr/>
        <w:t>SERVICER LOAN</w:t>
      </w:r>
      <w:r>
        <w:rPr>
          <w:spacing w:val="-10"/>
        </w:rPr>
        <w:t> </w:t>
      </w:r>
      <w:r>
        <w:rPr/>
        <w:t>NO.</w:t>
      </w:r>
      <w:r>
        <w:rPr>
          <w:u w:val="single"/>
        </w:rPr>
        <w:t> </w:t>
        <w:tab/>
      </w:r>
    </w:p>
    <w:p>
      <w:pPr>
        <w:pStyle w:val="BodyText"/>
        <w:spacing w:before="10"/>
        <w:rPr>
          <w:sz w:val="14"/>
        </w:rPr>
      </w:pPr>
    </w:p>
    <w:p>
      <w:pPr>
        <w:pStyle w:val="BodyText"/>
        <w:tabs>
          <w:tab w:pos="5738" w:val="left" w:leader="none"/>
        </w:tabs>
        <w:spacing w:line="219" w:lineRule="exact" w:before="100"/>
        <w:ind w:left="120"/>
      </w:pPr>
      <w:r>
        <w:rPr/>
        <w:t>THIS AGREEMENT is</w:t>
      </w:r>
      <w:r>
        <w:rPr>
          <w:spacing w:val="-7"/>
        </w:rPr>
        <w:t> </w:t>
      </w:r>
      <w:r>
        <w:rPr/>
        <w:t>made</w:t>
      </w:r>
      <w:r>
        <w:rPr>
          <w:spacing w:val="-3"/>
        </w:rPr>
        <w:t> </w:t>
      </w:r>
      <w:r>
        <w:rPr/>
        <w:t>on</w:t>
      </w:r>
      <w:r>
        <w:rPr>
          <w:u w:val="single"/>
        </w:rPr>
        <w:t> </w:t>
        <w:tab/>
      </w:r>
      <w:r>
        <w:rPr/>
        <w:t>,</w:t>
      </w:r>
      <w:r>
        <w:rPr>
          <w:spacing w:val="2"/>
        </w:rPr>
        <w:t> </w:t>
      </w:r>
      <w:r>
        <w:rPr/>
        <w:t>between</w:t>
      </w:r>
    </w:p>
    <w:p>
      <w:pPr>
        <w:pStyle w:val="BodyText"/>
        <w:tabs>
          <w:tab w:pos="4244" w:val="left" w:leader="none"/>
        </w:tabs>
        <w:spacing w:line="218" w:lineRule="exact"/>
        <w:ind w:left="120"/>
      </w:pPr>
      <w:r>
        <w:rPr>
          <w:u w:val="single"/>
        </w:rPr>
        <w:t> </w:t>
        <w:tab/>
      </w:r>
      <w:r>
        <w:rPr/>
        <w:t> (hereinafter called the “the</w:t>
      </w:r>
      <w:r>
        <w:rPr>
          <w:spacing w:val="-4"/>
        </w:rPr>
        <w:t> </w:t>
      </w:r>
      <w:r>
        <w:rPr/>
        <w:t>Seller”);</w:t>
      </w:r>
    </w:p>
    <w:p>
      <w:pPr>
        <w:pStyle w:val="BodyText"/>
        <w:tabs>
          <w:tab w:pos="4245" w:val="left" w:leader="none"/>
        </w:tabs>
        <w:spacing w:line="219" w:lineRule="exact"/>
        <w:ind w:left="120"/>
      </w:pPr>
      <w:r>
        <w:rPr>
          <w:u w:val="single"/>
        </w:rPr>
        <w:t> </w:t>
        <w:tab/>
      </w:r>
      <w:r>
        <w:rPr/>
        <w:t> (hereinafter called “the</w:t>
      </w:r>
      <w:r>
        <w:rPr>
          <w:spacing w:val="-4"/>
        </w:rPr>
        <w:t> </w:t>
      </w:r>
      <w:r>
        <w:rPr/>
        <w:t>Borrower”);</w:t>
      </w:r>
    </w:p>
    <w:p>
      <w:pPr>
        <w:pStyle w:val="BodyText"/>
        <w:rPr>
          <w:sz w:val="20"/>
        </w:rPr>
      </w:pPr>
    </w:p>
    <w:p>
      <w:pPr>
        <w:pStyle w:val="BodyText"/>
        <w:rPr>
          <w:sz w:val="16"/>
        </w:rPr>
      </w:pPr>
      <w:r>
        <w:rPr/>
        <w:pict>
          <v:shape style="position:absolute;margin-left:72.000298pt;margin-top:12.006169pt;width:366.4pt;height:.1pt;mso-position-horizontal-relative:page;mso-position-vertical-relative:paragraph;z-index:-15728640;mso-wrap-distance-left:0;mso-wrap-distance-right:0" coordorigin="1440,240" coordsize="7328,0" path="m1440,240l8768,240e" filled="false" stroked="true" strokeweight=".531pt" strokecolor="#000000">
            <v:path arrowok="t"/>
            <v:stroke dashstyle="solid"/>
            <w10:wrap type="topAndBottom"/>
          </v:shape>
        </w:pict>
      </w:r>
    </w:p>
    <w:p>
      <w:pPr>
        <w:pStyle w:val="BodyText"/>
        <w:spacing w:line="200" w:lineRule="exact"/>
        <w:ind w:left="120"/>
      </w:pPr>
      <w:r>
        <w:rPr/>
        <w:t>(hereinafter call “the Mortgage Lender”); and the Montana Board of Housing (hereinafter called “the</w:t>
      </w:r>
    </w:p>
    <w:p>
      <w:pPr>
        <w:pStyle w:val="BodyText"/>
        <w:spacing w:before="1"/>
        <w:ind w:left="120"/>
      </w:pPr>
      <w:r>
        <w:rPr/>
        <w:t>Board”).</w:t>
      </w:r>
    </w:p>
    <w:p>
      <w:pPr>
        <w:pStyle w:val="BodyText"/>
        <w:spacing w:before="11"/>
        <w:rPr>
          <w:sz w:val="22"/>
        </w:rPr>
      </w:pPr>
    </w:p>
    <w:p>
      <w:pPr>
        <w:pStyle w:val="BodyText"/>
        <w:tabs>
          <w:tab w:pos="3273" w:val="left" w:leader="none"/>
          <w:tab w:pos="5007" w:val="left" w:leader="none"/>
        </w:tabs>
        <w:ind w:left="120" w:right="246"/>
      </w:pPr>
      <w:r>
        <w:rPr/>
        <w:t>WHEREAS, the Seller is obligated to the Mortgage Lender pursuant to the terms of a promissory note in the face amount</w:t>
      </w:r>
      <w:r>
        <w:rPr>
          <w:spacing w:val="-7"/>
        </w:rPr>
        <w:t> </w:t>
      </w:r>
      <w:r>
        <w:rPr/>
        <w:t>of</w:t>
      </w:r>
      <w:r>
        <w:rPr>
          <w:spacing w:val="-2"/>
        </w:rPr>
        <w:t> </w:t>
      </w:r>
      <w:r>
        <w:rPr/>
        <w:t>$</w:t>
      </w:r>
      <w:r>
        <w:rPr>
          <w:u w:val="single"/>
        </w:rPr>
        <w:t> </w:t>
        <w:tab/>
      </w:r>
      <w:r>
        <w:rPr/>
        <w:t>,</w:t>
      </w:r>
      <w:r>
        <w:rPr>
          <w:spacing w:val="-1"/>
        </w:rPr>
        <w:t> </w:t>
      </w:r>
      <w:r>
        <w:rPr/>
        <w:t>dated</w:t>
      </w:r>
      <w:r>
        <w:rPr>
          <w:u w:val="single"/>
        </w:rPr>
        <w:t> </w:t>
        <w:tab/>
      </w:r>
      <w:r>
        <w:rPr/>
        <w:t>(hereinafter called “the Note”);</w:t>
      </w:r>
      <w:r>
        <w:rPr>
          <w:spacing w:val="-5"/>
        </w:rPr>
        <w:t> </w:t>
      </w:r>
      <w:r>
        <w:rPr/>
        <w:t>and</w:t>
      </w:r>
    </w:p>
    <w:p>
      <w:pPr>
        <w:pStyle w:val="BodyText"/>
        <w:spacing w:before="1"/>
        <w:rPr>
          <w:sz w:val="23"/>
        </w:rPr>
      </w:pPr>
    </w:p>
    <w:p>
      <w:pPr>
        <w:pStyle w:val="BodyText"/>
        <w:tabs>
          <w:tab w:pos="2055" w:val="left" w:leader="none"/>
          <w:tab w:pos="3290" w:val="left" w:leader="none"/>
          <w:tab w:pos="3994" w:val="left" w:leader="none"/>
          <w:tab w:pos="6678" w:val="left" w:leader="none"/>
          <w:tab w:pos="6875" w:val="left" w:leader="none"/>
          <w:tab w:pos="9328" w:val="left" w:leader="none"/>
        </w:tabs>
        <w:ind w:left="120" w:right="229"/>
      </w:pPr>
      <w:r>
        <w:rPr/>
        <w:t>WHEREAS, the Note is secured by a trust</w:t>
      </w:r>
      <w:r>
        <w:rPr>
          <w:spacing w:val="-23"/>
        </w:rPr>
        <w:t> </w:t>
      </w:r>
      <w:r>
        <w:rPr/>
        <w:t>indenture</w:t>
      </w:r>
      <w:r>
        <w:rPr>
          <w:spacing w:val="-3"/>
        </w:rPr>
        <w:t> </w:t>
      </w:r>
      <w:r>
        <w:rPr/>
        <w:t>dated</w:t>
      </w:r>
      <w:r>
        <w:rPr>
          <w:u w:val="single"/>
        </w:rPr>
        <w:t> </w:t>
        <w:tab/>
      </w:r>
      <w:r>
        <w:rPr/>
        <w:t>,</w:t>
      </w:r>
      <w:r>
        <w:rPr>
          <w:spacing w:val="-3"/>
        </w:rPr>
        <w:t> </w:t>
      </w:r>
      <w:r>
        <w:rPr/>
        <w:t>recorded</w:t>
      </w:r>
      <w:r>
        <w:rPr>
          <w:spacing w:val="-3"/>
        </w:rPr>
        <w:t> </w:t>
      </w:r>
      <w:r>
        <w:rPr/>
        <w:t>on </w:t>
      </w:r>
      <w:r>
        <w:rPr>
          <w:u w:val="single"/>
        </w:rPr>
        <w:t> </w:t>
        <w:tab/>
      </w:r>
      <w:r>
        <w:rPr/>
        <w:t>                       in</w:t>
      </w:r>
      <w:r>
        <w:rPr>
          <w:spacing w:val="-2"/>
        </w:rPr>
        <w:t> </w:t>
      </w:r>
      <w:r>
        <w:rPr/>
        <w:t>Book</w:t>
      </w:r>
      <w:r>
        <w:rPr>
          <w:u w:val="single"/>
        </w:rPr>
        <w:t> </w:t>
        <w:tab/>
      </w:r>
      <w:r>
        <w:rPr/>
        <w:t>,</w:t>
      </w:r>
      <w:r>
        <w:rPr>
          <w:spacing w:val="-1"/>
        </w:rPr>
        <w:t> </w:t>
      </w:r>
      <w:r>
        <w:rPr/>
        <w:t>Page</w:t>
      </w:r>
      <w:r>
        <w:rPr>
          <w:u w:val="single"/>
        </w:rPr>
        <w:t> </w:t>
        <w:tab/>
        <w:tab/>
      </w:r>
      <w:r>
        <w:rPr/>
        <w:t>,</w:t>
      </w:r>
      <w:r>
        <w:rPr>
          <w:spacing w:val="-3"/>
        </w:rPr>
        <w:t> </w:t>
      </w:r>
      <w:r>
        <w:rPr/>
        <w:t>Entry</w:t>
      </w:r>
      <w:r>
        <w:rPr>
          <w:spacing w:val="-2"/>
        </w:rPr>
        <w:t> </w:t>
      </w:r>
      <w:r>
        <w:rPr/>
        <w:t>Number</w:t>
      </w:r>
      <w:r>
        <w:rPr>
          <w:u w:val="single"/>
        </w:rPr>
        <w:t> </w:t>
        <w:tab/>
        <w:tab/>
      </w:r>
      <w:r>
        <w:rPr/>
        <w:t>, in the records of the Recorder</w:t>
      </w:r>
      <w:r>
        <w:rPr>
          <w:spacing w:val="-3"/>
        </w:rPr>
        <w:t> </w:t>
      </w:r>
      <w:r>
        <w:rPr/>
        <w:t>of</w:t>
      </w:r>
      <w:r>
        <w:rPr>
          <w:u w:val="single"/>
        </w:rPr>
        <w:t> </w:t>
        <w:tab/>
        <w:tab/>
      </w:r>
      <w:r>
        <w:rPr/>
        <w:t>County, Montana (hereinafter called “the Trust Indenture”);</w:t>
      </w:r>
      <w:r>
        <w:rPr>
          <w:spacing w:val="-31"/>
        </w:rPr>
        <w:t> </w:t>
      </w:r>
      <w:r>
        <w:rPr/>
        <w:t>and</w:t>
      </w:r>
    </w:p>
    <w:p>
      <w:pPr>
        <w:pStyle w:val="BodyText"/>
        <w:rPr>
          <w:sz w:val="23"/>
        </w:rPr>
      </w:pPr>
    </w:p>
    <w:p>
      <w:pPr>
        <w:pStyle w:val="BodyText"/>
        <w:ind w:left="120"/>
      </w:pPr>
      <w:r>
        <w:rPr/>
        <w:t>WHEREAS, the Trust Indenture creates a lien on the property located at</w:t>
      </w:r>
    </w:p>
    <w:p>
      <w:pPr>
        <w:pStyle w:val="BodyText"/>
        <w:tabs>
          <w:tab w:pos="7333" w:val="left" w:leader="none"/>
        </w:tabs>
        <w:spacing w:before="1"/>
        <w:ind w:left="120" w:right="2159"/>
      </w:pPr>
      <w:r>
        <w:rPr>
          <w:u w:val="single"/>
        </w:rPr>
        <w:t> </w:t>
        <w:tab/>
      </w:r>
      <w:r>
        <w:rPr>
          <w:spacing w:val="-18"/>
        </w:rPr>
        <w:t>, </w:t>
      </w:r>
      <w:r>
        <w:rPr/>
        <w:t>Montana (hereinafter called “the Residence”);</w:t>
      </w:r>
      <w:r>
        <w:rPr>
          <w:spacing w:val="-5"/>
        </w:rPr>
        <w:t> </w:t>
      </w:r>
      <w:r>
        <w:rPr/>
        <w:t>and</w:t>
      </w:r>
    </w:p>
    <w:p>
      <w:pPr>
        <w:pStyle w:val="BodyText"/>
        <w:rPr>
          <w:sz w:val="23"/>
        </w:rPr>
      </w:pPr>
    </w:p>
    <w:p>
      <w:pPr>
        <w:pStyle w:val="BodyText"/>
        <w:spacing w:before="1"/>
        <w:ind w:left="120" w:right="245"/>
      </w:pPr>
      <w:r>
        <w:rPr/>
        <w:t>WHEREAS, The Note and Trust Indenture (hereinafter referred to together as “the Mortgage Loan”) have been sold and assigned to the Board pursuant to its Single Family Mortgage Purchase Program; and</w:t>
      </w:r>
    </w:p>
    <w:p>
      <w:pPr>
        <w:pStyle w:val="BodyText"/>
        <w:rPr>
          <w:sz w:val="23"/>
        </w:rPr>
      </w:pPr>
    </w:p>
    <w:p>
      <w:pPr>
        <w:pStyle w:val="BodyText"/>
        <w:ind w:left="120" w:right="333"/>
      </w:pPr>
      <w:r>
        <w:rPr/>
        <w:t>WHEREAS, The Seller desires to sell and convey the Residence to the Borrower, subject to the Mortgage Loan, and both the Seller and the Borrower have requested that the Mortgage Lender and the Board consent to the sale of the Residence subject to the Mortgage Loan;</w:t>
      </w:r>
    </w:p>
    <w:p>
      <w:pPr>
        <w:pStyle w:val="BodyText"/>
        <w:rPr>
          <w:sz w:val="23"/>
        </w:rPr>
      </w:pPr>
    </w:p>
    <w:p>
      <w:pPr>
        <w:pStyle w:val="BodyText"/>
        <w:ind w:left="120" w:right="198"/>
      </w:pPr>
      <w:r>
        <w:rPr/>
        <w:t>THEREFORE, The Mortgage Lender and the Board hereby consent to the conveyance of the Residence to the Borrower, subject to the Mortgage Loan, and to the assumption of the Mortgage Loan by the Borrower, upon the following conditions:</w:t>
      </w:r>
    </w:p>
    <w:p>
      <w:pPr>
        <w:pStyle w:val="BodyText"/>
        <w:rPr>
          <w:sz w:val="23"/>
        </w:rPr>
      </w:pPr>
    </w:p>
    <w:p>
      <w:pPr>
        <w:pStyle w:val="ListParagraph"/>
        <w:numPr>
          <w:ilvl w:val="0"/>
          <w:numId w:val="1"/>
        </w:numPr>
        <w:tabs>
          <w:tab w:pos="365" w:val="left" w:leader="none"/>
        </w:tabs>
        <w:spacing w:line="240" w:lineRule="auto" w:before="0" w:after="0"/>
        <w:ind w:left="120" w:right="255" w:firstLine="0"/>
        <w:jc w:val="left"/>
        <w:rPr>
          <w:sz w:val="18"/>
        </w:rPr>
      </w:pPr>
      <w:r>
        <w:rPr>
          <w:sz w:val="18"/>
        </w:rPr>
        <w:t>At</w:t>
      </w:r>
      <w:r>
        <w:rPr>
          <w:spacing w:val="-4"/>
          <w:sz w:val="18"/>
        </w:rPr>
        <w:t> </w:t>
      </w:r>
      <w:r>
        <w:rPr>
          <w:sz w:val="18"/>
        </w:rPr>
        <w:t>the</w:t>
      </w:r>
      <w:r>
        <w:rPr>
          <w:spacing w:val="-3"/>
          <w:sz w:val="18"/>
        </w:rPr>
        <w:t> </w:t>
      </w:r>
      <w:r>
        <w:rPr>
          <w:sz w:val="18"/>
        </w:rPr>
        <w:t>time</w:t>
      </w:r>
      <w:r>
        <w:rPr>
          <w:spacing w:val="-3"/>
          <w:sz w:val="18"/>
        </w:rPr>
        <w:t> </w:t>
      </w:r>
      <w:r>
        <w:rPr>
          <w:sz w:val="18"/>
        </w:rPr>
        <w:t>of</w:t>
      </w:r>
      <w:r>
        <w:rPr>
          <w:spacing w:val="-3"/>
          <w:sz w:val="18"/>
        </w:rPr>
        <w:t> </w:t>
      </w:r>
      <w:r>
        <w:rPr>
          <w:sz w:val="18"/>
        </w:rPr>
        <w:t>the</w:t>
      </w:r>
      <w:r>
        <w:rPr>
          <w:spacing w:val="-3"/>
          <w:sz w:val="18"/>
        </w:rPr>
        <w:t> </w:t>
      </w:r>
      <w:r>
        <w:rPr>
          <w:sz w:val="18"/>
        </w:rPr>
        <w:t>conveyance</w:t>
      </w:r>
      <w:r>
        <w:rPr>
          <w:spacing w:val="-4"/>
          <w:sz w:val="18"/>
        </w:rPr>
        <w:t> </w:t>
      </w:r>
      <w:r>
        <w:rPr>
          <w:sz w:val="18"/>
        </w:rPr>
        <w:t>from</w:t>
      </w:r>
      <w:r>
        <w:rPr>
          <w:spacing w:val="-3"/>
          <w:sz w:val="18"/>
        </w:rPr>
        <w:t> </w:t>
      </w:r>
      <w:r>
        <w:rPr>
          <w:sz w:val="18"/>
        </w:rPr>
        <w:t>the</w:t>
      </w:r>
      <w:r>
        <w:rPr>
          <w:spacing w:val="-3"/>
          <w:sz w:val="18"/>
        </w:rPr>
        <w:t> </w:t>
      </w:r>
      <w:r>
        <w:rPr>
          <w:sz w:val="18"/>
        </w:rPr>
        <w:t>Seller</w:t>
      </w:r>
      <w:r>
        <w:rPr>
          <w:spacing w:val="-4"/>
          <w:sz w:val="18"/>
        </w:rPr>
        <w:t> </w:t>
      </w:r>
      <w:r>
        <w:rPr>
          <w:sz w:val="18"/>
        </w:rPr>
        <w:t>to</w:t>
      </w:r>
      <w:r>
        <w:rPr>
          <w:spacing w:val="-5"/>
          <w:sz w:val="18"/>
        </w:rPr>
        <w:t> </w:t>
      </w:r>
      <w:r>
        <w:rPr>
          <w:sz w:val="18"/>
        </w:rPr>
        <w:t>the</w:t>
      </w:r>
      <w:r>
        <w:rPr>
          <w:spacing w:val="-3"/>
          <w:sz w:val="18"/>
        </w:rPr>
        <w:t> </w:t>
      </w:r>
      <w:r>
        <w:rPr>
          <w:sz w:val="18"/>
        </w:rPr>
        <w:t>Borrower,</w:t>
      </w:r>
      <w:r>
        <w:rPr>
          <w:spacing w:val="-3"/>
          <w:sz w:val="18"/>
        </w:rPr>
        <w:t> </w:t>
      </w:r>
      <w:r>
        <w:rPr>
          <w:sz w:val="18"/>
        </w:rPr>
        <w:t>the</w:t>
      </w:r>
      <w:r>
        <w:rPr>
          <w:spacing w:val="-4"/>
          <w:sz w:val="18"/>
        </w:rPr>
        <w:t> </w:t>
      </w:r>
      <w:r>
        <w:rPr>
          <w:sz w:val="18"/>
        </w:rPr>
        <w:t>payment</w:t>
      </w:r>
      <w:r>
        <w:rPr>
          <w:spacing w:val="-3"/>
          <w:sz w:val="18"/>
        </w:rPr>
        <w:t> </w:t>
      </w:r>
      <w:r>
        <w:rPr>
          <w:sz w:val="18"/>
        </w:rPr>
        <w:t>obligations</w:t>
      </w:r>
      <w:r>
        <w:rPr>
          <w:spacing w:val="-5"/>
          <w:sz w:val="18"/>
        </w:rPr>
        <w:t> </w:t>
      </w:r>
      <w:r>
        <w:rPr>
          <w:sz w:val="18"/>
        </w:rPr>
        <w:t>due</w:t>
      </w:r>
      <w:r>
        <w:rPr>
          <w:spacing w:val="-3"/>
          <w:sz w:val="18"/>
        </w:rPr>
        <w:t> </w:t>
      </w:r>
      <w:r>
        <w:rPr>
          <w:sz w:val="18"/>
        </w:rPr>
        <w:t>under the Mortgage Loan shall be current.</w:t>
      </w:r>
    </w:p>
    <w:p>
      <w:pPr>
        <w:pStyle w:val="BodyText"/>
        <w:spacing w:before="1"/>
        <w:rPr>
          <w:sz w:val="23"/>
        </w:rPr>
      </w:pPr>
    </w:p>
    <w:p>
      <w:pPr>
        <w:pStyle w:val="ListParagraph"/>
        <w:numPr>
          <w:ilvl w:val="0"/>
          <w:numId w:val="1"/>
        </w:numPr>
        <w:tabs>
          <w:tab w:pos="364" w:val="left" w:leader="none"/>
          <w:tab w:pos="2120" w:val="left" w:leader="none"/>
          <w:tab w:pos="3392" w:val="left" w:leader="none"/>
          <w:tab w:pos="3903" w:val="left" w:leader="none"/>
          <w:tab w:pos="5257" w:val="left" w:leader="none"/>
        </w:tabs>
        <w:spacing w:line="240" w:lineRule="auto" w:before="0" w:after="0"/>
        <w:ind w:left="120" w:right="117" w:firstLine="0"/>
        <w:jc w:val="left"/>
        <w:rPr>
          <w:sz w:val="18"/>
        </w:rPr>
      </w:pPr>
      <w:r>
        <w:rPr>
          <w:sz w:val="18"/>
        </w:rPr>
        <w:t>The Borrower hereby assumes and agrees to pay the indebtedness evidence by the Mortgage Loan, it being agreed and understood that as of the date of this agreement the balance due on the Mortgage Loan</w:t>
      </w:r>
      <w:r>
        <w:rPr>
          <w:spacing w:val="-2"/>
          <w:sz w:val="18"/>
        </w:rPr>
        <w:t> </w:t>
      </w:r>
      <w:r>
        <w:rPr>
          <w:sz w:val="18"/>
        </w:rPr>
        <w:t>is</w:t>
      </w:r>
      <w:r>
        <w:rPr>
          <w:sz w:val="18"/>
          <w:u w:val="single"/>
        </w:rPr>
        <w:t> </w:t>
        <w:tab/>
        <w:tab/>
      </w:r>
      <w:r>
        <w:rPr>
          <w:sz w:val="18"/>
        </w:rPr>
        <w:t>Dollars</w:t>
      </w:r>
      <w:r>
        <w:rPr>
          <w:spacing w:val="-2"/>
          <w:sz w:val="18"/>
        </w:rPr>
        <w:t> </w:t>
      </w:r>
      <w:r>
        <w:rPr>
          <w:sz w:val="18"/>
        </w:rPr>
        <w:t>($</w:t>
      </w:r>
      <w:r>
        <w:rPr>
          <w:sz w:val="18"/>
          <w:u w:val="single"/>
        </w:rPr>
        <w:t> </w:t>
        <w:tab/>
      </w:r>
      <w:r>
        <w:rPr>
          <w:sz w:val="18"/>
        </w:rPr>
        <w:t>), that the interest rate on the Mortgage Loan shall</w:t>
      </w:r>
      <w:r>
        <w:rPr>
          <w:spacing w:val="-1"/>
          <w:sz w:val="18"/>
        </w:rPr>
        <w:t> </w:t>
      </w:r>
      <w:r>
        <w:rPr>
          <w:sz w:val="18"/>
        </w:rPr>
        <w:t>be</w:t>
      </w:r>
      <w:r>
        <w:rPr>
          <w:sz w:val="18"/>
          <w:u w:val="single"/>
        </w:rPr>
        <w:t> </w:t>
        <w:tab/>
      </w:r>
      <w:r>
        <w:rPr>
          <w:sz w:val="18"/>
        </w:rPr>
        <w:t>% per annum, that the monthly payments due under the Mortgage Loan shall be</w:t>
      </w:r>
      <w:r>
        <w:rPr>
          <w:spacing w:val="-1"/>
          <w:sz w:val="18"/>
        </w:rPr>
        <w:t> </w:t>
      </w:r>
      <w:r>
        <w:rPr>
          <w:sz w:val="18"/>
        </w:rPr>
        <w:t>$</w:t>
      </w:r>
      <w:r>
        <w:rPr>
          <w:sz w:val="18"/>
          <w:u w:val="single"/>
        </w:rPr>
        <w:t> </w:t>
        <w:tab/>
      </w:r>
      <w:r>
        <w:rPr>
          <w:sz w:val="18"/>
        </w:rPr>
        <w:t>, plus applicable taxes and insurance, and that the next payment due under the Mortgage Loan is</w:t>
      </w:r>
      <w:r>
        <w:rPr>
          <w:spacing w:val="-5"/>
          <w:sz w:val="18"/>
        </w:rPr>
        <w:t> </w:t>
      </w:r>
      <w:r>
        <w:rPr>
          <w:sz w:val="18"/>
        </w:rPr>
        <w:t>due</w:t>
      </w:r>
      <w:r>
        <w:rPr>
          <w:spacing w:val="-2"/>
          <w:sz w:val="18"/>
        </w:rPr>
        <w:t> </w:t>
      </w:r>
      <w:r>
        <w:rPr>
          <w:sz w:val="18"/>
        </w:rPr>
        <w:t>on</w:t>
      </w:r>
      <w:r>
        <w:rPr>
          <w:sz w:val="18"/>
          <w:u w:val="single"/>
        </w:rPr>
        <w:t> </w:t>
        <w:tab/>
        <w:tab/>
      </w:r>
      <w:r>
        <w:rPr>
          <w:sz w:val="18"/>
        </w:rPr>
        <w:t>.</w:t>
      </w:r>
    </w:p>
    <w:p>
      <w:pPr>
        <w:spacing w:after="0" w:line="240" w:lineRule="auto"/>
        <w:jc w:val="left"/>
        <w:rPr>
          <w:sz w:val="18"/>
        </w:rPr>
        <w:sectPr>
          <w:type w:val="continuous"/>
          <w:pgSz w:w="12240" w:h="15840"/>
          <w:pgMar w:top="1500" w:bottom="280" w:left="1320" w:right="1360"/>
        </w:sectPr>
      </w:pPr>
    </w:p>
    <w:p>
      <w:pPr>
        <w:pStyle w:val="BodyText"/>
        <w:rPr>
          <w:sz w:val="20"/>
        </w:rPr>
      </w:pPr>
    </w:p>
    <w:p>
      <w:pPr>
        <w:pStyle w:val="BodyText"/>
        <w:rPr>
          <w:sz w:val="20"/>
        </w:rPr>
      </w:pPr>
    </w:p>
    <w:p>
      <w:pPr>
        <w:pStyle w:val="BodyText"/>
        <w:spacing w:before="9"/>
        <w:rPr>
          <w:sz w:val="29"/>
        </w:rPr>
      </w:pPr>
    </w:p>
    <w:p>
      <w:pPr>
        <w:pStyle w:val="ListParagraph"/>
        <w:numPr>
          <w:ilvl w:val="0"/>
          <w:numId w:val="1"/>
        </w:numPr>
        <w:tabs>
          <w:tab w:pos="364" w:val="left" w:leader="none"/>
        </w:tabs>
        <w:spacing w:line="240" w:lineRule="auto" w:before="100" w:after="0"/>
        <w:ind w:left="120" w:right="183" w:firstLine="0"/>
        <w:jc w:val="left"/>
        <w:rPr>
          <w:sz w:val="18"/>
        </w:rPr>
      </w:pPr>
      <w:r>
        <w:rPr>
          <w:sz w:val="18"/>
        </w:rPr>
        <w:t>The borrower agrees to assume, be liable for, and be bound by all of the obligations and covenants in the Mortgage Loan, including the Montana Board of Housing Uniform Rider to Trust Indenture appended to all standard form mortgages executed on FHA, VA, or RD forms, which provides among other things that the Lender or its assignee may, at any time and without prior notice, accelerate all payments due under the Trust Indenture and Note and exercise any other remedy allowed by law for breach of the Mortgage or Note if, without the prior written consent of the Lender or its</w:t>
      </w:r>
      <w:r>
        <w:rPr>
          <w:spacing w:val="-36"/>
          <w:sz w:val="18"/>
        </w:rPr>
        <w:t> </w:t>
      </w:r>
      <w:r>
        <w:rPr>
          <w:sz w:val="18"/>
        </w:rPr>
        <w:t>assignee:</w:t>
      </w:r>
    </w:p>
    <w:p>
      <w:pPr>
        <w:pStyle w:val="BodyText"/>
        <w:rPr>
          <w:sz w:val="23"/>
        </w:rPr>
      </w:pPr>
    </w:p>
    <w:p>
      <w:pPr>
        <w:pStyle w:val="ListParagraph"/>
        <w:numPr>
          <w:ilvl w:val="1"/>
          <w:numId w:val="1"/>
        </w:numPr>
        <w:tabs>
          <w:tab w:pos="1094" w:val="left" w:leader="none"/>
        </w:tabs>
        <w:spacing w:line="240" w:lineRule="auto" w:before="1" w:after="0"/>
        <w:ind w:left="840" w:right="183" w:firstLine="0"/>
        <w:jc w:val="left"/>
        <w:rPr>
          <w:sz w:val="18"/>
        </w:rPr>
      </w:pPr>
      <w:r>
        <w:rPr>
          <w:sz w:val="18"/>
        </w:rPr>
        <w:t>The Borrower sells, rents, otherwise transfers any interest in the property by deed of trust, conditional sales contract, pledges, agreements to hold title in escrow and any other form of owner financing or fails to occupy the Residence as his or her permanent and principal residence;</w:t>
      </w:r>
      <w:r>
        <w:rPr>
          <w:spacing w:val="-1"/>
          <w:sz w:val="18"/>
        </w:rPr>
        <w:t> </w:t>
      </w:r>
      <w:r>
        <w:rPr>
          <w:sz w:val="18"/>
        </w:rPr>
        <w:t>or</w:t>
      </w:r>
    </w:p>
    <w:p>
      <w:pPr>
        <w:pStyle w:val="BodyText"/>
        <w:rPr>
          <w:sz w:val="23"/>
        </w:rPr>
      </w:pPr>
    </w:p>
    <w:p>
      <w:pPr>
        <w:pStyle w:val="ListParagraph"/>
        <w:numPr>
          <w:ilvl w:val="1"/>
          <w:numId w:val="1"/>
        </w:numPr>
        <w:tabs>
          <w:tab w:pos="1098" w:val="left" w:leader="none"/>
        </w:tabs>
        <w:spacing w:line="240" w:lineRule="auto" w:before="1" w:after="0"/>
        <w:ind w:left="840" w:right="730" w:firstLine="0"/>
        <w:jc w:val="left"/>
        <w:rPr>
          <w:sz w:val="18"/>
        </w:rPr>
      </w:pPr>
      <w:r>
        <w:rPr>
          <w:sz w:val="18"/>
        </w:rPr>
        <w:t>The Borrower fails to abide by the agreement contained in the Affidavit of Borrower’s Eligibility, or if the Mortgage Lender or the Board finds any statement contained in the Affidavit of Borrower’s Eligibility to be</w:t>
      </w:r>
      <w:r>
        <w:rPr>
          <w:spacing w:val="-3"/>
          <w:sz w:val="18"/>
        </w:rPr>
        <w:t> </w:t>
      </w:r>
      <w:r>
        <w:rPr>
          <w:sz w:val="18"/>
        </w:rPr>
        <w:t>untrue.</w:t>
      </w:r>
    </w:p>
    <w:p>
      <w:pPr>
        <w:pStyle w:val="BodyText"/>
        <w:rPr>
          <w:sz w:val="23"/>
        </w:rPr>
      </w:pPr>
    </w:p>
    <w:p>
      <w:pPr>
        <w:pStyle w:val="ListParagraph"/>
        <w:numPr>
          <w:ilvl w:val="1"/>
          <w:numId w:val="1"/>
        </w:numPr>
        <w:tabs>
          <w:tab w:pos="1079" w:val="left" w:leader="none"/>
        </w:tabs>
        <w:spacing w:line="240" w:lineRule="auto" w:before="0" w:after="0"/>
        <w:ind w:left="840" w:right="298" w:firstLine="0"/>
        <w:jc w:val="left"/>
        <w:rPr>
          <w:sz w:val="18"/>
        </w:rPr>
      </w:pPr>
      <w:r>
        <w:rPr>
          <w:sz w:val="18"/>
        </w:rPr>
        <w:t>The Board, at any time, in its sole discretion, determines that the requirements of</w:t>
      </w:r>
      <w:r>
        <w:rPr>
          <w:spacing w:val="-40"/>
          <w:sz w:val="18"/>
        </w:rPr>
        <w:t> </w:t>
      </w:r>
      <w:r>
        <w:rPr>
          <w:sz w:val="18"/>
        </w:rPr>
        <w:t>Section 143 of the Internal Revenue Code of 1986, with respect to Mortgage Loans, have not been complied with, whether or not the Borrower is responsible for such</w:t>
      </w:r>
      <w:r>
        <w:rPr>
          <w:spacing w:val="-24"/>
          <w:sz w:val="18"/>
        </w:rPr>
        <w:t> </w:t>
      </w:r>
      <w:r>
        <w:rPr>
          <w:sz w:val="18"/>
        </w:rPr>
        <w:t>noncompliance.</w:t>
      </w:r>
    </w:p>
    <w:p>
      <w:pPr>
        <w:pStyle w:val="BodyText"/>
        <w:rPr>
          <w:sz w:val="23"/>
        </w:rPr>
      </w:pPr>
    </w:p>
    <w:p>
      <w:pPr>
        <w:pStyle w:val="ListParagraph"/>
        <w:numPr>
          <w:ilvl w:val="0"/>
          <w:numId w:val="1"/>
        </w:numPr>
        <w:tabs>
          <w:tab w:pos="364" w:val="left" w:leader="none"/>
        </w:tabs>
        <w:spacing w:line="240" w:lineRule="auto" w:before="0" w:after="0"/>
        <w:ind w:left="119" w:right="226" w:firstLine="0"/>
        <w:jc w:val="left"/>
        <w:rPr>
          <w:sz w:val="18"/>
        </w:rPr>
      </w:pPr>
      <w:r>
        <w:rPr>
          <w:sz w:val="18"/>
        </w:rPr>
        <w:t>Consent of the Board and the Mortgage Lender to the Assumption by the Borrower of the obligations of the Mortgage Loan shall in no way constitute a release of any of the Seller’s obligations under the Mortgage Loan.</w:t>
      </w:r>
    </w:p>
    <w:p>
      <w:pPr>
        <w:pStyle w:val="BodyText"/>
        <w:rPr>
          <w:sz w:val="23"/>
        </w:rPr>
      </w:pPr>
    </w:p>
    <w:p>
      <w:pPr>
        <w:pStyle w:val="ListParagraph"/>
        <w:numPr>
          <w:ilvl w:val="0"/>
          <w:numId w:val="1"/>
        </w:numPr>
        <w:tabs>
          <w:tab w:pos="365" w:val="left" w:leader="none"/>
        </w:tabs>
        <w:spacing w:line="240" w:lineRule="auto" w:before="0" w:after="0"/>
        <w:ind w:left="120" w:right="609" w:firstLine="0"/>
        <w:jc w:val="left"/>
        <w:rPr>
          <w:sz w:val="18"/>
        </w:rPr>
      </w:pPr>
      <w:r>
        <w:rPr>
          <w:sz w:val="18"/>
        </w:rPr>
        <w:t>The Seller hereby agrees that the Mortgage Lender and Board may authorize the further conveyance</w:t>
      </w:r>
      <w:r>
        <w:rPr>
          <w:spacing w:val="-5"/>
          <w:sz w:val="18"/>
        </w:rPr>
        <w:t> </w:t>
      </w:r>
      <w:r>
        <w:rPr>
          <w:sz w:val="18"/>
        </w:rPr>
        <w:t>of</w:t>
      </w:r>
      <w:r>
        <w:rPr>
          <w:spacing w:val="-4"/>
          <w:sz w:val="18"/>
        </w:rPr>
        <w:t> </w:t>
      </w:r>
      <w:r>
        <w:rPr>
          <w:sz w:val="18"/>
        </w:rPr>
        <w:t>the</w:t>
      </w:r>
      <w:r>
        <w:rPr>
          <w:spacing w:val="-4"/>
          <w:sz w:val="18"/>
        </w:rPr>
        <w:t> </w:t>
      </w:r>
      <w:r>
        <w:rPr>
          <w:sz w:val="18"/>
        </w:rPr>
        <w:t>Residence,</w:t>
      </w:r>
      <w:r>
        <w:rPr>
          <w:spacing w:val="-3"/>
          <w:sz w:val="18"/>
        </w:rPr>
        <w:t> </w:t>
      </w:r>
      <w:r>
        <w:rPr>
          <w:sz w:val="18"/>
        </w:rPr>
        <w:t>subject</w:t>
      </w:r>
      <w:r>
        <w:rPr>
          <w:spacing w:val="-4"/>
          <w:sz w:val="18"/>
        </w:rPr>
        <w:t> </w:t>
      </w:r>
      <w:r>
        <w:rPr>
          <w:sz w:val="18"/>
        </w:rPr>
        <w:t>to</w:t>
      </w:r>
      <w:r>
        <w:rPr>
          <w:spacing w:val="-5"/>
          <w:sz w:val="18"/>
        </w:rPr>
        <w:t> </w:t>
      </w:r>
      <w:r>
        <w:rPr>
          <w:sz w:val="18"/>
        </w:rPr>
        <w:t>the</w:t>
      </w:r>
      <w:r>
        <w:rPr>
          <w:spacing w:val="-4"/>
          <w:sz w:val="18"/>
        </w:rPr>
        <w:t> </w:t>
      </w:r>
      <w:r>
        <w:rPr>
          <w:sz w:val="18"/>
        </w:rPr>
        <w:t>Mortgage</w:t>
      </w:r>
      <w:r>
        <w:rPr>
          <w:spacing w:val="-4"/>
          <w:sz w:val="18"/>
        </w:rPr>
        <w:t> </w:t>
      </w:r>
      <w:r>
        <w:rPr>
          <w:sz w:val="18"/>
        </w:rPr>
        <w:t>Loan,</w:t>
      </w:r>
      <w:r>
        <w:rPr>
          <w:spacing w:val="-4"/>
          <w:sz w:val="18"/>
        </w:rPr>
        <w:t> </w:t>
      </w:r>
      <w:r>
        <w:rPr>
          <w:sz w:val="18"/>
        </w:rPr>
        <w:t>without</w:t>
      </w:r>
      <w:r>
        <w:rPr>
          <w:spacing w:val="-4"/>
          <w:sz w:val="18"/>
        </w:rPr>
        <w:t> </w:t>
      </w:r>
      <w:r>
        <w:rPr>
          <w:sz w:val="18"/>
        </w:rPr>
        <w:t>obtaining</w:t>
      </w:r>
      <w:r>
        <w:rPr>
          <w:spacing w:val="-6"/>
          <w:sz w:val="18"/>
        </w:rPr>
        <w:t> </w:t>
      </w:r>
      <w:r>
        <w:rPr>
          <w:sz w:val="18"/>
        </w:rPr>
        <w:t>the</w:t>
      </w:r>
      <w:r>
        <w:rPr>
          <w:spacing w:val="-4"/>
          <w:sz w:val="18"/>
        </w:rPr>
        <w:t> </w:t>
      </w:r>
      <w:r>
        <w:rPr>
          <w:sz w:val="18"/>
        </w:rPr>
        <w:t>consent</w:t>
      </w:r>
      <w:r>
        <w:rPr>
          <w:spacing w:val="-5"/>
          <w:sz w:val="18"/>
        </w:rPr>
        <w:t> </w:t>
      </w:r>
      <w:r>
        <w:rPr>
          <w:sz w:val="18"/>
        </w:rPr>
        <w:t>of</w:t>
      </w:r>
      <w:r>
        <w:rPr>
          <w:spacing w:val="-4"/>
          <w:sz w:val="18"/>
        </w:rPr>
        <w:t> </w:t>
      </w:r>
      <w:r>
        <w:rPr>
          <w:sz w:val="18"/>
        </w:rPr>
        <w:t>the Seller.</w:t>
      </w:r>
    </w:p>
    <w:p>
      <w:pPr>
        <w:pStyle w:val="BodyText"/>
        <w:spacing w:before="1"/>
        <w:rPr>
          <w:sz w:val="23"/>
        </w:rPr>
      </w:pPr>
    </w:p>
    <w:p>
      <w:pPr>
        <w:pStyle w:val="ListParagraph"/>
        <w:numPr>
          <w:ilvl w:val="0"/>
          <w:numId w:val="1"/>
        </w:numPr>
        <w:tabs>
          <w:tab w:pos="364" w:val="left" w:leader="none"/>
        </w:tabs>
        <w:spacing w:line="240" w:lineRule="auto" w:before="1" w:after="0"/>
        <w:ind w:left="120" w:right="108" w:firstLine="0"/>
        <w:jc w:val="left"/>
        <w:rPr>
          <w:sz w:val="18"/>
        </w:rPr>
      </w:pPr>
      <w:r>
        <w:rPr>
          <w:sz w:val="18"/>
        </w:rPr>
        <w:t>Nothing contained in or done pursuant to this Assumption Agreement shall affect or be construed to affect the lien, charge or encumbrance of the Mortgage Loan on the Residence or its priority over other liens, charges or</w:t>
      </w:r>
      <w:r>
        <w:rPr>
          <w:spacing w:val="-2"/>
          <w:sz w:val="18"/>
        </w:rPr>
        <w:t> </w:t>
      </w:r>
      <w:r>
        <w:rPr>
          <w:sz w:val="18"/>
        </w:rPr>
        <w:t>encumbrances.</w:t>
      </w:r>
    </w:p>
    <w:p>
      <w:pPr>
        <w:pStyle w:val="BodyText"/>
        <w:rPr>
          <w:sz w:val="23"/>
        </w:rPr>
      </w:pPr>
    </w:p>
    <w:p>
      <w:pPr>
        <w:pStyle w:val="BodyText"/>
        <w:tabs>
          <w:tab w:pos="8031" w:val="left" w:leader="none"/>
        </w:tabs>
        <w:ind w:left="120"/>
      </w:pPr>
      <w:r>
        <w:rPr/>
        <w:t>IN WITNESS WHEREOF the parties have executed this</w:t>
      </w:r>
      <w:r>
        <w:rPr>
          <w:spacing w:val="-29"/>
        </w:rPr>
        <w:t> </w:t>
      </w:r>
      <w:r>
        <w:rPr/>
        <w:t>agreement</w:t>
      </w:r>
      <w:r>
        <w:rPr>
          <w:spacing w:val="-4"/>
        </w:rPr>
        <w:t> </w:t>
      </w:r>
      <w:r>
        <w:rPr/>
        <w:t>on</w:t>
      </w:r>
      <w:r>
        <w:rPr>
          <w:u w:val="single"/>
        </w:rPr>
        <w:t> </w:t>
        <w:tab/>
      </w:r>
      <w:r>
        <w:rPr/>
        <w:t>.</w:t>
      </w:r>
    </w:p>
    <w:p>
      <w:pPr>
        <w:pStyle w:val="BodyText"/>
        <w:rPr>
          <w:sz w:val="20"/>
        </w:rPr>
      </w:pPr>
    </w:p>
    <w:p>
      <w:pPr>
        <w:pStyle w:val="BodyText"/>
        <w:spacing w:before="11"/>
        <w:rPr>
          <w:sz w:val="15"/>
        </w:rPr>
      </w:pPr>
      <w:r>
        <w:rPr/>
        <w:pict>
          <v:shape style="position:absolute;margin-left:72pt;margin-top:11.917907pt;width:335.2pt;height:.1pt;mso-position-horizontal-relative:page;mso-position-vertical-relative:paragraph;z-index:-15728128;mso-wrap-distance-left:0;mso-wrap-distance-right:0" coordorigin="1440,238" coordsize="6704,0" path="m1440,238l4759,238m4823,238l8144,238e" filled="false" stroked="true" strokeweight=".531pt" strokecolor="#000000">
            <v:path arrowok="t"/>
            <v:stroke dashstyle="solid"/>
            <w10:wrap type="topAndBottom"/>
          </v:shape>
        </w:pict>
      </w:r>
    </w:p>
    <w:p>
      <w:pPr>
        <w:pStyle w:val="BodyText"/>
        <w:rPr>
          <w:sz w:val="20"/>
        </w:rPr>
      </w:pPr>
    </w:p>
    <w:p>
      <w:pPr>
        <w:pStyle w:val="BodyText"/>
        <w:spacing w:before="5"/>
        <w:rPr>
          <w:sz w:val="14"/>
        </w:rPr>
      </w:pPr>
      <w:r>
        <w:rPr/>
        <w:pict>
          <v:shape style="position:absolute;margin-left:72pt;margin-top:11.056381pt;width:335.2pt;height:.1pt;mso-position-horizontal-relative:page;mso-position-vertical-relative:paragraph;z-index:-15727616;mso-wrap-distance-left:0;mso-wrap-distance-right:0" coordorigin="1440,221" coordsize="6704,0" path="m1440,221l4759,221m4823,221l8144,221e" filled="false" stroked="true" strokeweight=".531pt" strokecolor="#000000">
            <v:path arrowok="t"/>
            <v:stroke dashstyle="solid"/>
            <w10:wrap type="topAndBottom"/>
          </v:shape>
        </w:pict>
      </w:r>
    </w:p>
    <w:p>
      <w:pPr>
        <w:pStyle w:val="BodyText"/>
        <w:rPr>
          <w:sz w:val="20"/>
        </w:rPr>
      </w:pPr>
    </w:p>
    <w:p>
      <w:pPr>
        <w:pStyle w:val="BodyText"/>
        <w:spacing w:before="5"/>
        <w:rPr>
          <w:sz w:val="14"/>
        </w:rPr>
      </w:pPr>
      <w:r>
        <w:rPr/>
        <w:pict>
          <v:shape style="position:absolute;margin-left:72pt;margin-top:11.056366pt;width:335.2pt;height:.1pt;mso-position-horizontal-relative:page;mso-position-vertical-relative:paragraph;z-index:-15727104;mso-wrap-distance-left:0;mso-wrap-distance-right:0" coordorigin="1440,221" coordsize="6704,0" path="m1440,221l4759,221m4823,221l8144,221e" filled="false" stroked="true" strokeweight=".531pt" strokecolor="#000000">
            <v:path arrowok="t"/>
            <v:stroke dashstyle="solid"/>
            <w10:wrap type="topAndBottom"/>
          </v:shape>
        </w:pict>
      </w:r>
    </w:p>
    <w:p>
      <w:pPr>
        <w:pStyle w:val="BodyText"/>
        <w:spacing w:before="2"/>
        <w:rPr>
          <w:sz w:val="13"/>
        </w:rPr>
      </w:pPr>
    </w:p>
    <w:p>
      <w:pPr>
        <w:pStyle w:val="BodyText"/>
        <w:tabs>
          <w:tab w:pos="3612" w:val="left" w:leader="none"/>
        </w:tabs>
        <w:spacing w:before="101"/>
        <w:ind w:left="120"/>
      </w:pPr>
      <w:r>
        <w:rPr/>
        <w:t>Seller</w:t>
        <w:tab/>
        <w:t>Borrower</w:t>
      </w:r>
    </w:p>
    <w:p>
      <w:pPr>
        <w:pStyle w:val="BodyText"/>
        <w:rPr>
          <w:sz w:val="20"/>
        </w:rPr>
      </w:pPr>
    </w:p>
    <w:p>
      <w:pPr>
        <w:pStyle w:val="BodyText"/>
        <w:spacing w:before="12"/>
        <w:rPr>
          <w:sz w:val="15"/>
        </w:rPr>
      </w:pPr>
      <w:r>
        <w:rPr/>
        <w:pict>
          <v:shape style="position:absolute;margin-left:72pt;margin-top:11.969034pt;width:166pt;height:.1pt;mso-position-horizontal-relative:page;mso-position-vertical-relative:paragraph;z-index:-15726592;mso-wrap-distance-left:0;mso-wrap-distance-right:0" coordorigin="1440,239" coordsize="3320,0" path="m1440,239l4759,239e" filled="false" stroked="true" strokeweight=".531pt" strokecolor="#000000">
            <v:path arrowok="t"/>
            <v:stroke dashstyle="solid"/>
            <w10:wrap type="topAndBottom"/>
          </v:shape>
        </w:pict>
      </w:r>
    </w:p>
    <w:p>
      <w:pPr>
        <w:pStyle w:val="BodyText"/>
        <w:spacing w:before="4"/>
        <w:rPr>
          <w:sz w:val="13"/>
        </w:rPr>
      </w:pPr>
    </w:p>
    <w:p>
      <w:pPr>
        <w:pStyle w:val="BodyText"/>
        <w:tabs>
          <w:tab w:pos="3802" w:val="left" w:leader="none"/>
        </w:tabs>
        <w:spacing w:before="100"/>
        <w:ind w:left="120"/>
      </w:pPr>
      <w:r>
        <w:rPr/>
        <w:t>Mortgage</w:t>
      </w:r>
      <w:r>
        <w:rPr>
          <w:spacing w:val="-1"/>
        </w:rPr>
        <w:t> </w:t>
      </w:r>
      <w:r>
        <w:rPr/>
        <w:t>Lender</w:t>
        <w:tab/>
        <w:t>MONTANA BOARD OF</w:t>
      </w:r>
      <w:r>
        <w:rPr>
          <w:spacing w:val="-1"/>
        </w:rPr>
        <w:t> </w:t>
      </w:r>
      <w:r>
        <w:rPr/>
        <w:t>HOUSING</w:t>
      </w:r>
    </w:p>
    <w:p>
      <w:pPr>
        <w:pStyle w:val="BodyText"/>
        <w:spacing w:before="11"/>
        <w:rPr>
          <w:sz w:val="22"/>
        </w:rPr>
      </w:pPr>
    </w:p>
    <w:p>
      <w:pPr>
        <w:pStyle w:val="BodyText"/>
        <w:tabs>
          <w:tab w:pos="3406" w:val="left" w:leader="none"/>
          <w:tab w:pos="3779" w:val="left" w:leader="none"/>
          <w:tab w:pos="6756" w:val="left" w:leader="none"/>
        </w:tabs>
        <w:spacing w:before="1"/>
        <w:ind w:left="437" w:right="2801" w:hanging="318"/>
      </w:pPr>
      <w:r>
        <w:rPr/>
        <w:t>By:</w:t>
      </w:r>
      <w:r>
        <w:rPr>
          <w:u w:val="single"/>
        </w:rPr>
        <w:tab/>
        <w:tab/>
      </w:r>
      <w:r>
        <w:rPr/>
        <w:t>By:</w:t>
      </w:r>
      <w:r>
        <w:rPr>
          <w:w w:val="99"/>
          <w:u w:val="single"/>
        </w:rPr>
        <w:t> </w:t>
        <w:tab/>
      </w:r>
      <w:r>
        <w:rPr>
          <w:w w:val="99"/>
        </w:rPr>
        <w:t> </w:t>
      </w:r>
      <w:r>
        <w:rPr/>
        <w:t>Authorized</w:t>
      </w:r>
      <w:r>
        <w:rPr>
          <w:spacing w:val="-1"/>
        </w:rPr>
        <w:t> </w:t>
      </w:r>
      <w:r>
        <w:rPr/>
        <w:t>Officer</w:t>
        <w:tab/>
        <w:tab/>
        <w:t>Authorized Officer</w:t>
      </w:r>
    </w:p>
    <w:p>
      <w:pPr>
        <w:pStyle w:val="BodyText"/>
        <w:rPr>
          <w:sz w:val="23"/>
        </w:rPr>
      </w:pPr>
    </w:p>
    <w:p>
      <w:pPr>
        <w:pStyle w:val="BodyText"/>
        <w:ind w:left="120"/>
      </w:pPr>
      <w:r>
        <w:rPr/>
        <w:t>This agreement is not valid unless signed by all parties.</w:t>
      </w:r>
    </w:p>
    <w:p>
      <w:pPr>
        <w:spacing w:after="0"/>
        <w:sectPr>
          <w:pgSz w:w="12240" w:h="15840"/>
          <w:pgMar w:top="1500" w:bottom="280" w:left="1320" w:right="1360"/>
        </w:sectPr>
      </w:pPr>
    </w:p>
    <w:p>
      <w:pPr>
        <w:pStyle w:val="BodyText"/>
        <w:spacing w:before="5"/>
        <w:rPr>
          <w:sz w:val="16"/>
        </w:rPr>
      </w:pPr>
    </w:p>
    <w:sectPr>
      <w:pgSz w:w="12240" w:h="15840"/>
      <w:pgMar w:top="1500" w:bottom="280" w:left="132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0" w:hanging="245"/>
        <w:jc w:val="left"/>
      </w:pPr>
      <w:rPr>
        <w:rFonts w:hint="default" w:ascii="Verdana" w:hAnsi="Verdana" w:eastAsia="Verdana" w:cs="Verdana"/>
        <w:spacing w:val="-1"/>
        <w:w w:val="100"/>
        <w:sz w:val="18"/>
        <w:szCs w:val="18"/>
        <w:lang w:val="en-us" w:eastAsia="en-US" w:bidi="ar-SA"/>
      </w:rPr>
    </w:lvl>
    <w:lvl w:ilvl="1">
      <w:start w:val="1"/>
      <w:numFmt w:val="lowerLetter"/>
      <w:lvlText w:val="%2)"/>
      <w:lvlJc w:val="left"/>
      <w:pPr>
        <w:ind w:left="840" w:hanging="254"/>
        <w:jc w:val="left"/>
      </w:pPr>
      <w:rPr>
        <w:rFonts w:hint="default" w:ascii="Verdana" w:hAnsi="Verdana" w:eastAsia="Verdana" w:cs="Verdana"/>
        <w:w w:val="99"/>
        <w:sz w:val="18"/>
        <w:szCs w:val="18"/>
        <w:lang w:val="en-us" w:eastAsia="en-US" w:bidi="ar-SA"/>
      </w:rPr>
    </w:lvl>
    <w:lvl w:ilvl="2">
      <w:start w:val="0"/>
      <w:numFmt w:val="bullet"/>
      <w:lvlText w:val="•"/>
      <w:lvlJc w:val="left"/>
      <w:pPr>
        <w:ind w:left="1808" w:hanging="254"/>
      </w:pPr>
      <w:rPr>
        <w:rFonts w:hint="default"/>
        <w:lang w:val="en-us" w:eastAsia="en-US" w:bidi="ar-SA"/>
      </w:rPr>
    </w:lvl>
    <w:lvl w:ilvl="3">
      <w:start w:val="0"/>
      <w:numFmt w:val="bullet"/>
      <w:lvlText w:val="•"/>
      <w:lvlJc w:val="left"/>
      <w:pPr>
        <w:ind w:left="2777" w:hanging="254"/>
      </w:pPr>
      <w:rPr>
        <w:rFonts w:hint="default"/>
        <w:lang w:val="en-us" w:eastAsia="en-US" w:bidi="ar-SA"/>
      </w:rPr>
    </w:lvl>
    <w:lvl w:ilvl="4">
      <w:start w:val="0"/>
      <w:numFmt w:val="bullet"/>
      <w:lvlText w:val="•"/>
      <w:lvlJc w:val="left"/>
      <w:pPr>
        <w:ind w:left="3746" w:hanging="254"/>
      </w:pPr>
      <w:rPr>
        <w:rFonts w:hint="default"/>
        <w:lang w:val="en-us" w:eastAsia="en-US" w:bidi="ar-SA"/>
      </w:rPr>
    </w:lvl>
    <w:lvl w:ilvl="5">
      <w:start w:val="0"/>
      <w:numFmt w:val="bullet"/>
      <w:lvlText w:val="•"/>
      <w:lvlJc w:val="left"/>
      <w:pPr>
        <w:ind w:left="4715" w:hanging="254"/>
      </w:pPr>
      <w:rPr>
        <w:rFonts w:hint="default"/>
        <w:lang w:val="en-us" w:eastAsia="en-US" w:bidi="ar-SA"/>
      </w:rPr>
    </w:lvl>
    <w:lvl w:ilvl="6">
      <w:start w:val="0"/>
      <w:numFmt w:val="bullet"/>
      <w:lvlText w:val="•"/>
      <w:lvlJc w:val="left"/>
      <w:pPr>
        <w:ind w:left="5684" w:hanging="254"/>
      </w:pPr>
      <w:rPr>
        <w:rFonts w:hint="default"/>
        <w:lang w:val="en-us" w:eastAsia="en-US" w:bidi="ar-SA"/>
      </w:rPr>
    </w:lvl>
    <w:lvl w:ilvl="7">
      <w:start w:val="0"/>
      <w:numFmt w:val="bullet"/>
      <w:lvlText w:val="•"/>
      <w:lvlJc w:val="left"/>
      <w:pPr>
        <w:ind w:left="6653" w:hanging="254"/>
      </w:pPr>
      <w:rPr>
        <w:rFonts w:hint="default"/>
        <w:lang w:val="en-us" w:eastAsia="en-US" w:bidi="ar-SA"/>
      </w:rPr>
    </w:lvl>
    <w:lvl w:ilvl="8">
      <w:start w:val="0"/>
      <w:numFmt w:val="bullet"/>
      <w:lvlText w:val="•"/>
      <w:lvlJc w:val="left"/>
      <w:pPr>
        <w:ind w:left="7622" w:hanging="25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18"/>
      <w:szCs w:val="18"/>
      <w:lang w:val="en-us" w:eastAsia="en-US" w:bidi="ar-SA"/>
    </w:rPr>
  </w:style>
  <w:style w:styleId="ListParagraph" w:type="paragraph">
    <w:name w:val="List Paragraph"/>
    <w:basedOn w:val="Normal"/>
    <w:uiPriority w:val="1"/>
    <w:qFormat/>
    <w:pPr>
      <w:ind w:left="120" w:right="183"/>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