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323232"/>
        </w:rPr>
        <w:t>Household Goods Moving Services Contract</w:t>
      </w:r>
    </w:p>
    <w:p>
      <w:pPr>
        <w:pStyle w:val="BodyText"/>
        <w:spacing w:before="0"/>
        <w:ind w:left="0"/>
        <w:rPr>
          <w:b/>
          <w:sz w:val="26"/>
        </w:rPr>
      </w:pPr>
    </w:p>
    <w:p>
      <w:pPr>
        <w:pStyle w:val="BodyText"/>
        <w:spacing w:before="0"/>
        <w:ind w:left="0"/>
        <w:rPr>
          <w:b/>
          <w:sz w:val="26"/>
        </w:rPr>
      </w:pPr>
    </w:p>
    <w:p>
      <w:pPr>
        <w:pStyle w:val="BodyText"/>
        <w:spacing w:before="7"/>
        <w:ind w:left="0"/>
        <w:rPr>
          <w:b/>
          <w:sz w:val="38"/>
        </w:rPr>
      </w:pPr>
    </w:p>
    <w:p>
      <w:pPr>
        <w:pStyle w:val="Heading1"/>
        <w:numPr>
          <w:ilvl w:val="0"/>
          <w:numId w:val="1"/>
        </w:numPr>
        <w:tabs>
          <w:tab w:pos="360" w:val="left" w:leader="none"/>
        </w:tabs>
        <w:spacing w:line="240" w:lineRule="auto" w:before="0" w:after="0"/>
        <w:ind w:left="359" w:right="0" w:hanging="240"/>
        <w:jc w:val="left"/>
      </w:pPr>
      <w:r>
        <w:rPr>
          <w:color w:val="323232"/>
        </w:rPr>
        <w:t>Section 1 - General</w:t>
      </w:r>
      <w:r>
        <w:rPr>
          <w:color w:val="323232"/>
          <w:spacing w:val="-1"/>
        </w:rPr>
        <w:t> </w:t>
      </w:r>
      <w:r>
        <w:rPr>
          <w:color w:val="323232"/>
        </w:rPr>
        <w:t>Provisions.</w:t>
      </w:r>
    </w:p>
    <w:p>
      <w:pPr>
        <w:pStyle w:val="ListParagraph"/>
        <w:numPr>
          <w:ilvl w:val="1"/>
          <w:numId w:val="1"/>
        </w:numPr>
        <w:tabs>
          <w:tab w:pos="378" w:val="left" w:leader="none"/>
        </w:tabs>
        <w:spacing w:line="240" w:lineRule="auto" w:before="100" w:after="0"/>
        <w:ind w:left="377" w:right="0" w:hanging="258"/>
        <w:jc w:val="left"/>
        <w:rPr>
          <w:sz w:val="16"/>
        </w:rPr>
      </w:pPr>
      <w:r>
        <w:rPr>
          <w:color w:val="323232"/>
          <w:sz w:val="16"/>
        </w:rPr>
        <w:t>For the purposes of this Contract, the following terms will</w:t>
      </w:r>
      <w:r>
        <w:rPr>
          <w:color w:val="323232"/>
          <w:spacing w:val="-4"/>
          <w:sz w:val="16"/>
        </w:rPr>
        <w:t> </w:t>
      </w:r>
      <w:r>
        <w:rPr>
          <w:color w:val="323232"/>
          <w:sz w:val="16"/>
        </w:rPr>
        <w:t>mean:</w:t>
      </w:r>
    </w:p>
    <w:p>
      <w:pPr>
        <w:pStyle w:val="ListParagraph"/>
        <w:numPr>
          <w:ilvl w:val="2"/>
          <w:numId w:val="1"/>
        </w:numPr>
        <w:tabs>
          <w:tab w:pos="307" w:val="left" w:leader="none"/>
        </w:tabs>
        <w:spacing w:line="240" w:lineRule="auto" w:before="101" w:after="0"/>
        <w:ind w:left="306" w:right="0" w:hanging="187"/>
        <w:jc w:val="left"/>
        <w:rPr>
          <w:sz w:val="16"/>
        </w:rPr>
      </w:pPr>
      <w:r>
        <w:rPr>
          <w:color w:val="323232"/>
          <w:sz w:val="16"/>
        </w:rPr>
        <w:t>Carrier - the motor carrier/mover contracted to transport a shipment of household</w:t>
      </w:r>
      <w:r>
        <w:rPr>
          <w:color w:val="323232"/>
          <w:spacing w:val="-8"/>
          <w:sz w:val="16"/>
        </w:rPr>
        <w:t> </w:t>
      </w:r>
      <w:r>
        <w:rPr>
          <w:color w:val="323232"/>
          <w:sz w:val="16"/>
        </w:rPr>
        <w:t>goods.</w:t>
      </w:r>
    </w:p>
    <w:p>
      <w:pPr>
        <w:pStyle w:val="ListParagraph"/>
        <w:numPr>
          <w:ilvl w:val="2"/>
          <w:numId w:val="1"/>
        </w:numPr>
        <w:tabs>
          <w:tab w:pos="342" w:val="left" w:leader="none"/>
        </w:tabs>
        <w:spacing w:line="240" w:lineRule="auto" w:before="99" w:after="0"/>
        <w:ind w:left="341" w:right="0" w:hanging="222"/>
        <w:jc w:val="left"/>
        <w:rPr>
          <w:sz w:val="16"/>
        </w:rPr>
      </w:pPr>
      <w:r>
        <w:rPr>
          <w:color w:val="323232"/>
          <w:sz w:val="16"/>
        </w:rPr>
        <w:t>Shipper - the owner of the household goods shipment or his</w:t>
      </w:r>
      <w:r>
        <w:rPr>
          <w:color w:val="323232"/>
          <w:spacing w:val="-5"/>
          <w:sz w:val="16"/>
        </w:rPr>
        <w:t> </w:t>
      </w:r>
      <w:r>
        <w:rPr>
          <w:color w:val="323232"/>
          <w:sz w:val="16"/>
        </w:rPr>
        <w:t>representative.</w:t>
      </w:r>
    </w:p>
    <w:p>
      <w:pPr>
        <w:pStyle w:val="ListParagraph"/>
        <w:numPr>
          <w:ilvl w:val="1"/>
          <w:numId w:val="1"/>
        </w:numPr>
        <w:tabs>
          <w:tab w:pos="378" w:val="left" w:leader="none"/>
        </w:tabs>
        <w:spacing w:line="240" w:lineRule="auto" w:before="100" w:after="0"/>
        <w:ind w:left="377" w:right="0" w:hanging="258"/>
        <w:jc w:val="left"/>
        <w:rPr>
          <w:sz w:val="16"/>
        </w:rPr>
      </w:pPr>
      <w:r>
        <w:rPr>
          <w:color w:val="323232"/>
          <w:sz w:val="16"/>
        </w:rPr>
        <w:t>Changes to the moving service contract are not valid unless agreed to in writing by the Carrier and the</w:t>
      </w:r>
      <w:r>
        <w:rPr>
          <w:color w:val="323232"/>
          <w:spacing w:val="-11"/>
          <w:sz w:val="16"/>
        </w:rPr>
        <w:t> </w:t>
      </w:r>
      <w:r>
        <w:rPr>
          <w:color w:val="323232"/>
          <w:sz w:val="16"/>
        </w:rPr>
        <w:t>Shipper.</w:t>
      </w:r>
    </w:p>
    <w:p>
      <w:pPr>
        <w:pStyle w:val="ListParagraph"/>
        <w:numPr>
          <w:ilvl w:val="1"/>
          <w:numId w:val="1"/>
        </w:numPr>
        <w:tabs>
          <w:tab w:pos="387" w:val="left" w:leader="none"/>
        </w:tabs>
        <w:spacing w:line="240" w:lineRule="auto" w:before="101" w:after="0"/>
        <w:ind w:left="119" w:right="333" w:firstLine="0"/>
        <w:jc w:val="both"/>
        <w:rPr>
          <w:sz w:val="16"/>
        </w:rPr>
      </w:pPr>
      <w:r>
        <w:rPr>
          <w:color w:val="323232"/>
          <w:sz w:val="16"/>
        </w:rPr>
        <w:t>Household goods carriers will transport shipments with reasonable dispatch. Reasonable dispatch requires the transportation of a shipment within the agreed period of time shown on the moving services contract, except when circumstances beyond the Carrier’s control, force majeure, prevent or delay</w:t>
      </w:r>
      <w:r>
        <w:rPr>
          <w:color w:val="323232"/>
          <w:spacing w:val="-3"/>
          <w:sz w:val="16"/>
        </w:rPr>
        <w:t> </w:t>
      </w:r>
      <w:r>
        <w:rPr>
          <w:color w:val="323232"/>
          <w:sz w:val="16"/>
        </w:rPr>
        <w:t>transportation.</w:t>
      </w:r>
    </w:p>
    <w:p>
      <w:pPr>
        <w:pStyle w:val="ListParagraph"/>
        <w:numPr>
          <w:ilvl w:val="1"/>
          <w:numId w:val="1"/>
        </w:numPr>
        <w:tabs>
          <w:tab w:pos="386" w:val="left" w:leader="none"/>
        </w:tabs>
        <w:spacing w:line="240" w:lineRule="auto" w:before="99" w:after="0"/>
        <w:ind w:left="385" w:right="0" w:hanging="267"/>
        <w:jc w:val="both"/>
        <w:rPr>
          <w:sz w:val="16"/>
        </w:rPr>
      </w:pPr>
      <w:r>
        <w:rPr>
          <w:color w:val="323232"/>
          <w:sz w:val="16"/>
        </w:rPr>
        <w:t>Moving services contracts must comply with all other applicable laws of the State of</w:t>
      </w:r>
      <w:r>
        <w:rPr>
          <w:color w:val="323232"/>
          <w:spacing w:val="-6"/>
          <w:sz w:val="16"/>
        </w:rPr>
        <w:t> </w:t>
      </w:r>
      <w:r>
        <w:rPr>
          <w:color w:val="323232"/>
          <w:sz w:val="16"/>
        </w:rPr>
        <w:t>Ohio.</w:t>
      </w:r>
    </w:p>
    <w:p>
      <w:pPr>
        <w:pStyle w:val="ListParagraph"/>
        <w:numPr>
          <w:ilvl w:val="0"/>
          <w:numId w:val="1"/>
        </w:numPr>
        <w:tabs>
          <w:tab w:pos="360" w:val="left" w:leader="none"/>
        </w:tabs>
        <w:spacing w:line="240" w:lineRule="auto" w:before="100" w:after="0"/>
        <w:ind w:left="119" w:right="425" w:firstLine="0"/>
        <w:jc w:val="both"/>
        <w:rPr>
          <w:sz w:val="16"/>
        </w:rPr>
      </w:pPr>
      <w:r>
        <w:rPr>
          <w:b/>
          <w:color w:val="323232"/>
          <w:sz w:val="16"/>
        </w:rPr>
        <w:t>Section</w:t>
      </w:r>
      <w:r>
        <w:rPr>
          <w:b/>
          <w:color w:val="323232"/>
          <w:spacing w:val="-2"/>
          <w:sz w:val="16"/>
        </w:rPr>
        <w:t> </w:t>
      </w:r>
      <w:r>
        <w:rPr>
          <w:b/>
          <w:color w:val="323232"/>
          <w:sz w:val="16"/>
        </w:rPr>
        <w:t>2</w:t>
      </w:r>
      <w:r>
        <w:rPr>
          <w:b/>
          <w:color w:val="323232"/>
          <w:spacing w:val="-2"/>
          <w:sz w:val="16"/>
        </w:rPr>
        <w:t> </w:t>
      </w:r>
      <w:r>
        <w:rPr>
          <w:b/>
          <w:color w:val="323232"/>
          <w:sz w:val="16"/>
        </w:rPr>
        <w:t>-</w:t>
      </w:r>
      <w:r>
        <w:rPr>
          <w:b/>
          <w:color w:val="323232"/>
          <w:spacing w:val="-1"/>
          <w:sz w:val="16"/>
        </w:rPr>
        <w:t> </w:t>
      </w:r>
      <w:r>
        <w:rPr>
          <w:b/>
          <w:color w:val="323232"/>
          <w:sz w:val="16"/>
        </w:rPr>
        <w:t>Cargo</w:t>
      </w:r>
      <w:r>
        <w:rPr>
          <w:b/>
          <w:color w:val="323232"/>
          <w:spacing w:val="-1"/>
          <w:sz w:val="16"/>
        </w:rPr>
        <w:t> </w:t>
      </w:r>
      <w:r>
        <w:rPr>
          <w:b/>
          <w:color w:val="323232"/>
          <w:sz w:val="16"/>
        </w:rPr>
        <w:t>Liability</w:t>
      </w:r>
      <w:r>
        <w:rPr>
          <w:b/>
          <w:color w:val="323232"/>
          <w:spacing w:val="-4"/>
          <w:sz w:val="16"/>
        </w:rPr>
        <w:t> </w:t>
      </w:r>
      <w:r>
        <w:rPr>
          <w:b/>
          <w:color w:val="323232"/>
          <w:sz w:val="16"/>
        </w:rPr>
        <w:t>Provisions.</w:t>
      </w:r>
      <w:r>
        <w:rPr>
          <w:b/>
          <w:color w:val="323232"/>
          <w:spacing w:val="-2"/>
          <w:sz w:val="16"/>
        </w:rPr>
        <w:t> </w:t>
      </w:r>
      <w:r>
        <w:rPr>
          <w:color w:val="323232"/>
          <w:sz w:val="16"/>
        </w:rPr>
        <w:t>The</w:t>
      </w:r>
      <w:r>
        <w:rPr>
          <w:color w:val="323232"/>
          <w:spacing w:val="-2"/>
          <w:sz w:val="16"/>
        </w:rPr>
        <w:t> </w:t>
      </w:r>
      <w:r>
        <w:rPr>
          <w:color w:val="323232"/>
          <w:sz w:val="16"/>
        </w:rPr>
        <w:t>Carrier</w:t>
      </w:r>
      <w:r>
        <w:rPr>
          <w:color w:val="323232"/>
          <w:spacing w:val="-1"/>
          <w:sz w:val="16"/>
        </w:rPr>
        <w:t> </w:t>
      </w:r>
      <w:r>
        <w:rPr>
          <w:color w:val="323232"/>
          <w:sz w:val="16"/>
        </w:rPr>
        <w:t>shall</w:t>
      </w:r>
      <w:r>
        <w:rPr>
          <w:color w:val="323232"/>
          <w:spacing w:val="-2"/>
          <w:sz w:val="16"/>
        </w:rPr>
        <w:t> </w:t>
      </w:r>
      <w:r>
        <w:rPr>
          <w:color w:val="323232"/>
          <w:sz w:val="16"/>
        </w:rPr>
        <w:t>be</w:t>
      </w:r>
      <w:r>
        <w:rPr>
          <w:color w:val="323232"/>
          <w:spacing w:val="-2"/>
          <w:sz w:val="16"/>
        </w:rPr>
        <w:t> </w:t>
      </w:r>
      <w:r>
        <w:rPr>
          <w:color w:val="323232"/>
          <w:sz w:val="16"/>
        </w:rPr>
        <w:t>liable</w:t>
      </w:r>
      <w:r>
        <w:rPr>
          <w:color w:val="323232"/>
          <w:spacing w:val="-1"/>
          <w:sz w:val="16"/>
        </w:rPr>
        <w:t> </w:t>
      </w:r>
      <w:r>
        <w:rPr>
          <w:color w:val="323232"/>
          <w:sz w:val="16"/>
        </w:rPr>
        <w:t>for</w:t>
      </w:r>
      <w:r>
        <w:rPr>
          <w:color w:val="323232"/>
          <w:spacing w:val="-2"/>
          <w:sz w:val="16"/>
        </w:rPr>
        <w:t> </w:t>
      </w:r>
      <w:r>
        <w:rPr>
          <w:color w:val="323232"/>
          <w:sz w:val="16"/>
        </w:rPr>
        <w:t>physical</w:t>
      </w:r>
      <w:r>
        <w:rPr>
          <w:color w:val="323232"/>
          <w:spacing w:val="-2"/>
          <w:sz w:val="16"/>
        </w:rPr>
        <w:t> </w:t>
      </w:r>
      <w:r>
        <w:rPr>
          <w:color w:val="323232"/>
          <w:sz w:val="16"/>
        </w:rPr>
        <w:t>loss</w:t>
      </w:r>
      <w:r>
        <w:rPr>
          <w:color w:val="323232"/>
          <w:spacing w:val="-2"/>
          <w:sz w:val="16"/>
        </w:rPr>
        <w:t> </w:t>
      </w:r>
      <w:r>
        <w:rPr>
          <w:color w:val="323232"/>
          <w:sz w:val="16"/>
        </w:rPr>
        <w:t>of</w:t>
      </w:r>
      <w:r>
        <w:rPr>
          <w:color w:val="323232"/>
          <w:spacing w:val="-1"/>
          <w:sz w:val="16"/>
        </w:rPr>
        <w:t> </w:t>
      </w:r>
      <w:r>
        <w:rPr>
          <w:color w:val="323232"/>
          <w:sz w:val="16"/>
        </w:rPr>
        <w:t>or</w:t>
      </w:r>
      <w:r>
        <w:rPr>
          <w:color w:val="323232"/>
          <w:spacing w:val="-2"/>
          <w:sz w:val="16"/>
        </w:rPr>
        <w:t> </w:t>
      </w:r>
      <w:r>
        <w:rPr>
          <w:color w:val="323232"/>
          <w:sz w:val="16"/>
        </w:rPr>
        <w:t>damage</w:t>
      </w:r>
      <w:r>
        <w:rPr>
          <w:color w:val="323232"/>
          <w:spacing w:val="-2"/>
          <w:sz w:val="16"/>
        </w:rPr>
        <w:t> </w:t>
      </w:r>
      <w:r>
        <w:rPr>
          <w:color w:val="323232"/>
          <w:sz w:val="16"/>
        </w:rPr>
        <w:t>to</w:t>
      </w:r>
      <w:r>
        <w:rPr>
          <w:color w:val="323232"/>
          <w:spacing w:val="-2"/>
          <w:sz w:val="16"/>
        </w:rPr>
        <w:t> </w:t>
      </w:r>
      <w:r>
        <w:rPr>
          <w:color w:val="323232"/>
          <w:sz w:val="16"/>
        </w:rPr>
        <w:t>any</w:t>
      </w:r>
      <w:r>
        <w:rPr>
          <w:color w:val="323232"/>
          <w:spacing w:val="-2"/>
          <w:sz w:val="16"/>
        </w:rPr>
        <w:t> </w:t>
      </w:r>
      <w:r>
        <w:rPr>
          <w:color w:val="323232"/>
          <w:sz w:val="16"/>
        </w:rPr>
        <w:t>articles</w:t>
      </w:r>
      <w:r>
        <w:rPr>
          <w:color w:val="323232"/>
          <w:spacing w:val="-2"/>
          <w:sz w:val="16"/>
        </w:rPr>
        <w:t> </w:t>
      </w:r>
      <w:r>
        <w:rPr>
          <w:color w:val="323232"/>
          <w:sz w:val="16"/>
        </w:rPr>
        <w:t>from</w:t>
      </w:r>
      <w:r>
        <w:rPr>
          <w:color w:val="323232"/>
          <w:spacing w:val="-2"/>
          <w:sz w:val="16"/>
        </w:rPr>
        <w:t> </w:t>
      </w:r>
      <w:r>
        <w:rPr>
          <w:color w:val="323232"/>
          <w:sz w:val="16"/>
        </w:rPr>
        <w:t>external</w:t>
      </w:r>
      <w:r>
        <w:rPr>
          <w:color w:val="323232"/>
          <w:spacing w:val="-2"/>
          <w:sz w:val="16"/>
        </w:rPr>
        <w:t> </w:t>
      </w:r>
      <w:r>
        <w:rPr>
          <w:color w:val="323232"/>
          <w:sz w:val="16"/>
        </w:rPr>
        <w:t>cause</w:t>
      </w:r>
      <w:r>
        <w:rPr>
          <w:color w:val="323232"/>
          <w:spacing w:val="-1"/>
          <w:sz w:val="16"/>
        </w:rPr>
        <w:t> </w:t>
      </w:r>
      <w:r>
        <w:rPr>
          <w:color w:val="323232"/>
          <w:sz w:val="16"/>
        </w:rPr>
        <w:t>while</w:t>
      </w:r>
      <w:r>
        <w:rPr>
          <w:color w:val="323232"/>
          <w:spacing w:val="-2"/>
          <w:sz w:val="16"/>
        </w:rPr>
        <w:t> </w:t>
      </w:r>
      <w:r>
        <w:rPr>
          <w:color w:val="323232"/>
          <w:sz w:val="16"/>
        </w:rPr>
        <w:t>being carried or held in storage-in-transit, except loss, damage, or delay caused by or</w:t>
      </w:r>
      <w:r>
        <w:rPr>
          <w:color w:val="323232"/>
          <w:spacing w:val="-9"/>
          <w:sz w:val="16"/>
        </w:rPr>
        <w:t> </w:t>
      </w:r>
      <w:r>
        <w:rPr>
          <w:color w:val="323232"/>
          <w:sz w:val="16"/>
        </w:rPr>
        <w:t>resulting:</w:t>
      </w:r>
    </w:p>
    <w:p>
      <w:pPr>
        <w:pStyle w:val="ListParagraph"/>
        <w:numPr>
          <w:ilvl w:val="1"/>
          <w:numId w:val="1"/>
        </w:numPr>
        <w:tabs>
          <w:tab w:pos="378" w:val="left" w:leader="none"/>
        </w:tabs>
        <w:spacing w:line="240" w:lineRule="auto" w:before="100" w:after="0"/>
        <w:ind w:left="377" w:right="0" w:hanging="259"/>
        <w:jc w:val="both"/>
        <w:rPr>
          <w:sz w:val="16"/>
        </w:rPr>
      </w:pPr>
      <w:r>
        <w:rPr>
          <w:color w:val="323232"/>
          <w:sz w:val="16"/>
        </w:rPr>
        <w:t>From an act, omission, or order of the</w:t>
      </w:r>
      <w:r>
        <w:rPr>
          <w:color w:val="323232"/>
          <w:spacing w:val="-3"/>
          <w:sz w:val="16"/>
        </w:rPr>
        <w:t> </w:t>
      </w:r>
      <w:r>
        <w:rPr>
          <w:color w:val="323232"/>
          <w:sz w:val="16"/>
        </w:rPr>
        <w:t>Shipper;</w:t>
      </w:r>
    </w:p>
    <w:p>
      <w:pPr>
        <w:pStyle w:val="ListParagraph"/>
        <w:numPr>
          <w:ilvl w:val="1"/>
          <w:numId w:val="1"/>
        </w:numPr>
        <w:tabs>
          <w:tab w:pos="378" w:val="left" w:leader="none"/>
        </w:tabs>
        <w:spacing w:line="240" w:lineRule="auto" w:before="100" w:after="0"/>
        <w:ind w:left="119" w:right="537" w:firstLine="0"/>
        <w:jc w:val="left"/>
        <w:rPr>
          <w:sz w:val="16"/>
        </w:rPr>
      </w:pPr>
      <w:r>
        <w:rPr>
          <w:color w:val="323232"/>
          <w:sz w:val="16"/>
        </w:rPr>
        <w:t>From defect or inherent vice of the article, including structural integrity and susceptibility to damage because of atmospheric conditions such as temperature and humidity or changes</w:t>
      </w:r>
      <w:r>
        <w:rPr>
          <w:color w:val="323232"/>
          <w:spacing w:val="-2"/>
          <w:sz w:val="16"/>
        </w:rPr>
        <w:t> </w:t>
      </w:r>
      <w:r>
        <w:rPr>
          <w:color w:val="323232"/>
          <w:sz w:val="16"/>
        </w:rPr>
        <w:t>therein.</w:t>
      </w:r>
    </w:p>
    <w:p>
      <w:pPr>
        <w:pStyle w:val="ListParagraph"/>
        <w:numPr>
          <w:ilvl w:val="1"/>
          <w:numId w:val="1"/>
        </w:numPr>
        <w:tabs>
          <w:tab w:pos="388" w:val="left" w:leader="none"/>
        </w:tabs>
        <w:spacing w:line="240" w:lineRule="auto" w:before="100" w:after="0"/>
        <w:ind w:left="387" w:right="0" w:hanging="269"/>
        <w:jc w:val="both"/>
        <w:rPr>
          <w:sz w:val="16"/>
        </w:rPr>
      </w:pPr>
      <w:r>
        <w:rPr>
          <w:color w:val="323232"/>
          <w:sz w:val="16"/>
        </w:rPr>
        <w:t>From Acts of God, including, but not limited to rain, wind, flood, hail and/or sun</w:t>
      </w:r>
      <w:r>
        <w:rPr>
          <w:color w:val="323232"/>
          <w:spacing w:val="-6"/>
          <w:sz w:val="16"/>
        </w:rPr>
        <w:t> </w:t>
      </w:r>
      <w:r>
        <w:rPr>
          <w:color w:val="323232"/>
          <w:sz w:val="16"/>
        </w:rPr>
        <w:t>damage.</w:t>
      </w:r>
    </w:p>
    <w:p>
      <w:pPr>
        <w:pStyle w:val="ListParagraph"/>
        <w:numPr>
          <w:ilvl w:val="1"/>
          <w:numId w:val="1"/>
        </w:numPr>
        <w:tabs>
          <w:tab w:pos="387" w:val="left" w:leader="none"/>
        </w:tabs>
        <w:spacing w:line="240" w:lineRule="auto" w:before="101" w:after="0"/>
        <w:ind w:left="119" w:right="235" w:firstLine="0"/>
        <w:jc w:val="left"/>
        <w:rPr>
          <w:sz w:val="16"/>
        </w:rPr>
      </w:pPr>
      <w:r>
        <w:rPr>
          <w:color w:val="323232"/>
          <w:sz w:val="16"/>
        </w:rPr>
        <w:t>Except in cases of negligence of the Carrier of all or any of the property herein described shall not be liable for damage to or loss of contents of pieces of furniture, crates, bundles, cartons, boxes, barrels or other containers unless such contents are open for the Carrier’s inspection and then only for such articles as are specifically listed by the shipper and receipted for by the Carrier or its</w:t>
      </w:r>
      <w:r>
        <w:rPr>
          <w:color w:val="323232"/>
          <w:spacing w:val="-12"/>
          <w:sz w:val="16"/>
        </w:rPr>
        <w:t> </w:t>
      </w:r>
      <w:r>
        <w:rPr>
          <w:color w:val="323232"/>
          <w:sz w:val="16"/>
        </w:rPr>
        <w:t>agent.</w:t>
      </w:r>
    </w:p>
    <w:p>
      <w:pPr>
        <w:pStyle w:val="ListParagraph"/>
        <w:numPr>
          <w:ilvl w:val="1"/>
          <w:numId w:val="1"/>
        </w:numPr>
        <w:tabs>
          <w:tab w:pos="378" w:val="left" w:leader="none"/>
        </w:tabs>
        <w:spacing w:line="240" w:lineRule="auto" w:before="99" w:after="0"/>
        <w:ind w:left="120" w:right="440" w:firstLine="0"/>
        <w:jc w:val="left"/>
        <w:rPr>
          <w:sz w:val="16"/>
        </w:rPr>
      </w:pPr>
      <w:r>
        <w:rPr>
          <w:color w:val="323232"/>
          <w:sz w:val="16"/>
        </w:rPr>
        <w:t>From spoilage, deterioration, contamination, freezing, rusting, extremes of temperature, shrinkage, evaporation, loss of weight, changes in color, flavor, finish or texture unless any of them shall be caused by fire or overturn of the</w:t>
      </w:r>
      <w:r>
        <w:rPr>
          <w:color w:val="323232"/>
          <w:spacing w:val="-11"/>
          <w:sz w:val="16"/>
        </w:rPr>
        <w:t> </w:t>
      </w:r>
      <w:r>
        <w:rPr>
          <w:color w:val="323232"/>
          <w:sz w:val="16"/>
        </w:rPr>
        <w:t>vehicle.</w:t>
      </w:r>
    </w:p>
    <w:p>
      <w:pPr>
        <w:pStyle w:val="ListParagraph"/>
        <w:numPr>
          <w:ilvl w:val="1"/>
          <w:numId w:val="1"/>
        </w:numPr>
        <w:tabs>
          <w:tab w:pos="370" w:val="left" w:leader="none"/>
        </w:tabs>
        <w:spacing w:line="240" w:lineRule="auto" w:before="100" w:after="0"/>
        <w:ind w:left="120" w:right="101" w:firstLine="0"/>
        <w:jc w:val="left"/>
        <w:rPr>
          <w:sz w:val="16"/>
        </w:rPr>
      </w:pPr>
      <w:r>
        <w:rPr>
          <w:color w:val="323232"/>
          <w:sz w:val="16"/>
        </w:rPr>
        <w:t>From mechanical or electrical derangements of pianos, radios, phonographs, clocks, refrigerators, television or video equipment, computers and their peripheral devices, automatic washers or other instruments or appliances, unless evidenced by external damage to such equipment and unless caused by perils not otherwise</w:t>
      </w:r>
      <w:r>
        <w:rPr>
          <w:color w:val="323232"/>
          <w:spacing w:val="-4"/>
          <w:sz w:val="16"/>
        </w:rPr>
        <w:t> </w:t>
      </w:r>
      <w:r>
        <w:rPr>
          <w:color w:val="323232"/>
          <w:sz w:val="16"/>
        </w:rPr>
        <w:t>excluded.</w:t>
      </w:r>
    </w:p>
    <w:p>
      <w:pPr>
        <w:pStyle w:val="ListParagraph"/>
        <w:numPr>
          <w:ilvl w:val="1"/>
          <w:numId w:val="1"/>
        </w:numPr>
        <w:tabs>
          <w:tab w:pos="396" w:val="left" w:leader="none"/>
        </w:tabs>
        <w:spacing w:line="240" w:lineRule="auto" w:before="100" w:after="0"/>
        <w:ind w:left="119" w:right="449" w:firstLine="0"/>
        <w:jc w:val="left"/>
        <w:rPr>
          <w:sz w:val="16"/>
        </w:rPr>
      </w:pPr>
      <w:r>
        <w:rPr>
          <w:color w:val="323232"/>
          <w:sz w:val="16"/>
        </w:rPr>
        <w:t>The household goods Carrier is not liable for loss or damage caused by dangerous or explosive goods unless the Shipper notifies the Carrier,</w:t>
      </w:r>
      <w:r>
        <w:rPr>
          <w:color w:val="323232"/>
          <w:spacing w:val="-27"/>
          <w:sz w:val="16"/>
        </w:rPr>
        <w:t> </w:t>
      </w:r>
      <w:r>
        <w:rPr>
          <w:color w:val="323232"/>
          <w:sz w:val="16"/>
        </w:rPr>
        <w:t>in writing, of the nature of the goods and the Carrier agrees, in writing, to the transportation of these</w:t>
      </w:r>
      <w:r>
        <w:rPr>
          <w:color w:val="323232"/>
          <w:spacing w:val="-11"/>
          <w:sz w:val="16"/>
        </w:rPr>
        <w:t> </w:t>
      </w:r>
      <w:r>
        <w:rPr>
          <w:color w:val="323232"/>
          <w:sz w:val="16"/>
        </w:rPr>
        <w:t>goods.</w:t>
      </w:r>
    </w:p>
    <w:p>
      <w:pPr>
        <w:pStyle w:val="Heading1"/>
        <w:ind w:left="119" w:firstLine="0"/>
      </w:pPr>
      <w:r>
        <w:rPr>
          <w:color w:val="323232"/>
        </w:rPr>
        <w:t>SUBJECT, in addition to the foregoing, to the further following limitations on the Carrier’s liability:</w:t>
      </w:r>
    </w:p>
    <w:p>
      <w:pPr>
        <w:pStyle w:val="ListParagraph"/>
        <w:numPr>
          <w:ilvl w:val="0"/>
          <w:numId w:val="2"/>
        </w:numPr>
        <w:tabs>
          <w:tab w:pos="658" w:val="left" w:leader="none"/>
        </w:tabs>
        <w:spacing w:line="240" w:lineRule="auto" w:before="100" w:after="0"/>
        <w:ind w:left="479" w:right="498" w:firstLine="0"/>
        <w:jc w:val="left"/>
        <w:rPr>
          <w:sz w:val="16"/>
        </w:rPr>
      </w:pPr>
      <w:r>
        <w:rPr>
          <w:color w:val="323232"/>
          <w:sz w:val="16"/>
        </w:rPr>
        <w:t>The Carrier’s maximum liability shall be the either actual DEPRECIATED VALUE or REPLACEMENT VALUE for loss or damage as elected by the Shipper on the face hereof, not exceeding the amount declared by the Shipper on the face</w:t>
      </w:r>
      <w:r>
        <w:rPr>
          <w:color w:val="323232"/>
          <w:spacing w:val="-14"/>
          <w:sz w:val="16"/>
        </w:rPr>
        <w:t> </w:t>
      </w:r>
      <w:r>
        <w:rPr>
          <w:color w:val="323232"/>
          <w:sz w:val="16"/>
        </w:rPr>
        <w:t>hereof.</w:t>
      </w:r>
    </w:p>
    <w:p>
      <w:pPr>
        <w:pStyle w:val="ListParagraph"/>
        <w:numPr>
          <w:ilvl w:val="0"/>
          <w:numId w:val="2"/>
        </w:numPr>
        <w:tabs>
          <w:tab w:pos="658" w:val="left" w:leader="none"/>
        </w:tabs>
        <w:spacing w:line="240" w:lineRule="auto" w:before="100" w:after="0"/>
        <w:ind w:left="657" w:right="0" w:hanging="179"/>
        <w:jc w:val="left"/>
        <w:rPr>
          <w:sz w:val="16"/>
        </w:rPr>
      </w:pPr>
      <w:r>
        <w:rPr>
          <w:color w:val="323232"/>
          <w:sz w:val="16"/>
        </w:rPr>
        <w:t>The Carrier shall not be liable for documents, tickets, deeds, manuscripts, blue prints, plans, specifications, or other valuable</w:t>
      </w:r>
      <w:r>
        <w:rPr>
          <w:color w:val="323232"/>
          <w:spacing w:val="-14"/>
          <w:sz w:val="16"/>
        </w:rPr>
        <w:t> </w:t>
      </w:r>
      <w:r>
        <w:rPr>
          <w:color w:val="323232"/>
          <w:sz w:val="16"/>
        </w:rPr>
        <w:t>papers.</w:t>
      </w:r>
    </w:p>
    <w:p>
      <w:pPr>
        <w:pStyle w:val="ListParagraph"/>
        <w:numPr>
          <w:ilvl w:val="0"/>
          <w:numId w:val="2"/>
        </w:numPr>
        <w:tabs>
          <w:tab w:pos="658" w:val="left" w:leader="none"/>
        </w:tabs>
        <w:spacing w:line="240" w:lineRule="auto" w:before="101" w:after="0"/>
        <w:ind w:left="479" w:right="656" w:firstLine="0"/>
        <w:jc w:val="left"/>
        <w:rPr>
          <w:sz w:val="16"/>
        </w:rPr>
      </w:pPr>
      <w:r>
        <w:rPr>
          <w:color w:val="323232"/>
          <w:sz w:val="16"/>
        </w:rPr>
        <w:t>The Carrier shall not be liable for jewels, jewelry, gems, precious metals, gold, silver or platinum articles (including household goods such as silverware, coffee service sets, trays, candlesticks and dishes) watches, precious stones, pearls, furs or garments trimmed with fur, currency, money, bullion, bonds, notes, stock, stock certificates or other securities, accounts bills, bills of exchange, evidence of debt, credit cards, stamp-postage, stamp collections, revenue, trading-or letter or packets of letters not specifically listed on the shipping document by description and</w:t>
      </w:r>
      <w:r>
        <w:rPr>
          <w:color w:val="323232"/>
          <w:spacing w:val="-1"/>
          <w:sz w:val="16"/>
        </w:rPr>
        <w:t> </w:t>
      </w:r>
      <w:r>
        <w:rPr>
          <w:color w:val="323232"/>
          <w:sz w:val="16"/>
        </w:rPr>
        <w:t>value.</w:t>
      </w:r>
    </w:p>
    <w:p>
      <w:pPr>
        <w:pStyle w:val="ListParagraph"/>
        <w:numPr>
          <w:ilvl w:val="0"/>
          <w:numId w:val="2"/>
        </w:numPr>
        <w:tabs>
          <w:tab w:pos="658" w:val="left" w:leader="none"/>
        </w:tabs>
        <w:spacing w:line="240" w:lineRule="auto" w:before="99" w:after="0"/>
        <w:ind w:left="479" w:right="570" w:firstLine="0"/>
        <w:jc w:val="left"/>
        <w:rPr>
          <w:sz w:val="16"/>
        </w:rPr>
      </w:pPr>
      <w:r>
        <w:rPr>
          <w:color w:val="323232"/>
          <w:sz w:val="16"/>
        </w:rPr>
        <w:t>Where replacement or total loss payment of a damaged article(s) is made by the Carrier, they at their sole option, have the right to</w:t>
      </w:r>
      <w:r>
        <w:rPr>
          <w:color w:val="323232"/>
          <w:spacing w:val="-28"/>
          <w:sz w:val="16"/>
        </w:rPr>
        <w:t> </w:t>
      </w:r>
      <w:r>
        <w:rPr>
          <w:color w:val="323232"/>
          <w:sz w:val="16"/>
        </w:rPr>
        <w:t>salvage of the damaged</w:t>
      </w:r>
      <w:r>
        <w:rPr>
          <w:color w:val="323232"/>
          <w:spacing w:val="-1"/>
          <w:sz w:val="16"/>
        </w:rPr>
        <w:t> </w:t>
      </w:r>
      <w:r>
        <w:rPr>
          <w:color w:val="323232"/>
          <w:sz w:val="16"/>
        </w:rPr>
        <w:t>article(s).</w:t>
      </w:r>
    </w:p>
    <w:p>
      <w:pPr>
        <w:pStyle w:val="ListParagraph"/>
        <w:numPr>
          <w:ilvl w:val="0"/>
          <w:numId w:val="2"/>
        </w:numPr>
        <w:tabs>
          <w:tab w:pos="658" w:val="left" w:leader="none"/>
        </w:tabs>
        <w:spacing w:line="240" w:lineRule="auto" w:before="100" w:after="0"/>
        <w:ind w:left="479" w:right="783" w:firstLine="0"/>
        <w:jc w:val="left"/>
        <w:rPr>
          <w:sz w:val="16"/>
        </w:rPr>
      </w:pPr>
      <w:r>
        <w:rPr>
          <w:color w:val="323232"/>
          <w:sz w:val="16"/>
        </w:rPr>
        <w:t>In the event of loss to any article or articles which is/are part of a set, the measure of loss to that article or articles shall apply only to the value of the piece or part that incurred the loss giving consideration to the importance of said articles, but in no event shall that loss be construed to mean loss of the total pair or</w:t>
      </w:r>
      <w:r>
        <w:rPr>
          <w:color w:val="323232"/>
          <w:spacing w:val="-5"/>
          <w:sz w:val="16"/>
        </w:rPr>
        <w:t> </w:t>
      </w:r>
      <w:r>
        <w:rPr>
          <w:color w:val="323232"/>
          <w:sz w:val="16"/>
        </w:rPr>
        <w:t>set.</w:t>
      </w:r>
    </w:p>
    <w:p>
      <w:pPr>
        <w:pStyle w:val="ListParagraph"/>
        <w:numPr>
          <w:ilvl w:val="0"/>
          <w:numId w:val="2"/>
        </w:numPr>
        <w:tabs>
          <w:tab w:pos="658" w:val="left" w:leader="none"/>
        </w:tabs>
        <w:spacing w:line="240" w:lineRule="auto" w:before="101" w:after="0"/>
        <w:ind w:left="479" w:right="811" w:firstLine="0"/>
        <w:jc w:val="left"/>
        <w:rPr>
          <w:sz w:val="16"/>
        </w:rPr>
      </w:pPr>
      <w:r>
        <w:rPr>
          <w:color w:val="323232"/>
          <w:sz w:val="16"/>
        </w:rPr>
        <w:t>The Carrier shall not be liable for "Ready to Assemble Furniture" made of engineered wood and paper laminate finish, such as furniture manufactured by; Bush, O’sulivan, Sauder, etc., due to the inherent risk and sub-standard structural integrity of this type of</w:t>
      </w:r>
      <w:r>
        <w:rPr>
          <w:color w:val="323232"/>
          <w:spacing w:val="-21"/>
          <w:sz w:val="16"/>
        </w:rPr>
        <w:t> </w:t>
      </w:r>
      <w:r>
        <w:rPr>
          <w:color w:val="323232"/>
          <w:sz w:val="16"/>
        </w:rPr>
        <w:t>furniture.</w:t>
      </w:r>
    </w:p>
    <w:p>
      <w:pPr>
        <w:pStyle w:val="Heading1"/>
        <w:numPr>
          <w:ilvl w:val="0"/>
          <w:numId w:val="1"/>
        </w:numPr>
        <w:tabs>
          <w:tab w:pos="360" w:val="left" w:leader="none"/>
        </w:tabs>
        <w:spacing w:line="240" w:lineRule="auto" w:before="100" w:after="0"/>
        <w:ind w:left="359" w:right="0" w:hanging="240"/>
        <w:jc w:val="both"/>
      </w:pPr>
      <w:r>
        <w:rPr>
          <w:color w:val="323232"/>
        </w:rPr>
        <w:t>Section 3 - Claims</w:t>
      </w:r>
      <w:r>
        <w:rPr>
          <w:color w:val="323232"/>
          <w:spacing w:val="-2"/>
        </w:rPr>
        <w:t> </w:t>
      </w:r>
      <w:r>
        <w:rPr>
          <w:color w:val="323232"/>
        </w:rPr>
        <w:t>Provisions.</w:t>
      </w:r>
    </w:p>
    <w:p>
      <w:pPr>
        <w:pStyle w:val="ListParagraph"/>
        <w:numPr>
          <w:ilvl w:val="1"/>
          <w:numId w:val="1"/>
        </w:numPr>
        <w:tabs>
          <w:tab w:pos="378" w:val="left" w:leader="none"/>
        </w:tabs>
        <w:spacing w:line="240" w:lineRule="auto" w:before="99" w:after="0"/>
        <w:ind w:left="120" w:right="126" w:hanging="1"/>
        <w:jc w:val="left"/>
        <w:rPr>
          <w:sz w:val="16"/>
        </w:rPr>
      </w:pPr>
      <w:r>
        <w:rPr>
          <w:color w:val="323232"/>
          <w:sz w:val="16"/>
        </w:rPr>
        <w:t>A written claim must be filed by the Shipper within 60 days of delivery of the shipment to the final destination. In case of failure to make delivery, then a written claim must be filed by the Shipper within 60 days after a reasonable time for delivery has</w:t>
      </w:r>
      <w:r>
        <w:rPr>
          <w:color w:val="323232"/>
          <w:spacing w:val="-12"/>
          <w:sz w:val="16"/>
        </w:rPr>
        <w:t> </w:t>
      </w:r>
      <w:r>
        <w:rPr>
          <w:color w:val="323232"/>
          <w:sz w:val="16"/>
        </w:rPr>
        <w:t>elapsed.</w:t>
      </w:r>
    </w:p>
    <w:p>
      <w:pPr>
        <w:pStyle w:val="ListParagraph"/>
        <w:numPr>
          <w:ilvl w:val="1"/>
          <w:numId w:val="1"/>
        </w:numPr>
        <w:tabs>
          <w:tab w:pos="378" w:val="left" w:leader="none"/>
        </w:tabs>
        <w:spacing w:line="240" w:lineRule="auto" w:before="100" w:after="0"/>
        <w:ind w:left="120" w:right="482" w:firstLine="0"/>
        <w:jc w:val="left"/>
        <w:rPr>
          <w:sz w:val="16"/>
        </w:rPr>
      </w:pPr>
      <w:r>
        <w:rPr>
          <w:color w:val="323232"/>
          <w:sz w:val="16"/>
        </w:rPr>
        <w:t>A household goods Carrier is not liable for any claim that is not filed within 60 days of the delivery of the shipment to the final destination. A household goods Carrier is not liable for any claim that is not filed within 60 days after a reasonable time for delivery has elapsed for shipments that were not delivered.</w:t>
      </w:r>
    </w:p>
    <w:p>
      <w:pPr>
        <w:pStyle w:val="ListParagraph"/>
        <w:numPr>
          <w:ilvl w:val="1"/>
          <w:numId w:val="1"/>
        </w:numPr>
        <w:tabs>
          <w:tab w:pos="387" w:val="left" w:leader="none"/>
        </w:tabs>
        <w:spacing w:line="240" w:lineRule="auto" w:before="101" w:after="0"/>
        <w:ind w:left="386" w:right="0" w:hanging="267"/>
        <w:jc w:val="both"/>
        <w:rPr>
          <w:sz w:val="16"/>
        </w:rPr>
      </w:pPr>
      <w:r>
        <w:rPr>
          <w:color w:val="323232"/>
          <w:sz w:val="16"/>
        </w:rPr>
        <w:t>In order for any claim to be considered, all monies due Carrier from the Shipper must be paid in</w:t>
      </w:r>
      <w:r>
        <w:rPr>
          <w:color w:val="323232"/>
          <w:spacing w:val="-11"/>
          <w:sz w:val="16"/>
        </w:rPr>
        <w:t> </w:t>
      </w:r>
      <w:r>
        <w:rPr>
          <w:color w:val="323232"/>
          <w:sz w:val="16"/>
        </w:rPr>
        <w:t>full.</w:t>
      </w:r>
    </w:p>
    <w:p>
      <w:pPr>
        <w:pStyle w:val="ListParagraph"/>
        <w:numPr>
          <w:ilvl w:val="0"/>
          <w:numId w:val="1"/>
        </w:numPr>
        <w:tabs>
          <w:tab w:pos="360" w:val="left" w:leader="none"/>
        </w:tabs>
        <w:spacing w:line="240" w:lineRule="auto" w:before="99" w:after="0"/>
        <w:ind w:left="120" w:right="381" w:firstLine="0"/>
        <w:jc w:val="both"/>
        <w:rPr>
          <w:sz w:val="16"/>
        </w:rPr>
      </w:pPr>
      <w:r>
        <w:rPr>
          <w:b/>
          <w:color w:val="323232"/>
          <w:sz w:val="16"/>
        </w:rPr>
        <w:t>Section</w:t>
      </w:r>
      <w:r>
        <w:rPr>
          <w:b/>
          <w:color w:val="323232"/>
          <w:spacing w:val="-2"/>
          <w:sz w:val="16"/>
        </w:rPr>
        <w:t> </w:t>
      </w:r>
      <w:r>
        <w:rPr>
          <w:b/>
          <w:color w:val="323232"/>
          <w:sz w:val="16"/>
        </w:rPr>
        <w:t>4</w:t>
      </w:r>
      <w:r>
        <w:rPr>
          <w:b/>
          <w:color w:val="323232"/>
          <w:spacing w:val="-2"/>
          <w:sz w:val="16"/>
        </w:rPr>
        <w:t> </w:t>
      </w:r>
      <w:r>
        <w:rPr>
          <w:b/>
          <w:color w:val="323232"/>
          <w:sz w:val="16"/>
        </w:rPr>
        <w:t>-</w:t>
      </w:r>
      <w:r>
        <w:rPr>
          <w:b/>
          <w:color w:val="323232"/>
          <w:spacing w:val="-2"/>
          <w:sz w:val="16"/>
        </w:rPr>
        <w:t> </w:t>
      </w:r>
      <w:r>
        <w:rPr>
          <w:b/>
          <w:color w:val="323232"/>
          <w:sz w:val="16"/>
        </w:rPr>
        <w:t>Payment</w:t>
      </w:r>
      <w:r>
        <w:rPr>
          <w:b/>
          <w:color w:val="323232"/>
          <w:spacing w:val="-2"/>
          <w:sz w:val="16"/>
        </w:rPr>
        <w:t> </w:t>
      </w:r>
      <w:r>
        <w:rPr>
          <w:b/>
          <w:color w:val="323232"/>
          <w:sz w:val="16"/>
        </w:rPr>
        <w:t>Provisions.</w:t>
      </w:r>
      <w:r>
        <w:rPr>
          <w:b/>
          <w:color w:val="323232"/>
          <w:spacing w:val="-1"/>
          <w:sz w:val="16"/>
        </w:rPr>
        <w:t> </w:t>
      </w:r>
      <w:r>
        <w:rPr>
          <w:color w:val="323232"/>
          <w:sz w:val="16"/>
        </w:rPr>
        <w:t>The</w:t>
      </w:r>
      <w:r>
        <w:rPr>
          <w:color w:val="323232"/>
          <w:spacing w:val="-2"/>
          <w:sz w:val="16"/>
        </w:rPr>
        <w:t> </w:t>
      </w:r>
      <w:r>
        <w:rPr>
          <w:color w:val="323232"/>
          <w:sz w:val="16"/>
        </w:rPr>
        <w:t>shipper must</w:t>
      </w:r>
      <w:r>
        <w:rPr>
          <w:color w:val="323232"/>
          <w:spacing w:val="-2"/>
          <w:sz w:val="16"/>
        </w:rPr>
        <w:t> </w:t>
      </w:r>
      <w:r>
        <w:rPr>
          <w:color w:val="323232"/>
          <w:sz w:val="16"/>
        </w:rPr>
        <w:t>pay</w:t>
      </w:r>
      <w:r>
        <w:rPr>
          <w:color w:val="323232"/>
          <w:spacing w:val="-4"/>
          <w:sz w:val="16"/>
        </w:rPr>
        <w:t> </w:t>
      </w:r>
      <w:r>
        <w:rPr>
          <w:color w:val="323232"/>
          <w:sz w:val="16"/>
        </w:rPr>
        <w:t>the</w:t>
      </w:r>
      <w:r>
        <w:rPr>
          <w:color w:val="323232"/>
          <w:spacing w:val="-2"/>
          <w:sz w:val="16"/>
        </w:rPr>
        <w:t> </w:t>
      </w:r>
      <w:r>
        <w:rPr>
          <w:color w:val="323232"/>
          <w:sz w:val="16"/>
        </w:rPr>
        <w:t>freight</w:t>
      </w:r>
      <w:r>
        <w:rPr>
          <w:color w:val="323232"/>
          <w:spacing w:val="-2"/>
          <w:sz w:val="16"/>
        </w:rPr>
        <w:t> </w:t>
      </w:r>
      <w:r>
        <w:rPr>
          <w:color w:val="323232"/>
          <w:sz w:val="16"/>
        </w:rPr>
        <w:t>charges</w:t>
      </w:r>
      <w:r>
        <w:rPr>
          <w:color w:val="323232"/>
          <w:spacing w:val="-2"/>
          <w:sz w:val="16"/>
        </w:rPr>
        <w:t> </w:t>
      </w:r>
      <w:r>
        <w:rPr>
          <w:color w:val="323232"/>
          <w:sz w:val="16"/>
        </w:rPr>
        <w:t>upon</w:t>
      </w:r>
      <w:r>
        <w:rPr>
          <w:color w:val="323232"/>
          <w:spacing w:val="-1"/>
          <w:sz w:val="16"/>
        </w:rPr>
        <w:t> </w:t>
      </w:r>
      <w:r>
        <w:rPr>
          <w:color w:val="323232"/>
          <w:sz w:val="16"/>
        </w:rPr>
        <w:t>delivery</w:t>
      </w:r>
      <w:r>
        <w:rPr>
          <w:color w:val="323232"/>
          <w:spacing w:val="-4"/>
          <w:sz w:val="16"/>
        </w:rPr>
        <w:t> </w:t>
      </w:r>
      <w:r>
        <w:rPr>
          <w:color w:val="323232"/>
          <w:sz w:val="16"/>
        </w:rPr>
        <w:t>unless</w:t>
      </w:r>
      <w:r>
        <w:rPr>
          <w:color w:val="323232"/>
          <w:spacing w:val="-2"/>
          <w:sz w:val="16"/>
        </w:rPr>
        <w:t> </w:t>
      </w:r>
      <w:r>
        <w:rPr>
          <w:color w:val="323232"/>
          <w:sz w:val="16"/>
        </w:rPr>
        <w:t>the</w:t>
      </w:r>
      <w:r>
        <w:rPr>
          <w:color w:val="323232"/>
          <w:spacing w:val="-2"/>
          <w:sz w:val="16"/>
        </w:rPr>
        <w:t> </w:t>
      </w:r>
      <w:r>
        <w:rPr>
          <w:color w:val="323232"/>
          <w:sz w:val="16"/>
        </w:rPr>
        <w:t>shipper</w:t>
      </w:r>
      <w:r>
        <w:rPr>
          <w:color w:val="323232"/>
          <w:spacing w:val="-2"/>
          <w:sz w:val="16"/>
        </w:rPr>
        <w:t> </w:t>
      </w:r>
      <w:r>
        <w:rPr>
          <w:color w:val="323232"/>
          <w:sz w:val="16"/>
        </w:rPr>
        <w:t>and</w:t>
      </w:r>
      <w:r>
        <w:rPr>
          <w:color w:val="323232"/>
          <w:spacing w:val="-1"/>
          <w:sz w:val="16"/>
        </w:rPr>
        <w:t> </w:t>
      </w:r>
      <w:r>
        <w:rPr>
          <w:color w:val="323232"/>
          <w:sz w:val="16"/>
        </w:rPr>
        <w:t>household</w:t>
      </w:r>
      <w:r>
        <w:rPr>
          <w:color w:val="323232"/>
          <w:spacing w:val="-1"/>
          <w:sz w:val="16"/>
        </w:rPr>
        <w:t> </w:t>
      </w:r>
      <w:r>
        <w:rPr>
          <w:color w:val="323232"/>
          <w:sz w:val="16"/>
        </w:rPr>
        <w:t>goods Carrier</w:t>
      </w:r>
      <w:r>
        <w:rPr>
          <w:color w:val="323232"/>
          <w:spacing w:val="-1"/>
          <w:sz w:val="16"/>
        </w:rPr>
        <w:t> </w:t>
      </w:r>
      <w:r>
        <w:rPr>
          <w:color w:val="323232"/>
          <w:sz w:val="16"/>
        </w:rPr>
        <w:t>agree otherwise.</w:t>
      </w:r>
    </w:p>
    <w:p>
      <w:pPr>
        <w:pStyle w:val="Heading1"/>
        <w:numPr>
          <w:ilvl w:val="0"/>
          <w:numId w:val="1"/>
        </w:numPr>
        <w:tabs>
          <w:tab w:pos="360" w:val="left" w:leader="none"/>
        </w:tabs>
        <w:spacing w:line="240" w:lineRule="auto" w:before="100" w:after="0"/>
        <w:ind w:left="359" w:right="0" w:hanging="240"/>
        <w:jc w:val="both"/>
      </w:pPr>
      <w:r>
        <w:rPr>
          <w:color w:val="323232"/>
        </w:rPr>
        <w:t>Section 5 - Provisions for Shipments Not</w:t>
      </w:r>
      <w:r>
        <w:rPr>
          <w:color w:val="323232"/>
          <w:spacing w:val="-3"/>
        </w:rPr>
        <w:t> </w:t>
      </w:r>
      <w:r>
        <w:rPr>
          <w:color w:val="323232"/>
        </w:rPr>
        <w:t>Delivered.</w:t>
      </w:r>
    </w:p>
    <w:p>
      <w:pPr>
        <w:pStyle w:val="ListParagraph"/>
        <w:numPr>
          <w:ilvl w:val="1"/>
          <w:numId w:val="1"/>
        </w:numPr>
        <w:tabs>
          <w:tab w:pos="378" w:val="left" w:leader="none"/>
        </w:tabs>
        <w:spacing w:line="240" w:lineRule="auto" w:before="100" w:after="0"/>
        <w:ind w:left="120" w:right="787" w:firstLine="0"/>
        <w:jc w:val="left"/>
        <w:rPr>
          <w:sz w:val="16"/>
        </w:rPr>
      </w:pPr>
      <w:r>
        <w:rPr>
          <w:color w:val="323232"/>
          <w:sz w:val="16"/>
        </w:rPr>
        <w:t>A household goods Carrier may place a shipment of household goods into storage if the shipper is not available for delivery of the goods</w:t>
      </w:r>
      <w:r>
        <w:rPr>
          <w:color w:val="323232"/>
          <w:spacing w:val="-27"/>
          <w:sz w:val="16"/>
        </w:rPr>
        <w:t> </w:t>
      </w:r>
      <w:r>
        <w:rPr>
          <w:color w:val="323232"/>
          <w:sz w:val="16"/>
        </w:rPr>
        <w:t>as scheduled.</w:t>
      </w:r>
    </w:p>
    <w:p>
      <w:pPr>
        <w:pStyle w:val="ListParagraph"/>
        <w:numPr>
          <w:ilvl w:val="1"/>
          <w:numId w:val="1"/>
        </w:numPr>
        <w:tabs>
          <w:tab w:pos="378" w:val="left" w:leader="none"/>
        </w:tabs>
        <w:spacing w:line="240" w:lineRule="auto" w:before="100" w:after="0"/>
        <w:ind w:left="377" w:right="0" w:hanging="258"/>
        <w:jc w:val="both"/>
        <w:rPr>
          <w:sz w:val="16"/>
        </w:rPr>
      </w:pPr>
      <w:r>
        <w:rPr>
          <w:color w:val="323232"/>
          <w:sz w:val="16"/>
        </w:rPr>
        <w:t>The cost of such storage is the responsibility of the shipper of the household</w:t>
      </w:r>
      <w:r>
        <w:rPr>
          <w:color w:val="323232"/>
          <w:spacing w:val="-10"/>
          <w:sz w:val="16"/>
        </w:rPr>
        <w:t> </w:t>
      </w:r>
      <w:r>
        <w:rPr>
          <w:color w:val="323232"/>
          <w:sz w:val="16"/>
        </w:rPr>
        <w:t>goods.</w:t>
      </w:r>
    </w:p>
    <w:p>
      <w:pPr>
        <w:pStyle w:val="ListParagraph"/>
        <w:numPr>
          <w:ilvl w:val="1"/>
          <w:numId w:val="1"/>
        </w:numPr>
        <w:tabs>
          <w:tab w:pos="387" w:val="left" w:leader="none"/>
        </w:tabs>
        <w:spacing w:line="240" w:lineRule="auto" w:before="101" w:after="0"/>
        <w:ind w:left="386" w:right="0" w:hanging="267"/>
        <w:jc w:val="both"/>
        <w:rPr>
          <w:sz w:val="16"/>
        </w:rPr>
      </w:pPr>
      <w:r>
        <w:rPr>
          <w:color w:val="323232"/>
          <w:sz w:val="16"/>
        </w:rPr>
        <w:t>A shipment of household goods placed in storage is subject to liens for storage, freight, and other lawful</w:t>
      </w:r>
      <w:r>
        <w:rPr>
          <w:color w:val="323232"/>
          <w:spacing w:val="-10"/>
          <w:sz w:val="16"/>
        </w:rPr>
        <w:t> </w:t>
      </w:r>
      <w:r>
        <w:rPr>
          <w:color w:val="323232"/>
          <w:sz w:val="16"/>
        </w:rPr>
        <w:t>charges.</w:t>
      </w:r>
    </w:p>
    <w:p>
      <w:pPr>
        <w:pStyle w:val="ListParagraph"/>
        <w:numPr>
          <w:ilvl w:val="1"/>
          <w:numId w:val="1"/>
        </w:numPr>
        <w:tabs>
          <w:tab w:pos="387" w:val="left" w:leader="none"/>
        </w:tabs>
        <w:spacing w:line="240" w:lineRule="auto" w:before="99" w:after="0"/>
        <w:ind w:left="120" w:right="449" w:firstLine="0"/>
        <w:jc w:val="left"/>
        <w:rPr>
          <w:sz w:val="16"/>
        </w:rPr>
      </w:pPr>
      <w:r>
        <w:rPr>
          <w:color w:val="323232"/>
          <w:sz w:val="16"/>
        </w:rPr>
        <w:t>A household goods Carrier must issue written notice of the storage of the household goods to the shipper at each address shown on the</w:t>
      </w:r>
      <w:r>
        <w:rPr>
          <w:color w:val="323232"/>
          <w:spacing w:val="-30"/>
          <w:sz w:val="16"/>
        </w:rPr>
        <w:t> </w:t>
      </w:r>
      <w:r>
        <w:rPr>
          <w:color w:val="323232"/>
          <w:sz w:val="16"/>
        </w:rPr>
        <w:t>moving services contract within three days of placing the goods in</w:t>
      </w:r>
      <w:r>
        <w:rPr>
          <w:color w:val="323232"/>
          <w:spacing w:val="-7"/>
          <w:sz w:val="16"/>
        </w:rPr>
        <w:t> </w:t>
      </w:r>
      <w:r>
        <w:rPr>
          <w:color w:val="323232"/>
          <w:sz w:val="16"/>
        </w:rPr>
        <w:t>storage.</w:t>
      </w:r>
    </w:p>
    <w:p>
      <w:pPr>
        <w:pStyle w:val="ListParagraph"/>
        <w:numPr>
          <w:ilvl w:val="1"/>
          <w:numId w:val="1"/>
        </w:numPr>
        <w:tabs>
          <w:tab w:pos="378" w:val="left" w:leader="none"/>
        </w:tabs>
        <w:spacing w:line="240" w:lineRule="auto" w:before="100" w:after="0"/>
        <w:ind w:left="120" w:right="306" w:firstLine="0"/>
        <w:jc w:val="both"/>
        <w:rPr>
          <w:sz w:val="16"/>
        </w:rPr>
      </w:pPr>
      <w:r>
        <w:rPr>
          <w:color w:val="323232"/>
          <w:sz w:val="16"/>
        </w:rPr>
        <w:t>If the shipper refuses to accept or does not claim the household goods within 15 days of the written notice of storage, the household goods</w:t>
      </w:r>
      <w:r>
        <w:rPr>
          <w:color w:val="323232"/>
          <w:spacing w:val="-26"/>
          <w:sz w:val="16"/>
        </w:rPr>
        <w:t> </w:t>
      </w:r>
      <w:r>
        <w:rPr>
          <w:color w:val="323232"/>
          <w:sz w:val="16"/>
        </w:rPr>
        <w:t>Carrier may begin the process of selling the goods at public</w:t>
      </w:r>
      <w:r>
        <w:rPr>
          <w:color w:val="323232"/>
          <w:spacing w:val="-6"/>
          <w:sz w:val="16"/>
        </w:rPr>
        <w:t> </w:t>
      </w:r>
      <w:r>
        <w:rPr>
          <w:color w:val="323232"/>
          <w:sz w:val="16"/>
        </w:rPr>
        <w:t>sale.</w:t>
      </w:r>
    </w:p>
    <w:p>
      <w:pPr>
        <w:pStyle w:val="ListParagraph"/>
        <w:numPr>
          <w:ilvl w:val="1"/>
          <w:numId w:val="1"/>
        </w:numPr>
        <w:tabs>
          <w:tab w:pos="369" w:val="left" w:leader="none"/>
        </w:tabs>
        <w:spacing w:line="240" w:lineRule="auto" w:before="100" w:after="0"/>
        <w:ind w:left="368" w:right="0" w:hanging="249"/>
        <w:jc w:val="both"/>
        <w:rPr>
          <w:sz w:val="16"/>
        </w:rPr>
      </w:pPr>
      <w:r>
        <w:rPr>
          <w:color w:val="323232"/>
          <w:sz w:val="16"/>
        </w:rPr>
        <w:t>A household goods Carrier must give written notice of the public sale to the shipper at each address shown on the moving services</w:t>
      </w:r>
      <w:r>
        <w:rPr>
          <w:color w:val="323232"/>
          <w:spacing w:val="-26"/>
          <w:sz w:val="16"/>
        </w:rPr>
        <w:t> </w:t>
      </w:r>
      <w:r>
        <w:rPr>
          <w:color w:val="323232"/>
          <w:sz w:val="16"/>
        </w:rPr>
        <w:t>contract.</w:t>
      </w:r>
    </w:p>
    <w:p>
      <w:pPr>
        <w:pStyle w:val="ListParagraph"/>
        <w:numPr>
          <w:ilvl w:val="1"/>
          <w:numId w:val="1"/>
        </w:numPr>
        <w:tabs>
          <w:tab w:pos="396" w:val="left" w:leader="none"/>
        </w:tabs>
        <w:spacing w:line="240" w:lineRule="auto" w:before="101" w:after="0"/>
        <w:ind w:left="120" w:right="289" w:firstLine="0"/>
        <w:jc w:val="both"/>
        <w:rPr>
          <w:sz w:val="16"/>
        </w:rPr>
      </w:pPr>
      <w:r>
        <w:rPr>
          <w:color w:val="323232"/>
          <w:sz w:val="16"/>
        </w:rPr>
        <w:t>The moving services contract does not prohibit the sale of the goods under any other lawful manner if the method set out in the contract cannot</w:t>
      </w:r>
      <w:r>
        <w:rPr>
          <w:color w:val="323232"/>
          <w:spacing w:val="-29"/>
          <w:sz w:val="16"/>
        </w:rPr>
        <w:t> </w:t>
      </w:r>
      <w:r>
        <w:rPr>
          <w:color w:val="323232"/>
          <w:sz w:val="16"/>
        </w:rPr>
        <w:t>be reasonably</w:t>
      </w:r>
      <w:r>
        <w:rPr>
          <w:color w:val="323232"/>
          <w:spacing w:val="-3"/>
          <w:sz w:val="16"/>
        </w:rPr>
        <w:t> </w:t>
      </w:r>
      <w:r>
        <w:rPr>
          <w:color w:val="323232"/>
          <w:sz w:val="16"/>
        </w:rPr>
        <w:t>accomplished.</w:t>
      </w:r>
    </w:p>
    <w:p>
      <w:pPr>
        <w:pStyle w:val="ListParagraph"/>
        <w:numPr>
          <w:ilvl w:val="0"/>
          <w:numId w:val="1"/>
        </w:numPr>
        <w:tabs>
          <w:tab w:pos="360" w:val="left" w:leader="none"/>
        </w:tabs>
        <w:spacing w:line="240" w:lineRule="auto" w:before="100" w:after="0"/>
        <w:ind w:left="120" w:right="223" w:hanging="1"/>
        <w:jc w:val="both"/>
        <w:rPr>
          <w:sz w:val="16"/>
        </w:rPr>
      </w:pPr>
      <w:r>
        <w:rPr>
          <w:b/>
          <w:color w:val="323232"/>
          <w:sz w:val="16"/>
        </w:rPr>
        <w:t>Section</w:t>
      </w:r>
      <w:r>
        <w:rPr>
          <w:b/>
          <w:color w:val="323232"/>
          <w:spacing w:val="-2"/>
          <w:sz w:val="16"/>
        </w:rPr>
        <w:t> </w:t>
      </w:r>
      <w:r>
        <w:rPr>
          <w:b/>
          <w:color w:val="323232"/>
          <w:sz w:val="16"/>
        </w:rPr>
        <w:t>6</w:t>
      </w:r>
      <w:r>
        <w:rPr>
          <w:b/>
          <w:color w:val="323232"/>
          <w:spacing w:val="-1"/>
          <w:sz w:val="16"/>
        </w:rPr>
        <w:t> </w:t>
      </w:r>
      <w:r>
        <w:rPr>
          <w:b/>
          <w:color w:val="323232"/>
          <w:sz w:val="16"/>
        </w:rPr>
        <w:t>-</w:t>
      </w:r>
      <w:r>
        <w:rPr>
          <w:b/>
          <w:color w:val="323232"/>
          <w:spacing w:val="-1"/>
          <w:sz w:val="16"/>
        </w:rPr>
        <w:t> </w:t>
      </w:r>
      <w:r>
        <w:rPr>
          <w:b/>
          <w:color w:val="323232"/>
          <w:sz w:val="16"/>
        </w:rPr>
        <w:t>Severability</w:t>
      </w:r>
      <w:r>
        <w:rPr>
          <w:b/>
          <w:color w:val="323232"/>
          <w:spacing w:val="-3"/>
          <w:sz w:val="16"/>
        </w:rPr>
        <w:t> </w:t>
      </w:r>
      <w:r>
        <w:rPr>
          <w:b/>
          <w:color w:val="323232"/>
          <w:sz w:val="16"/>
        </w:rPr>
        <w:t>Provisions.</w:t>
      </w:r>
      <w:r>
        <w:rPr>
          <w:b/>
          <w:color w:val="323232"/>
          <w:spacing w:val="-5"/>
          <w:sz w:val="16"/>
        </w:rPr>
        <w:t> </w:t>
      </w:r>
      <w:r>
        <w:rPr>
          <w:color w:val="323232"/>
          <w:sz w:val="16"/>
        </w:rPr>
        <w:t>If</w:t>
      </w:r>
      <w:r>
        <w:rPr>
          <w:color w:val="323232"/>
          <w:spacing w:val="-1"/>
          <w:sz w:val="16"/>
        </w:rPr>
        <w:t> </w:t>
      </w:r>
      <w:r>
        <w:rPr>
          <w:color w:val="323232"/>
          <w:sz w:val="16"/>
        </w:rPr>
        <w:t>any</w:t>
      </w:r>
      <w:r>
        <w:rPr>
          <w:color w:val="323232"/>
          <w:spacing w:val="-2"/>
          <w:sz w:val="16"/>
        </w:rPr>
        <w:t> </w:t>
      </w:r>
      <w:r>
        <w:rPr>
          <w:color w:val="323232"/>
          <w:sz w:val="16"/>
        </w:rPr>
        <w:t>term</w:t>
      </w:r>
      <w:r>
        <w:rPr>
          <w:color w:val="323232"/>
          <w:spacing w:val="-1"/>
          <w:sz w:val="16"/>
        </w:rPr>
        <w:t> </w:t>
      </w:r>
      <w:r>
        <w:rPr>
          <w:color w:val="323232"/>
          <w:sz w:val="16"/>
        </w:rPr>
        <w:t>of</w:t>
      </w:r>
      <w:r>
        <w:rPr>
          <w:color w:val="323232"/>
          <w:spacing w:val="-1"/>
          <w:sz w:val="16"/>
        </w:rPr>
        <w:t> </w:t>
      </w:r>
      <w:r>
        <w:rPr>
          <w:color w:val="323232"/>
          <w:sz w:val="16"/>
        </w:rPr>
        <w:t>this</w:t>
      </w:r>
      <w:r>
        <w:rPr>
          <w:color w:val="323232"/>
          <w:spacing w:val="-2"/>
          <w:sz w:val="16"/>
        </w:rPr>
        <w:t> </w:t>
      </w:r>
      <w:r>
        <w:rPr>
          <w:color w:val="323232"/>
          <w:sz w:val="16"/>
        </w:rPr>
        <w:t>Contract</w:t>
      </w:r>
      <w:r>
        <w:rPr>
          <w:color w:val="323232"/>
          <w:spacing w:val="-1"/>
          <w:sz w:val="16"/>
        </w:rPr>
        <w:t> </w:t>
      </w:r>
      <w:r>
        <w:rPr>
          <w:color w:val="323232"/>
          <w:sz w:val="16"/>
        </w:rPr>
        <w:t>is</w:t>
      </w:r>
      <w:r>
        <w:rPr>
          <w:color w:val="323232"/>
          <w:spacing w:val="-1"/>
          <w:sz w:val="16"/>
        </w:rPr>
        <w:t> </w:t>
      </w:r>
      <w:r>
        <w:rPr>
          <w:color w:val="323232"/>
          <w:sz w:val="16"/>
        </w:rPr>
        <w:t>held</w:t>
      </w:r>
      <w:r>
        <w:rPr>
          <w:color w:val="323232"/>
          <w:spacing w:val="-2"/>
          <w:sz w:val="16"/>
        </w:rPr>
        <w:t> </w:t>
      </w:r>
      <w:r>
        <w:rPr>
          <w:color w:val="323232"/>
          <w:sz w:val="16"/>
        </w:rPr>
        <w:t>by</w:t>
      </w:r>
      <w:r>
        <w:rPr>
          <w:color w:val="323232"/>
          <w:spacing w:val="-2"/>
          <w:sz w:val="16"/>
        </w:rPr>
        <w:t> </w:t>
      </w:r>
      <w:r>
        <w:rPr>
          <w:color w:val="323232"/>
          <w:sz w:val="16"/>
        </w:rPr>
        <w:t>a</w:t>
      </w:r>
      <w:r>
        <w:rPr>
          <w:color w:val="323232"/>
          <w:spacing w:val="-1"/>
          <w:sz w:val="16"/>
        </w:rPr>
        <w:t> </w:t>
      </w:r>
      <w:r>
        <w:rPr>
          <w:color w:val="323232"/>
          <w:sz w:val="16"/>
        </w:rPr>
        <w:t>court</w:t>
      </w:r>
      <w:r>
        <w:rPr>
          <w:color w:val="323232"/>
          <w:spacing w:val="-2"/>
          <w:sz w:val="16"/>
        </w:rPr>
        <w:t> </w:t>
      </w:r>
      <w:r>
        <w:rPr>
          <w:color w:val="323232"/>
          <w:sz w:val="16"/>
        </w:rPr>
        <w:t>of</w:t>
      </w:r>
      <w:r>
        <w:rPr>
          <w:color w:val="323232"/>
          <w:spacing w:val="-1"/>
          <w:sz w:val="16"/>
        </w:rPr>
        <w:t> </w:t>
      </w:r>
      <w:r>
        <w:rPr>
          <w:color w:val="323232"/>
          <w:sz w:val="16"/>
        </w:rPr>
        <w:t>competent</w:t>
      </w:r>
      <w:r>
        <w:rPr>
          <w:color w:val="323232"/>
          <w:spacing w:val="-1"/>
          <w:sz w:val="16"/>
        </w:rPr>
        <w:t> </w:t>
      </w:r>
      <w:r>
        <w:rPr>
          <w:color w:val="323232"/>
          <w:sz w:val="16"/>
        </w:rPr>
        <w:t>jurisdiction</w:t>
      </w:r>
      <w:r>
        <w:rPr>
          <w:color w:val="323232"/>
          <w:spacing w:val="-1"/>
          <w:sz w:val="16"/>
        </w:rPr>
        <w:t> </w:t>
      </w:r>
      <w:r>
        <w:rPr>
          <w:color w:val="323232"/>
          <w:sz w:val="16"/>
        </w:rPr>
        <w:t>to</w:t>
      </w:r>
      <w:r>
        <w:rPr>
          <w:color w:val="323232"/>
          <w:spacing w:val="-2"/>
          <w:sz w:val="16"/>
        </w:rPr>
        <w:t> </w:t>
      </w:r>
      <w:r>
        <w:rPr>
          <w:color w:val="323232"/>
          <w:sz w:val="16"/>
        </w:rPr>
        <w:t>be</w:t>
      </w:r>
      <w:r>
        <w:rPr>
          <w:color w:val="323232"/>
          <w:spacing w:val="-1"/>
          <w:sz w:val="16"/>
        </w:rPr>
        <w:t> </w:t>
      </w:r>
      <w:r>
        <w:rPr>
          <w:color w:val="323232"/>
          <w:sz w:val="16"/>
        </w:rPr>
        <w:t>invalid</w:t>
      </w:r>
      <w:r>
        <w:rPr>
          <w:color w:val="323232"/>
          <w:spacing w:val="-1"/>
          <w:sz w:val="16"/>
        </w:rPr>
        <w:t> </w:t>
      </w:r>
      <w:r>
        <w:rPr>
          <w:color w:val="323232"/>
          <w:sz w:val="16"/>
        </w:rPr>
        <w:t>or</w:t>
      </w:r>
      <w:r>
        <w:rPr>
          <w:color w:val="323232"/>
          <w:spacing w:val="-2"/>
          <w:sz w:val="16"/>
        </w:rPr>
        <w:t> </w:t>
      </w:r>
      <w:r>
        <w:rPr>
          <w:color w:val="323232"/>
          <w:sz w:val="16"/>
        </w:rPr>
        <w:t>unenforceable,</w:t>
      </w:r>
      <w:r>
        <w:rPr>
          <w:color w:val="323232"/>
          <w:spacing w:val="-1"/>
          <w:sz w:val="16"/>
        </w:rPr>
        <w:t> </w:t>
      </w:r>
      <w:r>
        <w:rPr>
          <w:color w:val="323232"/>
          <w:sz w:val="16"/>
        </w:rPr>
        <w:t>then</w:t>
      </w:r>
      <w:r>
        <w:rPr>
          <w:color w:val="323232"/>
          <w:spacing w:val="-1"/>
          <w:sz w:val="16"/>
        </w:rPr>
        <w:t> </w:t>
      </w:r>
      <w:r>
        <w:rPr>
          <w:color w:val="323232"/>
          <w:sz w:val="16"/>
        </w:rPr>
        <w:t>this Contract, including all of the remaining terms, will remain in full force and effect as if such invalid or unenforceable term had never been</w:t>
      </w:r>
      <w:r>
        <w:rPr>
          <w:color w:val="323232"/>
          <w:spacing w:val="-25"/>
          <w:sz w:val="16"/>
        </w:rPr>
        <w:t> </w:t>
      </w:r>
      <w:r>
        <w:rPr>
          <w:color w:val="323232"/>
          <w:sz w:val="16"/>
        </w:rPr>
        <w:t>included.</w:t>
      </w:r>
    </w:p>
    <w:sectPr>
      <w:type w:val="continuous"/>
      <w:pgSz w:w="12240" w:h="20160"/>
      <w:pgMar w:top="118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80" w:hanging="178"/>
        <w:jc w:val="left"/>
      </w:pPr>
      <w:rPr>
        <w:rFonts w:hint="default" w:ascii="Arial" w:hAnsi="Arial" w:eastAsia="Arial" w:cs="Arial"/>
        <w:color w:val="323232"/>
        <w:w w:val="99"/>
        <w:sz w:val="16"/>
        <w:szCs w:val="16"/>
      </w:rPr>
    </w:lvl>
    <w:lvl w:ilvl="1">
      <w:start w:val="0"/>
      <w:numFmt w:val="bullet"/>
      <w:lvlText w:val="•"/>
      <w:lvlJc w:val="left"/>
      <w:pPr>
        <w:ind w:left="1534" w:hanging="178"/>
      </w:pPr>
      <w:rPr>
        <w:rFonts w:hint="default"/>
      </w:rPr>
    </w:lvl>
    <w:lvl w:ilvl="2">
      <w:start w:val="0"/>
      <w:numFmt w:val="bullet"/>
      <w:lvlText w:val="•"/>
      <w:lvlJc w:val="left"/>
      <w:pPr>
        <w:ind w:left="2588" w:hanging="178"/>
      </w:pPr>
      <w:rPr>
        <w:rFonts w:hint="default"/>
      </w:rPr>
    </w:lvl>
    <w:lvl w:ilvl="3">
      <w:start w:val="0"/>
      <w:numFmt w:val="bullet"/>
      <w:lvlText w:val="•"/>
      <w:lvlJc w:val="left"/>
      <w:pPr>
        <w:ind w:left="3642" w:hanging="178"/>
      </w:pPr>
      <w:rPr>
        <w:rFonts w:hint="default"/>
      </w:rPr>
    </w:lvl>
    <w:lvl w:ilvl="4">
      <w:start w:val="0"/>
      <w:numFmt w:val="bullet"/>
      <w:lvlText w:val="•"/>
      <w:lvlJc w:val="left"/>
      <w:pPr>
        <w:ind w:left="4696" w:hanging="178"/>
      </w:pPr>
      <w:rPr>
        <w:rFonts w:hint="default"/>
      </w:rPr>
    </w:lvl>
    <w:lvl w:ilvl="5">
      <w:start w:val="0"/>
      <w:numFmt w:val="bullet"/>
      <w:lvlText w:val="•"/>
      <w:lvlJc w:val="left"/>
      <w:pPr>
        <w:ind w:left="5750" w:hanging="178"/>
      </w:pPr>
      <w:rPr>
        <w:rFonts w:hint="default"/>
      </w:rPr>
    </w:lvl>
    <w:lvl w:ilvl="6">
      <w:start w:val="0"/>
      <w:numFmt w:val="bullet"/>
      <w:lvlText w:val="•"/>
      <w:lvlJc w:val="left"/>
      <w:pPr>
        <w:ind w:left="6804" w:hanging="178"/>
      </w:pPr>
      <w:rPr>
        <w:rFonts w:hint="default"/>
      </w:rPr>
    </w:lvl>
    <w:lvl w:ilvl="7">
      <w:start w:val="0"/>
      <w:numFmt w:val="bullet"/>
      <w:lvlText w:val="•"/>
      <w:lvlJc w:val="left"/>
      <w:pPr>
        <w:ind w:left="7858" w:hanging="178"/>
      </w:pPr>
      <w:rPr>
        <w:rFonts w:hint="default"/>
      </w:rPr>
    </w:lvl>
    <w:lvl w:ilvl="8">
      <w:start w:val="0"/>
      <w:numFmt w:val="bullet"/>
      <w:lvlText w:val="•"/>
      <w:lvlJc w:val="left"/>
      <w:pPr>
        <w:ind w:left="8912" w:hanging="178"/>
      </w:pPr>
      <w:rPr>
        <w:rFonts w:hint="default"/>
      </w:rPr>
    </w:lvl>
  </w:abstractNum>
  <w:abstractNum w:abstractNumId="0">
    <w:multiLevelType w:val="hybridMultilevel"/>
    <w:lvl w:ilvl="0">
      <w:start w:val="1"/>
      <w:numFmt w:val="decimal"/>
      <w:lvlText w:val="(%1)"/>
      <w:lvlJc w:val="left"/>
      <w:pPr>
        <w:ind w:left="359" w:hanging="240"/>
        <w:jc w:val="left"/>
      </w:pPr>
      <w:rPr>
        <w:rFonts w:hint="default" w:ascii="Arial" w:hAnsi="Arial" w:eastAsia="Arial" w:cs="Arial"/>
        <w:b/>
        <w:bCs/>
        <w:color w:val="323232"/>
        <w:w w:val="99"/>
        <w:sz w:val="16"/>
        <w:szCs w:val="16"/>
      </w:rPr>
    </w:lvl>
    <w:lvl w:ilvl="1">
      <w:start w:val="1"/>
      <w:numFmt w:val="upperLetter"/>
      <w:lvlText w:val="(%2)"/>
      <w:lvlJc w:val="left"/>
      <w:pPr>
        <w:ind w:left="377" w:hanging="258"/>
        <w:jc w:val="left"/>
      </w:pPr>
      <w:rPr>
        <w:rFonts w:hint="default" w:ascii="Arial" w:hAnsi="Arial" w:eastAsia="Arial" w:cs="Arial"/>
        <w:color w:val="323232"/>
        <w:w w:val="99"/>
        <w:sz w:val="16"/>
        <w:szCs w:val="16"/>
      </w:rPr>
    </w:lvl>
    <w:lvl w:ilvl="2">
      <w:start w:val="1"/>
      <w:numFmt w:val="lowerRoman"/>
      <w:lvlText w:val="(%3)"/>
      <w:lvlJc w:val="left"/>
      <w:pPr>
        <w:ind w:left="306" w:hanging="187"/>
        <w:jc w:val="left"/>
      </w:pPr>
      <w:rPr>
        <w:rFonts w:hint="default" w:ascii="Arial" w:hAnsi="Arial" w:eastAsia="Arial" w:cs="Arial"/>
        <w:color w:val="323232"/>
        <w:spacing w:val="-1"/>
        <w:w w:val="99"/>
        <w:sz w:val="16"/>
        <w:szCs w:val="16"/>
      </w:rPr>
    </w:lvl>
    <w:lvl w:ilvl="3">
      <w:start w:val="0"/>
      <w:numFmt w:val="bullet"/>
      <w:lvlText w:val="•"/>
      <w:lvlJc w:val="left"/>
      <w:pPr>
        <w:ind w:left="380" w:hanging="187"/>
      </w:pPr>
      <w:rPr>
        <w:rFonts w:hint="default"/>
      </w:rPr>
    </w:lvl>
    <w:lvl w:ilvl="4">
      <w:start w:val="0"/>
      <w:numFmt w:val="bullet"/>
      <w:lvlText w:val="•"/>
      <w:lvlJc w:val="left"/>
      <w:pPr>
        <w:ind w:left="1900" w:hanging="187"/>
      </w:pPr>
      <w:rPr>
        <w:rFonts w:hint="default"/>
      </w:rPr>
    </w:lvl>
    <w:lvl w:ilvl="5">
      <w:start w:val="0"/>
      <w:numFmt w:val="bullet"/>
      <w:lvlText w:val="•"/>
      <w:lvlJc w:val="left"/>
      <w:pPr>
        <w:ind w:left="3420" w:hanging="187"/>
      </w:pPr>
      <w:rPr>
        <w:rFonts w:hint="default"/>
      </w:rPr>
    </w:lvl>
    <w:lvl w:ilvl="6">
      <w:start w:val="0"/>
      <w:numFmt w:val="bullet"/>
      <w:lvlText w:val="•"/>
      <w:lvlJc w:val="left"/>
      <w:pPr>
        <w:ind w:left="4940" w:hanging="187"/>
      </w:pPr>
      <w:rPr>
        <w:rFonts w:hint="default"/>
      </w:rPr>
    </w:lvl>
    <w:lvl w:ilvl="7">
      <w:start w:val="0"/>
      <w:numFmt w:val="bullet"/>
      <w:lvlText w:val="•"/>
      <w:lvlJc w:val="left"/>
      <w:pPr>
        <w:ind w:left="6460" w:hanging="187"/>
      </w:pPr>
      <w:rPr>
        <w:rFonts w:hint="default"/>
      </w:rPr>
    </w:lvl>
    <w:lvl w:ilvl="8">
      <w:start w:val="0"/>
      <w:numFmt w:val="bullet"/>
      <w:lvlText w:val="•"/>
      <w:lvlJc w:val="left"/>
      <w:pPr>
        <w:ind w:left="7980" w:hanging="18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0"/>
      <w:ind w:left="120"/>
    </w:pPr>
    <w:rPr>
      <w:rFonts w:ascii="Arial" w:hAnsi="Arial" w:eastAsia="Arial" w:cs="Arial"/>
      <w:sz w:val="16"/>
      <w:szCs w:val="16"/>
    </w:rPr>
  </w:style>
  <w:style w:styleId="Heading1" w:type="paragraph">
    <w:name w:val="Heading 1"/>
    <w:basedOn w:val="Normal"/>
    <w:uiPriority w:val="1"/>
    <w:qFormat/>
    <w:pPr>
      <w:spacing w:before="100"/>
      <w:ind w:left="359" w:hanging="240"/>
      <w:outlineLvl w:val="1"/>
    </w:pPr>
    <w:rPr>
      <w:rFonts w:ascii="Arial" w:hAnsi="Arial" w:eastAsia="Arial" w:cs="Arial"/>
      <w:b/>
      <w:bCs/>
      <w:sz w:val="16"/>
      <w:szCs w:val="16"/>
    </w:rPr>
  </w:style>
  <w:style w:styleId="Title" w:type="paragraph">
    <w:name w:val="Title"/>
    <w:basedOn w:val="Normal"/>
    <w:uiPriority w:val="1"/>
    <w:qFormat/>
    <w:pPr>
      <w:spacing w:before="71"/>
      <w:ind w:left="2959" w:right="2940"/>
      <w:jc w:val="center"/>
    </w:pPr>
    <w:rPr>
      <w:rFonts w:ascii="Arial" w:hAnsi="Arial" w:eastAsia="Arial" w:cs="Arial"/>
      <w:b/>
      <w:bCs/>
      <w:sz w:val="24"/>
      <w:szCs w:val="24"/>
    </w:rPr>
  </w:style>
  <w:style w:styleId="ListParagraph" w:type="paragraph">
    <w:name w:val="List Paragraph"/>
    <w:basedOn w:val="Normal"/>
    <w:uiPriority w:val="1"/>
    <w:qFormat/>
    <w:pPr>
      <w:spacing w:before="100"/>
      <w:ind w:left="1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