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94F6" w14:textId="77777777" w:rsidR="00FB60DE" w:rsidRDefault="00FB60DE">
      <w:pPr>
        <w:pStyle w:val="BodyText"/>
        <w:rPr>
          <w:sz w:val="20"/>
        </w:rPr>
      </w:pPr>
    </w:p>
    <w:p w14:paraId="6D279787" w14:textId="77777777" w:rsidR="00FB60DE" w:rsidRDefault="00FB60DE">
      <w:pPr>
        <w:pStyle w:val="BodyText"/>
        <w:spacing w:before="9"/>
        <w:rPr>
          <w:sz w:val="19"/>
        </w:rPr>
      </w:pPr>
    </w:p>
    <w:p w14:paraId="22ED010B" w14:textId="77777777" w:rsidR="00FB60DE" w:rsidRDefault="00000000">
      <w:pPr>
        <w:tabs>
          <w:tab w:val="left" w:pos="1345"/>
          <w:tab w:val="left" w:pos="2048"/>
          <w:tab w:val="left" w:pos="2497"/>
          <w:tab w:val="left" w:pos="5689"/>
          <w:tab w:val="left" w:pos="5972"/>
          <w:tab w:val="left" w:pos="6931"/>
          <w:tab w:val="left" w:pos="8016"/>
          <w:tab w:val="left" w:pos="8685"/>
          <w:tab w:val="left" w:pos="9838"/>
          <w:tab w:val="left" w:pos="10618"/>
        </w:tabs>
        <w:spacing w:before="91" w:line="252" w:lineRule="exact"/>
        <w:ind w:left="140"/>
      </w:pPr>
      <w:r>
        <w:t>Agreement</w:t>
      </w:r>
      <w:r>
        <w:tab/>
        <w:t>made</w:t>
      </w:r>
      <w:r>
        <w:tab/>
        <w:t>on</w:t>
      </w:r>
      <w:r>
        <w:tab/>
      </w:r>
      <w:r>
        <w:rPr>
          <w:u w:val="single"/>
        </w:rPr>
        <w:t xml:space="preserve"> </w:t>
      </w:r>
      <w:r>
        <w:rPr>
          <w:u w:val="single"/>
        </w:rPr>
        <w:tab/>
      </w:r>
      <w:r>
        <w:t>,</w:t>
      </w:r>
      <w:r>
        <w:tab/>
        <w:t>between</w:t>
      </w:r>
      <w:r>
        <w:tab/>
        <w:t>Savannah</w:t>
      </w:r>
      <w:r>
        <w:tab/>
        <w:t>State</w:t>
      </w:r>
      <w:r>
        <w:tab/>
        <w:t>University</w:t>
      </w:r>
      <w:r>
        <w:tab/>
        <w:t>(SSU)</w:t>
      </w:r>
      <w:r>
        <w:tab/>
        <w:t>and</w:t>
      </w:r>
    </w:p>
    <w:p w14:paraId="794DC528" w14:textId="77777777" w:rsidR="00FB60DE" w:rsidRDefault="00000000">
      <w:pPr>
        <w:tabs>
          <w:tab w:val="left" w:pos="4153"/>
        </w:tabs>
        <w:spacing w:line="252" w:lineRule="exact"/>
        <w:ind w:left="140"/>
      </w:pPr>
      <w:r>
        <w:rPr>
          <w:u w:val="single"/>
        </w:rPr>
        <w:t xml:space="preserve"> </w:t>
      </w:r>
      <w:r>
        <w:rPr>
          <w:u w:val="single"/>
        </w:rPr>
        <w:tab/>
      </w:r>
      <w:r>
        <w:t>(employee),</w:t>
      </w:r>
    </w:p>
    <w:p w14:paraId="37917848" w14:textId="77777777" w:rsidR="00FB60DE" w:rsidRDefault="00FB60DE">
      <w:pPr>
        <w:pStyle w:val="BodyText"/>
        <w:spacing w:before="4"/>
        <w:rPr>
          <w:sz w:val="22"/>
        </w:rPr>
      </w:pPr>
    </w:p>
    <w:p w14:paraId="62C03999" w14:textId="77777777" w:rsidR="00FB60DE" w:rsidRDefault="00000000">
      <w:pPr>
        <w:pStyle w:val="Heading1"/>
        <w:spacing w:line="274" w:lineRule="exact"/>
        <w:ind w:left="140"/>
      </w:pPr>
      <w:r>
        <w:t>Witness:</w:t>
      </w:r>
    </w:p>
    <w:p w14:paraId="036E7B73" w14:textId="77777777" w:rsidR="00FB60DE" w:rsidRDefault="00000000">
      <w:pPr>
        <w:pStyle w:val="BodyText"/>
        <w:tabs>
          <w:tab w:val="left" w:pos="3919"/>
          <w:tab w:val="left" w:pos="4722"/>
          <w:tab w:val="left" w:pos="7768"/>
        </w:tabs>
        <w:ind w:left="140" w:right="137"/>
        <w:jc w:val="both"/>
      </w:pPr>
      <w:proofErr w:type="gramStart"/>
      <w:r>
        <w:t>Whereas  Employee</w:t>
      </w:r>
      <w:proofErr w:type="gramEnd"/>
      <w:r>
        <w:t>,  with  employment</w:t>
      </w:r>
      <w:r>
        <w:rPr>
          <w:spacing w:val="-20"/>
        </w:rPr>
        <w:t xml:space="preserve"> </w:t>
      </w:r>
      <w:r>
        <w:t>date</w:t>
      </w:r>
      <w:r>
        <w:rPr>
          <w:spacing w:val="41"/>
        </w:rPr>
        <w:t xml:space="preserve"> </w:t>
      </w:r>
      <w:r>
        <w:t>effective</w:t>
      </w:r>
      <w:r>
        <w:rPr>
          <w:u w:val="single"/>
        </w:rPr>
        <w:t xml:space="preserve"> </w:t>
      </w:r>
      <w:r>
        <w:rPr>
          <w:u w:val="single"/>
        </w:rPr>
        <w:tab/>
      </w:r>
      <w:r>
        <w:t xml:space="preserve">, is a suitable candidate for </w:t>
      </w:r>
      <w:r>
        <w:rPr>
          <w:spacing w:val="-4"/>
        </w:rPr>
        <w:t xml:space="preserve">the </w:t>
      </w:r>
      <w:r>
        <w:t>position</w:t>
      </w:r>
      <w:r>
        <w:rPr>
          <w:spacing w:val="38"/>
        </w:rPr>
        <w:t xml:space="preserve"> </w:t>
      </w:r>
      <w:r>
        <w:t>of</w:t>
      </w:r>
      <w:r>
        <w:rPr>
          <w:u w:val="single"/>
        </w:rPr>
        <w:t xml:space="preserve"> </w:t>
      </w:r>
      <w:r>
        <w:rPr>
          <w:u w:val="single"/>
        </w:rPr>
        <w:tab/>
      </w:r>
      <w:r>
        <w:rPr>
          <w:u w:val="single"/>
        </w:rPr>
        <w:tab/>
      </w:r>
      <w:r>
        <w:t>and has accepted SSU’s offer of employment in this position effective</w:t>
      </w:r>
      <w:r>
        <w:rPr>
          <w:u w:val="single"/>
        </w:rPr>
        <w:t xml:space="preserve"> </w:t>
      </w:r>
      <w:r>
        <w:rPr>
          <w:u w:val="single"/>
        </w:rPr>
        <w:tab/>
      </w:r>
      <w:r>
        <w:t>; and</w:t>
      </w:r>
    </w:p>
    <w:p w14:paraId="4082AE96" w14:textId="77777777" w:rsidR="00FB60DE" w:rsidRDefault="00FB60DE">
      <w:pPr>
        <w:pStyle w:val="BodyText"/>
        <w:spacing w:before="9"/>
        <w:rPr>
          <w:sz w:val="23"/>
        </w:rPr>
      </w:pPr>
    </w:p>
    <w:p w14:paraId="70709917" w14:textId="77777777" w:rsidR="00FB60DE" w:rsidRDefault="00000000">
      <w:pPr>
        <w:pStyle w:val="BodyText"/>
        <w:tabs>
          <w:tab w:val="left" w:pos="1178"/>
          <w:tab w:val="left" w:pos="1821"/>
          <w:tab w:val="left" w:pos="2370"/>
          <w:tab w:val="left" w:pos="3544"/>
          <w:tab w:val="left" w:pos="5374"/>
          <w:tab w:val="left" w:pos="5763"/>
          <w:tab w:val="left" w:pos="6505"/>
          <w:tab w:val="left" w:pos="7054"/>
          <w:tab w:val="left" w:pos="8014"/>
          <w:tab w:val="left" w:pos="9364"/>
          <w:tab w:val="left" w:pos="10472"/>
        </w:tabs>
        <w:spacing w:before="1"/>
        <w:ind w:left="140"/>
      </w:pPr>
      <w:r>
        <w:t>Whereas</w:t>
      </w:r>
      <w:r>
        <w:tab/>
        <w:t>SSU</w:t>
      </w:r>
      <w:r>
        <w:tab/>
        <w:t>and</w:t>
      </w:r>
      <w:r>
        <w:tab/>
        <w:t>Employee</w:t>
      </w:r>
      <w:r>
        <w:tab/>
        <w:t xml:space="preserve">mutually  </w:t>
      </w:r>
      <w:r>
        <w:rPr>
          <w:spacing w:val="19"/>
        </w:rPr>
        <w:t xml:space="preserve"> </w:t>
      </w:r>
      <w:r>
        <w:t>desire</w:t>
      </w:r>
      <w:r>
        <w:tab/>
        <w:t>to</w:t>
      </w:r>
      <w:r>
        <w:tab/>
        <w:t>move</w:t>
      </w:r>
      <w:r>
        <w:tab/>
        <w:t>and</w:t>
      </w:r>
      <w:r>
        <w:tab/>
        <w:t>relocate</w:t>
      </w:r>
      <w:r>
        <w:tab/>
        <w:t>Employee’s</w:t>
      </w:r>
      <w:r>
        <w:tab/>
        <w:t>residence</w:t>
      </w:r>
      <w:r>
        <w:tab/>
        <w:t>from</w:t>
      </w:r>
    </w:p>
    <w:p w14:paraId="2AADF713" w14:textId="77777777" w:rsidR="00FB60DE" w:rsidRDefault="00000000">
      <w:pPr>
        <w:pStyle w:val="BodyText"/>
        <w:tabs>
          <w:tab w:val="left" w:pos="7339"/>
        </w:tabs>
        <w:ind w:left="140"/>
      </w:pPr>
      <w:r>
        <w:rPr>
          <w:u w:val="single"/>
        </w:rPr>
        <w:t xml:space="preserve"> </w:t>
      </w:r>
      <w:r>
        <w:rPr>
          <w:u w:val="single"/>
        </w:rPr>
        <w:tab/>
      </w:r>
      <w:r>
        <w:t>,</w:t>
      </w:r>
      <w:r>
        <w:rPr>
          <w:spacing w:val="1"/>
        </w:rPr>
        <w:t xml:space="preserve"> </w:t>
      </w:r>
      <w:r>
        <w:t>to</w:t>
      </w:r>
    </w:p>
    <w:p w14:paraId="6EEC6725" w14:textId="77777777" w:rsidR="00FB60DE" w:rsidRDefault="00000000">
      <w:pPr>
        <w:pStyle w:val="BodyText"/>
        <w:tabs>
          <w:tab w:val="left" w:pos="4874"/>
        </w:tabs>
        <w:ind w:left="140" w:right="142"/>
      </w:pPr>
      <w:r>
        <w:rPr>
          <w:u w:val="single"/>
        </w:rPr>
        <w:t xml:space="preserve"> </w:t>
      </w:r>
      <w:r>
        <w:rPr>
          <w:u w:val="single"/>
        </w:rPr>
        <w:tab/>
      </w:r>
      <w:r>
        <w:rPr>
          <w:spacing w:val="-5"/>
        </w:rPr>
        <w:t xml:space="preserve"> </w:t>
      </w:r>
      <w:r>
        <w:t xml:space="preserve">so that Employee’s residence is </w:t>
      </w:r>
      <w:proofErr w:type="gramStart"/>
      <w:r>
        <w:t>in the area of</w:t>
      </w:r>
      <w:proofErr w:type="gramEnd"/>
      <w:r>
        <w:t xml:space="preserve"> Employee’s employment; now, therefore, SSU and Employee agree:</w:t>
      </w:r>
    </w:p>
    <w:p w14:paraId="7E3DEF13" w14:textId="77777777" w:rsidR="00FB60DE" w:rsidRDefault="00FB60DE">
      <w:pPr>
        <w:pStyle w:val="BodyText"/>
        <w:spacing w:before="11"/>
        <w:rPr>
          <w:sz w:val="23"/>
        </w:rPr>
      </w:pPr>
    </w:p>
    <w:p w14:paraId="290996D4" w14:textId="77777777" w:rsidR="00FB60DE" w:rsidRDefault="00000000">
      <w:pPr>
        <w:pStyle w:val="ListParagraph"/>
        <w:numPr>
          <w:ilvl w:val="0"/>
          <w:numId w:val="1"/>
        </w:numPr>
        <w:tabs>
          <w:tab w:val="left" w:pos="861"/>
          <w:tab w:val="left" w:pos="6283"/>
        </w:tabs>
        <w:jc w:val="both"/>
        <w:rPr>
          <w:sz w:val="24"/>
        </w:rPr>
      </w:pPr>
      <w:r>
        <w:rPr>
          <w:sz w:val="24"/>
        </w:rPr>
        <w:t>Effective</w:t>
      </w:r>
      <w:r>
        <w:rPr>
          <w:sz w:val="24"/>
          <w:u w:val="single"/>
        </w:rPr>
        <w:t xml:space="preserve"> </w:t>
      </w:r>
      <w:r>
        <w:rPr>
          <w:sz w:val="24"/>
          <w:u w:val="single"/>
        </w:rPr>
        <w:tab/>
      </w:r>
      <w:r>
        <w:rPr>
          <w:sz w:val="24"/>
        </w:rPr>
        <w:t>, Employee agrees to work on a regular, full- time</w:t>
      </w:r>
      <w:r>
        <w:rPr>
          <w:spacing w:val="16"/>
          <w:sz w:val="24"/>
        </w:rPr>
        <w:t xml:space="preserve"> </w:t>
      </w:r>
      <w:r>
        <w:rPr>
          <w:sz w:val="24"/>
        </w:rPr>
        <w:t>basis</w:t>
      </w:r>
      <w:r>
        <w:rPr>
          <w:spacing w:val="18"/>
          <w:sz w:val="24"/>
        </w:rPr>
        <w:t xml:space="preserve"> </w:t>
      </w:r>
      <w:r>
        <w:rPr>
          <w:sz w:val="24"/>
        </w:rPr>
        <w:t>in</w:t>
      </w:r>
      <w:r>
        <w:rPr>
          <w:spacing w:val="15"/>
          <w:sz w:val="24"/>
        </w:rPr>
        <w:t xml:space="preserve"> </w:t>
      </w:r>
      <w:r>
        <w:rPr>
          <w:sz w:val="24"/>
        </w:rPr>
        <w:t>a</w:t>
      </w:r>
      <w:r>
        <w:rPr>
          <w:spacing w:val="17"/>
          <w:sz w:val="24"/>
        </w:rPr>
        <w:t xml:space="preserve"> </w:t>
      </w:r>
      <w:r>
        <w:rPr>
          <w:sz w:val="24"/>
        </w:rPr>
        <w:t>salaried</w:t>
      </w:r>
      <w:r>
        <w:rPr>
          <w:spacing w:val="16"/>
          <w:sz w:val="24"/>
        </w:rPr>
        <w:t xml:space="preserve"> </w:t>
      </w:r>
      <w:r>
        <w:rPr>
          <w:sz w:val="24"/>
        </w:rPr>
        <w:t>position</w:t>
      </w:r>
      <w:r>
        <w:rPr>
          <w:spacing w:val="15"/>
          <w:sz w:val="24"/>
        </w:rPr>
        <w:t xml:space="preserve"> </w:t>
      </w:r>
      <w:r>
        <w:rPr>
          <w:sz w:val="24"/>
        </w:rPr>
        <w:t>at</w:t>
      </w:r>
      <w:r>
        <w:rPr>
          <w:spacing w:val="17"/>
          <w:sz w:val="24"/>
        </w:rPr>
        <w:t xml:space="preserve"> </w:t>
      </w:r>
      <w:r>
        <w:rPr>
          <w:sz w:val="24"/>
        </w:rPr>
        <w:t>SSU</w:t>
      </w:r>
      <w:r>
        <w:rPr>
          <w:spacing w:val="17"/>
          <w:sz w:val="24"/>
        </w:rPr>
        <w:t xml:space="preserve"> </w:t>
      </w:r>
      <w:r>
        <w:rPr>
          <w:sz w:val="24"/>
        </w:rPr>
        <w:t>for</w:t>
      </w:r>
      <w:r>
        <w:rPr>
          <w:spacing w:val="15"/>
          <w:sz w:val="24"/>
        </w:rPr>
        <w:t xml:space="preserve"> </w:t>
      </w:r>
      <w:r>
        <w:rPr>
          <w:sz w:val="24"/>
        </w:rPr>
        <w:t>at</w:t>
      </w:r>
      <w:r>
        <w:rPr>
          <w:spacing w:val="18"/>
          <w:sz w:val="24"/>
        </w:rPr>
        <w:t xml:space="preserve"> </w:t>
      </w:r>
      <w:r>
        <w:rPr>
          <w:sz w:val="24"/>
        </w:rPr>
        <w:t>least</w:t>
      </w:r>
      <w:r>
        <w:rPr>
          <w:spacing w:val="17"/>
          <w:sz w:val="24"/>
        </w:rPr>
        <w:t xml:space="preserve"> </w:t>
      </w:r>
      <w:r>
        <w:rPr>
          <w:sz w:val="24"/>
        </w:rPr>
        <w:t>one</w:t>
      </w:r>
      <w:r>
        <w:rPr>
          <w:spacing w:val="19"/>
          <w:sz w:val="24"/>
        </w:rPr>
        <w:t xml:space="preserve"> </w:t>
      </w:r>
      <w:r>
        <w:rPr>
          <w:sz w:val="24"/>
        </w:rPr>
        <w:t>year</w:t>
      </w:r>
      <w:r>
        <w:rPr>
          <w:spacing w:val="18"/>
          <w:sz w:val="24"/>
        </w:rPr>
        <w:t xml:space="preserve"> </w:t>
      </w:r>
      <w:r>
        <w:rPr>
          <w:sz w:val="24"/>
        </w:rPr>
        <w:t>beginning</w:t>
      </w:r>
    </w:p>
    <w:p w14:paraId="6FEBFE48" w14:textId="77777777" w:rsidR="00FB60DE" w:rsidRDefault="00000000">
      <w:pPr>
        <w:pStyle w:val="BodyText"/>
        <w:tabs>
          <w:tab w:val="left" w:pos="5355"/>
          <w:tab w:val="left" w:pos="10879"/>
        </w:tabs>
        <w:ind w:left="860" w:right="138"/>
        <w:jc w:val="both"/>
      </w:pPr>
      <w:r>
        <w:rPr>
          <w:u w:val="single"/>
        </w:rPr>
        <w:t xml:space="preserve"> </w:t>
      </w:r>
      <w:r>
        <w:rPr>
          <w:u w:val="single"/>
        </w:rPr>
        <w:tab/>
      </w:r>
      <w:r>
        <w:rPr>
          <w:spacing w:val="11"/>
        </w:rPr>
        <w:t xml:space="preserve"> </w:t>
      </w:r>
      <w:proofErr w:type="gramStart"/>
      <w:r>
        <w:t xml:space="preserve">and </w:t>
      </w:r>
      <w:r>
        <w:rPr>
          <w:spacing w:val="5"/>
        </w:rPr>
        <w:t xml:space="preserve"> </w:t>
      </w:r>
      <w:r>
        <w:t>ending</w:t>
      </w:r>
      <w:proofErr w:type="gramEnd"/>
      <w:r>
        <w:rPr>
          <w:u w:val="single"/>
        </w:rPr>
        <w:t xml:space="preserve"> </w:t>
      </w:r>
      <w:r>
        <w:rPr>
          <w:u w:val="single"/>
        </w:rPr>
        <w:tab/>
      </w:r>
      <w:r>
        <w:rPr>
          <w:spacing w:val="-17"/>
        </w:rPr>
        <w:t xml:space="preserve">. </w:t>
      </w:r>
      <w:r>
        <w:t>One year is defined as twelve (12)</w:t>
      </w:r>
      <w:r>
        <w:rPr>
          <w:spacing w:val="4"/>
        </w:rPr>
        <w:t xml:space="preserve"> </w:t>
      </w:r>
      <w:r>
        <w:t>months.</w:t>
      </w:r>
    </w:p>
    <w:p w14:paraId="4B8703FF" w14:textId="77777777" w:rsidR="00FB60DE" w:rsidRDefault="00FB60DE">
      <w:pPr>
        <w:pStyle w:val="BodyText"/>
      </w:pPr>
    </w:p>
    <w:p w14:paraId="15B12096" w14:textId="77777777" w:rsidR="00FB60DE" w:rsidRDefault="00000000">
      <w:pPr>
        <w:pStyle w:val="ListParagraph"/>
        <w:numPr>
          <w:ilvl w:val="0"/>
          <w:numId w:val="1"/>
        </w:numPr>
        <w:tabs>
          <w:tab w:val="left" w:pos="861"/>
        </w:tabs>
        <w:spacing w:before="1"/>
        <w:ind w:right="0"/>
        <w:jc w:val="both"/>
        <w:rPr>
          <w:sz w:val="24"/>
        </w:rPr>
      </w:pPr>
      <w:r>
        <w:rPr>
          <w:sz w:val="24"/>
        </w:rPr>
        <w:t>SSU agrees to reimburse or pay on behalf of Employee an amount not to</w:t>
      </w:r>
      <w:r>
        <w:rPr>
          <w:spacing w:val="17"/>
          <w:sz w:val="24"/>
        </w:rPr>
        <w:t xml:space="preserve"> </w:t>
      </w:r>
      <w:r>
        <w:rPr>
          <w:sz w:val="24"/>
        </w:rPr>
        <w:t>exceed</w:t>
      </w:r>
    </w:p>
    <w:p w14:paraId="473BD0E4" w14:textId="77777777" w:rsidR="00FB60DE" w:rsidRDefault="00000000">
      <w:pPr>
        <w:pStyle w:val="BodyText"/>
        <w:tabs>
          <w:tab w:val="left" w:pos="3795"/>
        </w:tabs>
        <w:ind w:left="860" w:right="134"/>
        <w:jc w:val="both"/>
      </w:pPr>
      <w:r>
        <w:t>$</w:t>
      </w:r>
      <w:r>
        <w:rPr>
          <w:u w:val="single"/>
        </w:rPr>
        <w:t xml:space="preserve"> </w:t>
      </w:r>
      <w:r>
        <w:rPr>
          <w:u w:val="single"/>
        </w:rPr>
        <w:tab/>
      </w:r>
      <w:r>
        <w:t>(as stated in the Original Written Offer and not to exceed $5,000) for personal moving and relocation expenses incurred for relocation. This amount includes payments made on behalf of Employee by SSU to third-party companies and providers. Employee agrees to provide original receipts for all reimbursement claims. In accordance with IRS guidelines, receipts must be submitted within sixty (60) days of completion of the move to be considered as qualified, nontaxable moving expenses. Expenses submitted for reimbursement after sixty (60) days will be considered taxable income, and SSU will not be liable to reimburse any expenditures submitted after ninety (90) days of completion of the move. Employee agrees that only those personal moving and relocation expenses incurred after the date of execution of this agreement can be submitted for payment or reimbursement.</w:t>
      </w:r>
    </w:p>
    <w:p w14:paraId="5CC98FB8" w14:textId="77777777" w:rsidR="00FB60DE" w:rsidRDefault="00FB60DE">
      <w:pPr>
        <w:pStyle w:val="BodyText"/>
      </w:pPr>
    </w:p>
    <w:p w14:paraId="3B9B7E54" w14:textId="77777777" w:rsidR="00FB60DE" w:rsidRDefault="00000000">
      <w:pPr>
        <w:pStyle w:val="ListParagraph"/>
        <w:numPr>
          <w:ilvl w:val="0"/>
          <w:numId w:val="1"/>
        </w:numPr>
        <w:tabs>
          <w:tab w:val="left" w:pos="861"/>
        </w:tabs>
        <w:spacing w:before="1"/>
        <w:ind w:right="132"/>
        <w:jc w:val="both"/>
        <w:rPr>
          <w:sz w:val="24"/>
        </w:rPr>
      </w:pPr>
      <w:r>
        <w:rPr>
          <w:sz w:val="24"/>
        </w:rPr>
        <w:t>Applicable federal and state laws require “nonqualified, taxable” reimbursements to relocated employees to be included in the employee’s gross income and “qualified, non-taxable” relocation expenses to be excluded. Based on the passage of the 1993 Revenue Reconciliation Act, qualified, non- taxable moving expenses are defined as the reasonable costs of 1) moving household goods and personal effects from the former residence to the new residence (including common carrier and storage for up to thirty days), and 2) Traveling (including lodging during the period of travel) from the former residence to the new residence. Qualified moving expenses DO NOT include any expenses for meals. All other reimbursements are considered nonqualified and are taxable to the employee. Any amounts which are considered nonqualified will be reported as income to the Internal Revenue</w:t>
      </w:r>
      <w:r>
        <w:rPr>
          <w:spacing w:val="-1"/>
          <w:sz w:val="24"/>
        </w:rPr>
        <w:t xml:space="preserve"> </w:t>
      </w:r>
      <w:r>
        <w:rPr>
          <w:sz w:val="24"/>
        </w:rPr>
        <w:t>Service.</w:t>
      </w:r>
    </w:p>
    <w:p w14:paraId="574A395A" w14:textId="77777777" w:rsidR="00FB60DE" w:rsidRDefault="00FB60DE">
      <w:pPr>
        <w:pStyle w:val="BodyText"/>
      </w:pPr>
    </w:p>
    <w:p w14:paraId="55870D8E" w14:textId="77777777" w:rsidR="00FB60DE" w:rsidRDefault="00000000">
      <w:pPr>
        <w:pStyle w:val="ListParagraph"/>
        <w:numPr>
          <w:ilvl w:val="0"/>
          <w:numId w:val="1"/>
        </w:numPr>
        <w:tabs>
          <w:tab w:val="left" w:pos="861"/>
        </w:tabs>
        <w:ind w:right="144"/>
        <w:jc w:val="both"/>
        <w:rPr>
          <w:sz w:val="24"/>
        </w:rPr>
      </w:pPr>
      <w:r>
        <w:rPr>
          <w:sz w:val="24"/>
        </w:rPr>
        <w:t>Employee’s failure to remain employed at SSU for the applicable period in Section 1 will constitute a violation of the agreement. In the event of such violation, Employee will be liable to SSU for all or a pro-rated portion of the gross (pre-tax) relocation and moving expenses which SSU has paid to or</w:t>
      </w:r>
      <w:r>
        <w:rPr>
          <w:spacing w:val="32"/>
          <w:sz w:val="24"/>
        </w:rPr>
        <w:t xml:space="preserve"> </w:t>
      </w:r>
      <w:r>
        <w:rPr>
          <w:sz w:val="24"/>
        </w:rPr>
        <w:t>on</w:t>
      </w:r>
    </w:p>
    <w:p w14:paraId="391FF4F3" w14:textId="77777777" w:rsidR="00FB60DE" w:rsidRDefault="00FB60DE">
      <w:pPr>
        <w:jc w:val="both"/>
        <w:rPr>
          <w:sz w:val="24"/>
        </w:rPr>
        <w:sectPr w:rsidR="00FB60DE">
          <w:headerReference w:type="default" r:id="rId7"/>
          <w:footerReference w:type="default" r:id="rId8"/>
          <w:type w:val="continuous"/>
          <w:pgSz w:w="12240" w:h="15840"/>
          <w:pgMar w:top="2140" w:right="580" w:bottom="1200" w:left="580" w:header="720" w:footer="1018" w:gutter="0"/>
          <w:pgNumType w:start="1"/>
          <w:cols w:space="720"/>
        </w:sectPr>
      </w:pPr>
    </w:p>
    <w:p w14:paraId="1A04EB7E" w14:textId="77777777" w:rsidR="00FB60DE" w:rsidRDefault="00FB60DE">
      <w:pPr>
        <w:pStyle w:val="BodyText"/>
        <w:spacing w:before="8"/>
        <w:rPr>
          <w:sz w:val="15"/>
        </w:rPr>
      </w:pPr>
    </w:p>
    <w:p w14:paraId="49CAF2C0" w14:textId="77777777" w:rsidR="00FB60DE" w:rsidRDefault="00000000">
      <w:pPr>
        <w:pStyle w:val="BodyText"/>
        <w:spacing w:before="90"/>
        <w:ind w:left="860"/>
      </w:pPr>
      <w:r>
        <w:t>behalf of the Employee. Any tax impact, if applicable to the original payment or reimbursement, will be reversed upon receipt of repayment from the employee.</w:t>
      </w:r>
    </w:p>
    <w:p w14:paraId="09CF8F83" w14:textId="77777777" w:rsidR="00FB60DE" w:rsidRDefault="00FB60DE">
      <w:pPr>
        <w:pStyle w:val="BodyText"/>
      </w:pPr>
    </w:p>
    <w:p w14:paraId="7AC14D4F" w14:textId="77777777" w:rsidR="00FB60DE" w:rsidRDefault="00000000">
      <w:pPr>
        <w:pStyle w:val="ListParagraph"/>
        <w:numPr>
          <w:ilvl w:val="0"/>
          <w:numId w:val="1"/>
        </w:numPr>
        <w:tabs>
          <w:tab w:val="left" w:pos="861"/>
        </w:tabs>
        <w:spacing w:before="1"/>
        <w:jc w:val="both"/>
        <w:rPr>
          <w:sz w:val="24"/>
        </w:rPr>
      </w:pPr>
      <w:r>
        <w:rPr>
          <w:sz w:val="24"/>
        </w:rPr>
        <w:t>Employee hereby gives SSU an express lien on all salaries, wages, and other sums payable to him/her by SSU, for the purpose of securing all amounts due under Section 4 above, and Employee authorizes SSU to withhold all amounts so due from the sum payable to Employee by SSU. Employee waives all exemptions, which may apply to any amounts so due. Employee agrees to pay to SSU upon request any amount</w:t>
      </w:r>
      <w:r>
        <w:rPr>
          <w:spacing w:val="6"/>
          <w:sz w:val="24"/>
        </w:rPr>
        <w:t xml:space="preserve"> </w:t>
      </w:r>
      <w:r>
        <w:rPr>
          <w:sz w:val="24"/>
        </w:rPr>
        <w:t>which</w:t>
      </w:r>
      <w:r>
        <w:rPr>
          <w:spacing w:val="5"/>
          <w:sz w:val="24"/>
        </w:rPr>
        <w:t xml:space="preserve"> </w:t>
      </w:r>
      <w:r>
        <w:rPr>
          <w:sz w:val="24"/>
        </w:rPr>
        <w:t>is</w:t>
      </w:r>
      <w:r>
        <w:rPr>
          <w:spacing w:val="6"/>
          <w:sz w:val="24"/>
        </w:rPr>
        <w:t xml:space="preserve"> </w:t>
      </w:r>
      <w:r>
        <w:rPr>
          <w:sz w:val="24"/>
        </w:rPr>
        <w:t>not</w:t>
      </w:r>
      <w:r>
        <w:rPr>
          <w:spacing w:val="4"/>
          <w:sz w:val="24"/>
        </w:rPr>
        <w:t xml:space="preserve"> </w:t>
      </w:r>
      <w:r>
        <w:rPr>
          <w:sz w:val="24"/>
        </w:rPr>
        <w:t>so</w:t>
      </w:r>
      <w:r>
        <w:rPr>
          <w:spacing w:val="7"/>
          <w:sz w:val="24"/>
        </w:rPr>
        <w:t xml:space="preserve"> </w:t>
      </w:r>
      <w:r>
        <w:rPr>
          <w:sz w:val="24"/>
        </w:rPr>
        <w:t>deducted.</w:t>
      </w:r>
      <w:r>
        <w:rPr>
          <w:spacing w:val="13"/>
          <w:sz w:val="24"/>
        </w:rPr>
        <w:t xml:space="preserve"> </w:t>
      </w:r>
      <w:r>
        <w:rPr>
          <w:sz w:val="24"/>
        </w:rPr>
        <w:t>In</w:t>
      </w:r>
      <w:r>
        <w:rPr>
          <w:spacing w:val="5"/>
          <w:sz w:val="24"/>
        </w:rPr>
        <w:t xml:space="preserve"> </w:t>
      </w:r>
      <w:r>
        <w:rPr>
          <w:sz w:val="24"/>
        </w:rPr>
        <w:t>the</w:t>
      </w:r>
      <w:r>
        <w:rPr>
          <w:spacing w:val="5"/>
          <w:sz w:val="24"/>
        </w:rPr>
        <w:t xml:space="preserve"> </w:t>
      </w:r>
      <w:r>
        <w:rPr>
          <w:sz w:val="24"/>
        </w:rPr>
        <w:t>event</w:t>
      </w:r>
      <w:r>
        <w:rPr>
          <w:spacing w:val="7"/>
          <w:sz w:val="24"/>
        </w:rPr>
        <w:t xml:space="preserve"> </w:t>
      </w:r>
      <w:r>
        <w:rPr>
          <w:sz w:val="24"/>
        </w:rPr>
        <w:t>Employee</w:t>
      </w:r>
      <w:r>
        <w:rPr>
          <w:spacing w:val="5"/>
          <w:sz w:val="24"/>
        </w:rPr>
        <w:t xml:space="preserve"> </w:t>
      </w:r>
      <w:r>
        <w:rPr>
          <w:sz w:val="24"/>
        </w:rPr>
        <w:t>fails</w:t>
      </w:r>
      <w:r>
        <w:rPr>
          <w:spacing w:val="6"/>
          <w:sz w:val="24"/>
        </w:rPr>
        <w:t xml:space="preserve"> </w:t>
      </w:r>
      <w:r>
        <w:rPr>
          <w:sz w:val="24"/>
        </w:rPr>
        <w:t>to</w:t>
      </w:r>
      <w:r>
        <w:rPr>
          <w:spacing w:val="6"/>
          <w:sz w:val="24"/>
        </w:rPr>
        <w:t xml:space="preserve"> </w:t>
      </w:r>
      <w:r>
        <w:rPr>
          <w:sz w:val="24"/>
        </w:rPr>
        <w:t>pay</w:t>
      </w:r>
      <w:r>
        <w:rPr>
          <w:spacing w:val="1"/>
          <w:sz w:val="24"/>
        </w:rPr>
        <w:t xml:space="preserve"> </w:t>
      </w:r>
      <w:r>
        <w:rPr>
          <w:sz w:val="24"/>
        </w:rPr>
        <w:t>all</w:t>
      </w:r>
      <w:r>
        <w:rPr>
          <w:spacing w:val="7"/>
          <w:sz w:val="24"/>
        </w:rPr>
        <w:t xml:space="preserve"> </w:t>
      </w:r>
      <w:r>
        <w:rPr>
          <w:sz w:val="24"/>
        </w:rPr>
        <w:t>amounts</w:t>
      </w:r>
      <w:r>
        <w:rPr>
          <w:spacing w:val="6"/>
          <w:sz w:val="24"/>
        </w:rPr>
        <w:t xml:space="preserve"> </w:t>
      </w:r>
      <w:r>
        <w:rPr>
          <w:sz w:val="24"/>
        </w:rPr>
        <w:t>due</w:t>
      </w:r>
      <w:r>
        <w:rPr>
          <w:spacing w:val="5"/>
          <w:sz w:val="24"/>
        </w:rPr>
        <w:t xml:space="preserve"> </w:t>
      </w:r>
      <w:r>
        <w:rPr>
          <w:sz w:val="24"/>
        </w:rPr>
        <w:t>SSU</w:t>
      </w:r>
      <w:r>
        <w:rPr>
          <w:spacing w:val="5"/>
          <w:sz w:val="24"/>
        </w:rPr>
        <w:t xml:space="preserve"> </w:t>
      </w:r>
      <w:r>
        <w:rPr>
          <w:sz w:val="24"/>
        </w:rPr>
        <w:t>within</w:t>
      </w:r>
      <w:r>
        <w:rPr>
          <w:spacing w:val="4"/>
          <w:sz w:val="24"/>
        </w:rPr>
        <w:t xml:space="preserve"> </w:t>
      </w:r>
      <w:r>
        <w:rPr>
          <w:sz w:val="24"/>
        </w:rPr>
        <w:t>thirty</w:t>
      </w:r>
    </w:p>
    <w:p w14:paraId="64BFBCCB" w14:textId="77777777" w:rsidR="00FB60DE" w:rsidRDefault="00000000">
      <w:pPr>
        <w:pStyle w:val="BodyText"/>
        <w:ind w:left="860" w:right="144"/>
        <w:jc w:val="both"/>
      </w:pPr>
      <w:r>
        <w:t>(30) days of SSU’s request, Employee acknowledges and agrees that SSU may undertake collection efforts including but not limited to referral to a collection agency. Employee agrees to pay all the collection costs, including attorney fees and other charges necessary for the collection of any amount still due SSU</w:t>
      </w:r>
      <w:r>
        <w:rPr>
          <w:spacing w:val="-2"/>
        </w:rPr>
        <w:t xml:space="preserve"> </w:t>
      </w:r>
      <w:r>
        <w:t>hereunder.</w:t>
      </w:r>
    </w:p>
    <w:p w14:paraId="2ABAA392" w14:textId="77777777" w:rsidR="00FB60DE" w:rsidRDefault="00FB60DE">
      <w:pPr>
        <w:pStyle w:val="BodyText"/>
      </w:pPr>
    </w:p>
    <w:p w14:paraId="5521DA20" w14:textId="77777777" w:rsidR="00FB60DE" w:rsidRDefault="00000000">
      <w:pPr>
        <w:pStyle w:val="ListParagraph"/>
        <w:numPr>
          <w:ilvl w:val="0"/>
          <w:numId w:val="1"/>
        </w:numPr>
        <w:tabs>
          <w:tab w:val="left" w:pos="861"/>
        </w:tabs>
        <w:ind w:right="136"/>
        <w:jc w:val="both"/>
      </w:pPr>
      <w:r>
        <w:rPr>
          <w:sz w:val="24"/>
        </w:rPr>
        <w:t xml:space="preserve">If Employee fails to remain employed as indicated in Section 1 above for reasons beyond his/her control considered sufficient by SSU, all or part of the liability under Section 4 may be waived. </w:t>
      </w:r>
      <w:r>
        <w:t>Any such waiver must provide documentation regarding the reasons why the employee is leaving and a recommendation to waive the liability signed by both the hiring department manager and the related Vice President. The waiver must be approved in writing by the President and submitted to the Comptroller’s office, Accounts Receivable, BEFORE the employee has left the institution and collection efforts are</w:t>
      </w:r>
      <w:r>
        <w:rPr>
          <w:spacing w:val="-9"/>
        </w:rPr>
        <w:t xml:space="preserve"> </w:t>
      </w:r>
      <w:r>
        <w:t>underway.</w:t>
      </w:r>
    </w:p>
    <w:p w14:paraId="0EB9DF69" w14:textId="77777777" w:rsidR="00FB60DE" w:rsidRDefault="00FB60DE">
      <w:pPr>
        <w:pStyle w:val="BodyText"/>
        <w:spacing w:before="4"/>
      </w:pPr>
    </w:p>
    <w:p w14:paraId="0BBC7433" w14:textId="77777777" w:rsidR="00FB60DE" w:rsidRDefault="00000000">
      <w:pPr>
        <w:pStyle w:val="ListParagraph"/>
        <w:numPr>
          <w:ilvl w:val="0"/>
          <w:numId w:val="1"/>
        </w:numPr>
        <w:tabs>
          <w:tab w:val="left" w:pos="861"/>
        </w:tabs>
        <w:spacing w:line="237" w:lineRule="auto"/>
        <w:ind w:right="143"/>
        <w:jc w:val="both"/>
      </w:pPr>
      <w:r>
        <w:t xml:space="preserve">SSU </w:t>
      </w:r>
      <w:r>
        <w:rPr>
          <w:u w:val="single"/>
        </w:rPr>
        <w:t>will not reimburse</w:t>
      </w:r>
      <w:r>
        <w:t xml:space="preserve"> employees, nor make payments to third party movers on employees’ behalf, for moving and relocation expenses that </w:t>
      </w:r>
      <w:r>
        <w:rPr>
          <w:b/>
          <w:i/>
        </w:rPr>
        <w:t>have already been reimbursed or are pending reimbursement by another</w:t>
      </w:r>
      <w:r>
        <w:rPr>
          <w:b/>
          <w:i/>
          <w:spacing w:val="-17"/>
        </w:rPr>
        <w:t xml:space="preserve"> </w:t>
      </w:r>
      <w:r>
        <w:rPr>
          <w:b/>
          <w:i/>
        </w:rPr>
        <w:t>entity</w:t>
      </w:r>
      <w:r>
        <w:t>.</w:t>
      </w:r>
    </w:p>
    <w:p w14:paraId="57C26CB7" w14:textId="77777777" w:rsidR="00FB60DE" w:rsidRDefault="00FB60DE">
      <w:pPr>
        <w:pStyle w:val="BodyText"/>
        <w:spacing w:before="4"/>
      </w:pPr>
    </w:p>
    <w:p w14:paraId="58D19E6B" w14:textId="77777777" w:rsidR="00FB60DE" w:rsidRDefault="00000000">
      <w:pPr>
        <w:pStyle w:val="ListParagraph"/>
        <w:numPr>
          <w:ilvl w:val="0"/>
          <w:numId w:val="1"/>
        </w:numPr>
        <w:tabs>
          <w:tab w:val="left" w:pos="861"/>
        </w:tabs>
        <w:spacing w:line="235" w:lineRule="auto"/>
        <w:ind w:right="141"/>
        <w:jc w:val="both"/>
      </w:pPr>
      <w:r>
        <w:t xml:space="preserve">SSU shall have no responsibility or legal liability for goods damaged </w:t>
      </w:r>
      <w:proofErr w:type="gramStart"/>
      <w:r>
        <w:t>as a result of</w:t>
      </w:r>
      <w:proofErr w:type="gramEnd"/>
      <w:r>
        <w:t xml:space="preserve"> the relocation. Employee must make any claim for damage to household goods in transit directly to the moving company or other third</w:t>
      </w:r>
      <w:r>
        <w:rPr>
          <w:spacing w:val="-34"/>
        </w:rPr>
        <w:t xml:space="preserve"> </w:t>
      </w:r>
      <w:r>
        <w:t>party.</w:t>
      </w:r>
    </w:p>
    <w:p w14:paraId="7CB744F6" w14:textId="77777777" w:rsidR="00FB60DE" w:rsidRDefault="00FB60DE">
      <w:pPr>
        <w:pStyle w:val="BodyText"/>
        <w:rPr>
          <w:sz w:val="20"/>
        </w:rPr>
      </w:pPr>
    </w:p>
    <w:p w14:paraId="1DDD8642" w14:textId="77777777" w:rsidR="00FB60DE" w:rsidRDefault="00000000">
      <w:pPr>
        <w:pStyle w:val="BodyText"/>
        <w:spacing w:before="8"/>
        <w:rPr>
          <w:sz w:val="18"/>
        </w:rPr>
      </w:pPr>
      <w:r>
        <w:pict w14:anchorId="2C832C35">
          <v:group id="_x0000_s2061" style="position:absolute;margin-left:100.2pt;margin-top:12.7pt;width:198.15pt;height:1.2pt;z-index:-15728640;mso-wrap-distance-left:0;mso-wrap-distance-right:0;mso-position-horizontal-relative:page" coordorigin="2004,254" coordsize="3963,24">
            <v:line id="_x0000_s2063" style="position:absolute" from="2004,273" to="5967,273" strokeweight=".15578mm"/>
            <v:rect id="_x0000_s2062" style="position:absolute;left:2004;top:254;width:3961;height:10" fillcolor="black" stroked="f"/>
            <w10:wrap type="topAndBottom" anchorx="page"/>
          </v:group>
        </w:pict>
      </w:r>
      <w:r>
        <w:pict w14:anchorId="3F43B184">
          <v:group id="_x0000_s2058" style="position:absolute;margin-left:352.25pt;margin-top:12.7pt;width:159.6pt;height:1.2pt;z-index:-15728128;mso-wrap-distance-left:0;mso-wrap-distance-right:0;mso-position-horizontal-relative:page" coordorigin="7045,254" coordsize="3192,24">
            <v:line id="_x0000_s2060" style="position:absolute" from="7045,273" to="10237,273" strokeweight=".15578mm"/>
            <v:rect id="_x0000_s2059" style="position:absolute;left:7045;top:254;width:3190;height:10" fillcolor="black" stroked="f"/>
            <w10:wrap type="topAndBottom" anchorx="page"/>
          </v:group>
        </w:pict>
      </w:r>
    </w:p>
    <w:p w14:paraId="5674533D" w14:textId="77777777" w:rsidR="00FB60DE" w:rsidRDefault="00000000">
      <w:pPr>
        <w:tabs>
          <w:tab w:val="left" w:pos="5042"/>
        </w:tabs>
        <w:spacing w:before="96"/>
        <w:ind w:left="1"/>
        <w:jc w:val="center"/>
      </w:pPr>
      <w:r>
        <w:t>Employee Signature</w:t>
      </w:r>
      <w:r>
        <w:rPr>
          <w:spacing w:val="-2"/>
        </w:rPr>
        <w:t xml:space="preserve"> </w:t>
      </w:r>
      <w:r>
        <w:t>and</w:t>
      </w:r>
      <w:r>
        <w:rPr>
          <w:spacing w:val="-1"/>
        </w:rPr>
        <w:t xml:space="preserve"> </w:t>
      </w:r>
      <w:r>
        <w:t>Date</w:t>
      </w:r>
      <w:r>
        <w:tab/>
        <w:t>Dean, Dept. Head Signature and</w:t>
      </w:r>
      <w:r>
        <w:rPr>
          <w:spacing w:val="-11"/>
        </w:rPr>
        <w:t xml:space="preserve"> </w:t>
      </w:r>
      <w:r>
        <w:t>Date</w:t>
      </w:r>
    </w:p>
    <w:p w14:paraId="47AA2D04" w14:textId="77777777" w:rsidR="00FB60DE" w:rsidRDefault="00000000">
      <w:pPr>
        <w:pStyle w:val="BodyText"/>
        <w:spacing w:before="10"/>
        <w:rPr>
          <w:sz w:val="28"/>
        </w:rPr>
      </w:pPr>
      <w:r>
        <w:pict w14:anchorId="22FDDAA3">
          <v:shape id="_x0000_s2057" style="position:absolute;margin-left:100.2pt;margin-top:18.8pt;width:198.15pt;height:.1pt;z-index:-15727616;mso-wrap-distance-left:0;mso-wrap-distance-right:0;mso-position-horizontal-relative:page" coordorigin="2004,376" coordsize="3963,0" path="m2004,376r3963,e" filled="f" strokeweight=".15578mm">
            <v:path arrowok="t"/>
            <w10:wrap type="topAndBottom" anchorx="page"/>
          </v:shape>
        </w:pict>
      </w:r>
      <w:r>
        <w:pict w14:anchorId="7FB97634">
          <v:shape id="_x0000_s2056" style="position:absolute;margin-left:352.25pt;margin-top:18.8pt;width:159.6pt;height:.1pt;z-index:-15727104;mso-wrap-distance-left:0;mso-wrap-distance-right:0;mso-position-horizontal-relative:page" coordorigin="7045,376" coordsize="3192,0" path="m7045,376r3192,e" filled="f" strokeweight=".15578mm">
            <v:path arrowok="t"/>
            <w10:wrap type="topAndBottom" anchorx="page"/>
          </v:shape>
        </w:pict>
      </w:r>
    </w:p>
    <w:p w14:paraId="668DD4D5" w14:textId="77777777" w:rsidR="00FB60DE" w:rsidRDefault="00000000">
      <w:pPr>
        <w:tabs>
          <w:tab w:val="left" w:pos="5040"/>
        </w:tabs>
        <w:spacing w:before="96"/>
        <w:jc w:val="center"/>
      </w:pPr>
      <w:r>
        <w:t>Employee</w:t>
      </w:r>
      <w:r>
        <w:rPr>
          <w:spacing w:val="-2"/>
        </w:rPr>
        <w:t xml:space="preserve"> </w:t>
      </w:r>
      <w:r>
        <w:t>PRINTED</w:t>
      </w:r>
      <w:r>
        <w:rPr>
          <w:spacing w:val="-4"/>
        </w:rPr>
        <w:t xml:space="preserve"> </w:t>
      </w:r>
      <w:r>
        <w:t>NAME</w:t>
      </w:r>
      <w:r>
        <w:tab/>
      </w:r>
      <w:proofErr w:type="gramStart"/>
      <w:r>
        <w:t>Dean,</w:t>
      </w:r>
      <w:proofErr w:type="gramEnd"/>
      <w:r>
        <w:t xml:space="preserve"> Dept. Head PRINTED</w:t>
      </w:r>
      <w:r>
        <w:rPr>
          <w:spacing w:val="-13"/>
        </w:rPr>
        <w:t xml:space="preserve"> </w:t>
      </w:r>
      <w:r>
        <w:t>NAME</w:t>
      </w:r>
    </w:p>
    <w:p w14:paraId="6A2ADC2C" w14:textId="77777777" w:rsidR="00FB60DE" w:rsidRDefault="00000000">
      <w:pPr>
        <w:pStyle w:val="BodyText"/>
        <w:spacing w:before="7"/>
        <w:rPr>
          <w:sz w:val="29"/>
        </w:rPr>
      </w:pPr>
      <w:r>
        <w:pict w14:anchorId="08F8A4AD">
          <v:shape id="_x0000_s2055" style="position:absolute;margin-left:2in;margin-top:37.75pt;width:110.2pt;height:.1pt;z-index:-15726592;mso-wrap-distance-left:0;mso-wrap-distance-right:0;mso-position-horizontal-relative:page" coordorigin="2880,755" coordsize="2204,0" path="m2880,755r2204,e" filled="f" strokeweight=".15578mm">
            <v:path arrowok="t"/>
            <w10:wrap type="topAndBottom" anchorx="page"/>
          </v:shape>
        </w:pict>
      </w:r>
      <w:r>
        <w:pict w14:anchorId="45D23705">
          <v:shape id="_x0000_s2054" style="position:absolute;margin-left:288.05pt;margin-top:37.75pt;width:104.65pt;height:.1pt;z-index:-15726080;mso-wrap-distance-left:0;mso-wrap-distance-right:0;mso-position-horizontal-relative:page" coordorigin="5761,755" coordsize="2093,0" path="m5761,755r2093,e" filled="f" strokeweight=".15578mm">
            <v:path arrowok="t"/>
            <w10:wrap type="topAndBottom" anchorx="page"/>
          </v:shape>
        </w:pict>
      </w:r>
      <w:r>
        <w:pict w14:anchorId="2C95A12C">
          <v:rect id="_x0000_s2053" style="position:absolute;margin-left:441.75pt;margin-top:19.4pt;width:31.5pt;height:21pt;z-index:-15725568;mso-wrap-distance-left:0;mso-wrap-distance-right:0;mso-position-horizontal-relative:page" filled="f">
            <w10:wrap type="topAndBottom" anchorx="page"/>
          </v:rect>
        </w:pict>
      </w:r>
    </w:p>
    <w:p w14:paraId="094D7A4D" w14:textId="77777777" w:rsidR="00FB60DE" w:rsidRDefault="00000000">
      <w:pPr>
        <w:tabs>
          <w:tab w:val="left" w:pos="5180"/>
          <w:tab w:val="left" w:pos="8282"/>
        </w:tabs>
        <w:spacing w:before="43" w:line="360" w:lineRule="auto"/>
        <w:ind w:left="8210" w:right="1724" w:hanging="5911"/>
      </w:pPr>
      <w:r>
        <w:t>HIRE</w:t>
      </w:r>
      <w:r>
        <w:rPr>
          <w:spacing w:val="-1"/>
        </w:rPr>
        <w:t xml:space="preserve"> </w:t>
      </w:r>
      <w:r>
        <w:t>DATE</w:t>
      </w:r>
      <w:r>
        <w:tab/>
        <w:t>DEPT/FUND to</w:t>
      </w:r>
      <w:r>
        <w:rPr>
          <w:spacing w:val="-3"/>
        </w:rPr>
        <w:t xml:space="preserve"> </w:t>
      </w:r>
      <w:r>
        <w:t>be</w:t>
      </w:r>
      <w:r>
        <w:rPr>
          <w:spacing w:val="-1"/>
        </w:rPr>
        <w:t xml:space="preserve"> </w:t>
      </w:r>
      <w:r>
        <w:t>charged</w:t>
      </w:r>
      <w:r>
        <w:tab/>
      </w:r>
      <w:r>
        <w:tab/>
        <w:t>Check for Indirect</w:t>
      </w:r>
      <w:r>
        <w:rPr>
          <w:spacing w:val="2"/>
        </w:rPr>
        <w:t xml:space="preserve"> </w:t>
      </w:r>
      <w:r>
        <w:rPr>
          <w:spacing w:val="-5"/>
        </w:rPr>
        <w:t>Cost</w:t>
      </w:r>
    </w:p>
    <w:p w14:paraId="7C59882D" w14:textId="77777777" w:rsidR="00FB60DE" w:rsidRDefault="00FB60DE">
      <w:pPr>
        <w:pStyle w:val="BodyText"/>
        <w:rPr>
          <w:sz w:val="20"/>
        </w:rPr>
      </w:pPr>
    </w:p>
    <w:p w14:paraId="11CA2CFF" w14:textId="77777777" w:rsidR="00FB60DE" w:rsidRDefault="00FB60DE">
      <w:pPr>
        <w:pStyle w:val="BodyText"/>
        <w:rPr>
          <w:sz w:val="20"/>
        </w:rPr>
      </w:pPr>
    </w:p>
    <w:p w14:paraId="142CF5DA" w14:textId="77777777" w:rsidR="00FB60DE" w:rsidRDefault="00000000">
      <w:pPr>
        <w:pStyle w:val="BodyText"/>
        <w:spacing w:before="8"/>
        <w:rPr>
          <w:sz w:val="10"/>
        </w:rPr>
      </w:pPr>
      <w:r>
        <w:pict w14:anchorId="0354CD1C">
          <v:shape id="_x0000_s2052" style="position:absolute;margin-left:100.2pt;margin-top:8.35pt;width:198.15pt;height:.1pt;z-index:-15725056;mso-wrap-distance-left:0;mso-wrap-distance-right:0;mso-position-horizontal-relative:page" coordorigin="2004,167" coordsize="3963,0" path="m2004,167r3963,e" filled="f" strokeweight=".15578mm">
            <v:path arrowok="t"/>
            <w10:wrap type="topAndBottom" anchorx="page"/>
          </v:shape>
        </w:pict>
      </w:r>
      <w:r>
        <w:pict w14:anchorId="674D6085">
          <v:shape id="_x0000_s2051" style="position:absolute;margin-left:352.25pt;margin-top:8.35pt;width:159.6pt;height:.1pt;z-index:-15724544;mso-wrap-distance-left:0;mso-wrap-distance-right:0;mso-position-horizontal-relative:page" coordorigin="7045,167" coordsize="3192,0" path="m7045,167r3192,e" filled="f" strokeweight=".15578mm">
            <v:path arrowok="t"/>
            <w10:wrap type="topAndBottom" anchorx="page"/>
          </v:shape>
        </w:pict>
      </w:r>
    </w:p>
    <w:p w14:paraId="1BE05D0D" w14:textId="77777777" w:rsidR="00FB60DE" w:rsidRDefault="00000000">
      <w:pPr>
        <w:tabs>
          <w:tab w:val="left" w:pos="6232"/>
        </w:tabs>
        <w:spacing w:before="97"/>
        <w:ind w:left="2077"/>
      </w:pPr>
      <w:r>
        <w:t>Position/Department</w:t>
      </w:r>
      <w:r>
        <w:tab/>
      </w:r>
      <w:proofErr w:type="spellStart"/>
      <w:r>
        <w:t>Department</w:t>
      </w:r>
      <w:proofErr w:type="spellEnd"/>
      <w:r>
        <w:t xml:space="preserve"> Contact (Direct</w:t>
      </w:r>
      <w:r>
        <w:rPr>
          <w:spacing w:val="1"/>
        </w:rPr>
        <w:t xml:space="preserve"> </w:t>
      </w:r>
      <w:r>
        <w:t>Manager)</w:t>
      </w:r>
    </w:p>
    <w:p w14:paraId="095E7FB0" w14:textId="77777777" w:rsidR="00FB60DE" w:rsidRDefault="00FB60DE">
      <w:pPr>
        <w:pStyle w:val="BodyText"/>
        <w:rPr>
          <w:sz w:val="20"/>
        </w:rPr>
      </w:pPr>
    </w:p>
    <w:p w14:paraId="09552CC0" w14:textId="77777777" w:rsidR="00FB60DE" w:rsidRDefault="00000000">
      <w:pPr>
        <w:pStyle w:val="BodyText"/>
        <w:spacing w:before="11"/>
        <w:rPr>
          <w:sz w:val="22"/>
        </w:rPr>
      </w:pPr>
      <w:r>
        <w:pict w14:anchorId="1E7CB4C0">
          <v:rect id="_x0000_s2050" style="position:absolute;margin-left:34.55pt;margin-top:15.15pt;width:543pt;height:1.45pt;z-index:-15724032;mso-wrap-distance-left:0;mso-wrap-distance-right:0;mso-position-horizontal-relative:page" fillcolor="black" stroked="f">
            <w10:wrap type="topAndBottom" anchorx="page"/>
          </v:rect>
        </w:pict>
      </w:r>
    </w:p>
    <w:p w14:paraId="23A282DD" w14:textId="77777777" w:rsidR="00FB60DE" w:rsidRDefault="00000000">
      <w:pPr>
        <w:spacing w:line="218" w:lineRule="exact"/>
        <w:ind w:left="140"/>
      </w:pPr>
      <w:r>
        <w:t>Vice-President Approval, including Date</w:t>
      </w:r>
    </w:p>
    <w:sectPr w:rsidR="00FB60DE">
      <w:pgSz w:w="12240" w:h="15840"/>
      <w:pgMar w:top="2140" w:right="580" w:bottom="1200" w:left="580" w:header="72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3EB6" w14:textId="77777777" w:rsidR="00185FA2" w:rsidRDefault="00185FA2">
      <w:r>
        <w:separator/>
      </w:r>
    </w:p>
  </w:endnote>
  <w:endnote w:type="continuationSeparator" w:id="0">
    <w:p w14:paraId="6DCF2AE0" w14:textId="77777777" w:rsidR="00185FA2" w:rsidRDefault="0018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603D" w14:textId="77777777" w:rsidR="00FB60DE" w:rsidRDefault="00000000">
    <w:pPr>
      <w:pStyle w:val="BodyText"/>
      <w:spacing w:line="14" w:lineRule="auto"/>
      <w:rPr>
        <w:sz w:val="20"/>
      </w:rPr>
    </w:pPr>
    <w:r>
      <w:pict w14:anchorId="1E192574">
        <v:rect id="_x0000_s1026" style="position:absolute;margin-left:34.55pt;margin-top:727.1pt;width:543pt;height:.5pt;z-index:-15781888;mso-position-horizontal-relative:page;mso-position-vertical-relative:page" fillcolor="#d9d9d9" stroked="f">
          <w10:wrap anchorx="page" anchory="page"/>
        </v:rect>
      </w:pict>
    </w:r>
    <w:r>
      <w:pict w14:anchorId="45BEA663">
        <v:shapetype id="_x0000_t202" coordsize="21600,21600" o:spt="202" path="m,l,21600r21600,l21600,xe">
          <v:stroke joinstyle="miter"/>
          <v:path gradientshapeok="t" o:connecttype="rect"/>
        </v:shapetype>
        <v:shape id="_x0000_s1025" type="#_x0000_t202" style="position:absolute;margin-left:523.45pt;margin-top:727.75pt;width:53.6pt;height:15.3pt;z-index:-15781376;mso-position-horizontal-relative:page;mso-position-vertical-relative:page" filled="f" stroked="f">
          <v:textbox inset="0,0,0,0">
            <w:txbxContent>
              <w:p w14:paraId="262E7C25" w14:textId="77777777" w:rsidR="00FB60DE" w:rsidRDefault="00000000">
                <w:pPr>
                  <w:pStyle w:val="BodyText"/>
                  <w:spacing w:before="10"/>
                  <w:ind w:left="60"/>
                </w:pPr>
                <w:r>
                  <w:fldChar w:fldCharType="begin"/>
                </w:r>
                <w:r>
                  <w:instrText xml:space="preserve"> PAGE </w:instrText>
                </w:r>
                <w:r>
                  <w:fldChar w:fldCharType="separate"/>
                </w:r>
                <w:r>
                  <w:t>1</w:t>
                </w:r>
                <w:r>
                  <w:fldChar w:fldCharType="end"/>
                </w:r>
                <w:r>
                  <w:t xml:space="preserve"> | </w:t>
                </w:r>
                <w:r>
                  <w:rPr>
                    <w:color w:val="7E7E7E"/>
                  </w:rPr>
                  <w:t>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39D3" w14:textId="77777777" w:rsidR="00185FA2" w:rsidRDefault="00185FA2">
      <w:r>
        <w:separator/>
      </w:r>
    </w:p>
  </w:footnote>
  <w:footnote w:type="continuationSeparator" w:id="0">
    <w:p w14:paraId="215A7E50" w14:textId="77777777" w:rsidR="00185FA2" w:rsidRDefault="0018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36EA" w14:textId="6531F508" w:rsidR="00FB60DE" w:rsidRDefault="00000000">
    <w:pPr>
      <w:pStyle w:val="BodyText"/>
      <w:spacing w:line="14" w:lineRule="auto"/>
      <w:rPr>
        <w:sz w:val="20"/>
      </w:rPr>
    </w:pPr>
    <w:r>
      <w:pict w14:anchorId="4678A9DC">
        <v:shapetype id="_x0000_t202" coordsize="21600,21600" o:spt="202" path="m,l,21600r21600,l21600,xe">
          <v:stroke joinstyle="miter"/>
          <v:path gradientshapeok="t" o:connecttype="rect"/>
        </v:shapetype>
        <v:shape id="_x0000_s1027" type="#_x0000_t202" style="position:absolute;margin-left:35pt;margin-top:64.65pt;width:282.05pt;height:43.65pt;z-index:-15782400;mso-position-horizontal-relative:page;mso-position-vertical-relative:page" filled="f" stroked="f">
          <v:textbox inset="0,0,0,0">
            <w:txbxContent>
              <w:p w14:paraId="3E01F63D" w14:textId="6278D11A" w:rsidR="00FB60DE" w:rsidRDefault="00000000">
                <w:pPr>
                  <w:tabs>
                    <w:tab w:val="left" w:pos="1129"/>
                  </w:tabs>
                  <w:spacing w:before="10" w:line="252" w:lineRule="auto"/>
                  <w:ind w:left="20" w:right="18"/>
                  <w:rPr>
                    <w:b/>
                    <w:sz w:val="24"/>
                  </w:rPr>
                </w:pPr>
                <w:r>
                  <w:rPr>
                    <w:b/>
                    <w:sz w:val="24"/>
                    <w:u w:val="thick"/>
                  </w:rPr>
                  <w:t xml:space="preserve">Relocation and Moving Expense </w:t>
                </w:r>
                <w:r>
                  <w:rPr>
                    <w:b/>
                    <w:spacing w:val="-3"/>
                    <w:sz w:val="24"/>
                    <w:u w:val="thick"/>
                  </w:rPr>
                  <w:t>Agreement</w:t>
                </w:r>
                <w:r>
                  <w:rPr>
                    <w:b/>
                    <w:spacing w:val="-3"/>
                    <w:sz w:val="24"/>
                  </w:rPr>
                  <w:t xml:space="preserve"> </w:t>
                </w:r>
                <w:r>
                  <w:rPr>
                    <w:b/>
                    <w:sz w:val="24"/>
                  </w:rPr>
                  <w:t>Human Resources – Personnel</w:t>
                </w:r>
                <w:r>
                  <w:rPr>
                    <w:b/>
                    <w:spacing w:val="1"/>
                    <w:sz w:val="24"/>
                  </w:rPr>
                  <w:t xml:space="preserve"> </w:t>
                </w:r>
                <w:r>
                  <w:rPr>
                    <w:b/>
                    <w:sz w:val="24"/>
                  </w:rPr>
                  <w:t>File</w:t>
                </w:r>
              </w:p>
              <w:p w14:paraId="6C504691" w14:textId="77777777" w:rsidR="00FB60DE" w:rsidRDefault="00000000">
                <w:pPr>
                  <w:spacing w:line="263" w:lineRule="exact"/>
                  <w:ind w:left="20"/>
                  <w:rPr>
                    <w:b/>
                    <w:sz w:val="24"/>
                  </w:rPr>
                </w:pPr>
                <w:r>
                  <w:rPr>
                    <w:b/>
                    <w:sz w:val="24"/>
                  </w:rPr>
                  <w:t>Accounts Payable – Relocation Reimbursement File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97559"/>
    <w:multiLevelType w:val="hybridMultilevel"/>
    <w:tmpl w:val="629EA47E"/>
    <w:lvl w:ilvl="0" w:tplc="FC947E26">
      <w:start w:val="1"/>
      <w:numFmt w:val="decimal"/>
      <w:lvlText w:val="%1."/>
      <w:lvlJc w:val="left"/>
      <w:pPr>
        <w:ind w:left="860" w:hanging="361"/>
        <w:jc w:val="left"/>
      </w:pPr>
      <w:rPr>
        <w:rFonts w:ascii="Times New Roman" w:eastAsia="Times New Roman" w:hAnsi="Times New Roman" w:cs="Times New Roman" w:hint="default"/>
        <w:w w:val="100"/>
        <w:sz w:val="24"/>
        <w:szCs w:val="24"/>
        <w:lang w:val="en-US" w:eastAsia="en-US" w:bidi="ar-SA"/>
      </w:rPr>
    </w:lvl>
    <w:lvl w:ilvl="1" w:tplc="FB0A4890">
      <w:numFmt w:val="bullet"/>
      <w:lvlText w:val="•"/>
      <w:lvlJc w:val="left"/>
      <w:pPr>
        <w:ind w:left="1882" w:hanging="361"/>
      </w:pPr>
      <w:rPr>
        <w:rFonts w:hint="default"/>
        <w:lang w:val="en-US" w:eastAsia="en-US" w:bidi="ar-SA"/>
      </w:rPr>
    </w:lvl>
    <w:lvl w:ilvl="2" w:tplc="0E728EB4">
      <w:numFmt w:val="bullet"/>
      <w:lvlText w:val="•"/>
      <w:lvlJc w:val="left"/>
      <w:pPr>
        <w:ind w:left="2904" w:hanging="361"/>
      </w:pPr>
      <w:rPr>
        <w:rFonts w:hint="default"/>
        <w:lang w:val="en-US" w:eastAsia="en-US" w:bidi="ar-SA"/>
      </w:rPr>
    </w:lvl>
    <w:lvl w:ilvl="3" w:tplc="237A5938">
      <w:numFmt w:val="bullet"/>
      <w:lvlText w:val="•"/>
      <w:lvlJc w:val="left"/>
      <w:pPr>
        <w:ind w:left="3926" w:hanging="361"/>
      </w:pPr>
      <w:rPr>
        <w:rFonts w:hint="default"/>
        <w:lang w:val="en-US" w:eastAsia="en-US" w:bidi="ar-SA"/>
      </w:rPr>
    </w:lvl>
    <w:lvl w:ilvl="4" w:tplc="55C6F6D6">
      <w:numFmt w:val="bullet"/>
      <w:lvlText w:val="•"/>
      <w:lvlJc w:val="left"/>
      <w:pPr>
        <w:ind w:left="4948" w:hanging="361"/>
      </w:pPr>
      <w:rPr>
        <w:rFonts w:hint="default"/>
        <w:lang w:val="en-US" w:eastAsia="en-US" w:bidi="ar-SA"/>
      </w:rPr>
    </w:lvl>
    <w:lvl w:ilvl="5" w:tplc="0E3C8862">
      <w:numFmt w:val="bullet"/>
      <w:lvlText w:val="•"/>
      <w:lvlJc w:val="left"/>
      <w:pPr>
        <w:ind w:left="5970" w:hanging="361"/>
      </w:pPr>
      <w:rPr>
        <w:rFonts w:hint="default"/>
        <w:lang w:val="en-US" w:eastAsia="en-US" w:bidi="ar-SA"/>
      </w:rPr>
    </w:lvl>
    <w:lvl w:ilvl="6" w:tplc="AA60BC36">
      <w:numFmt w:val="bullet"/>
      <w:lvlText w:val="•"/>
      <w:lvlJc w:val="left"/>
      <w:pPr>
        <w:ind w:left="6992" w:hanging="361"/>
      </w:pPr>
      <w:rPr>
        <w:rFonts w:hint="default"/>
        <w:lang w:val="en-US" w:eastAsia="en-US" w:bidi="ar-SA"/>
      </w:rPr>
    </w:lvl>
    <w:lvl w:ilvl="7" w:tplc="102CAE3A">
      <w:numFmt w:val="bullet"/>
      <w:lvlText w:val="•"/>
      <w:lvlJc w:val="left"/>
      <w:pPr>
        <w:ind w:left="8014" w:hanging="361"/>
      </w:pPr>
      <w:rPr>
        <w:rFonts w:hint="default"/>
        <w:lang w:val="en-US" w:eastAsia="en-US" w:bidi="ar-SA"/>
      </w:rPr>
    </w:lvl>
    <w:lvl w:ilvl="8" w:tplc="837CBABE">
      <w:numFmt w:val="bullet"/>
      <w:lvlText w:val="•"/>
      <w:lvlJc w:val="left"/>
      <w:pPr>
        <w:ind w:left="9036" w:hanging="361"/>
      </w:pPr>
      <w:rPr>
        <w:rFonts w:hint="default"/>
        <w:lang w:val="en-US" w:eastAsia="en-US" w:bidi="ar-SA"/>
      </w:rPr>
    </w:lvl>
  </w:abstractNum>
  <w:num w:numId="1" w16cid:durableId="17558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60DE"/>
    <w:rsid w:val="00185FA2"/>
    <w:rsid w:val="00D53A2A"/>
    <w:rsid w:val="00FB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53D5812"/>
  <w15:docId w15:val="{716F7C15-2F8E-491E-9C5F-6B9778B9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right="134"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3A2A"/>
    <w:pPr>
      <w:tabs>
        <w:tab w:val="center" w:pos="4680"/>
        <w:tab w:val="right" w:pos="9360"/>
      </w:tabs>
    </w:pPr>
  </w:style>
  <w:style w:type="character" w:customStyle="1" w:styleId="HeaderChar">
    <w:name w:val="Header Char"/>
    <w:basedOn w:val="DefaultParagraphFont"/>
    <w:link w:val="Header"/>
    <w:uiPriority w:val="99"/>
    <w:rsid w:val="00D53A2A"/>
    <w:rPr>
      <w:rFonts w:ascii="Times New Roman" w:eastAsia="Times New Roman" w:hAnsi="Times New Roman" w:cs="Times New Roman"/>
    </w:rPr>
  </w:style>
  <w:style w:type="paragraph" w:styleId="Footer">
    <w:name w:val="footer"/>
    <w:basedOn w:val="Normal"/>
    <w:link w:val="FooterChar"/>
    <w:uiPriority w:val="99"/>
    <w:unhideWhenUsed/>
    <w:rsid w:val="00D53A2A"/>
    <w:pPr>
      <w:tabs>
        <w:tab w:val="center" w:pos="4680"/>
        <w:tab w:val="right" w:pos="9360"/>
      </w:tabs>
    </w:pPr>
  </w:style>
  <w:style w:type="character" w:customStyle="1" w:styleId="FooterChar">
    <w:name w:val="Footer Char"/>
    <w:basedOn w:val="DefaultParagraphFont"/>
    <w:link w:val="Footer"/>
    <w:uiPriority w:val="99"/>
    <w:rsid w:val="00D53A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766</Words>
  <Characters>4367</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