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DD97" w14:textId="77777777" w:rsidR="00BA4ACF" w:rsidRDefault="00000000">
      <w:pPr>
        <w:pStyle w:val="Title"/>
      </w:pPr>
      <w:r>
        <w:t>MOVING AGREEMENT</w:t>
      </w:r>
    </w:p>
    <w:p w14:paraId="2E80C08D" w14:textId="77777777" w:rsidR="00BA4ACF" w:rsidRDefault="00BA4ACF">
      <w:pPr>
        <w:pStyle w:val="BodyText"/>
        <w:spacing w:before="12"/>
        <w:rPr>
          <w:b/>
          <w:sz w:val="22"/>
        </w:rPr>
      </w:pPr>
    </w:p>
    <w:p w14:paraId="1C679AC5" w14:textId="77777777" w:rsidR="00BA4ACF" w:rsidRDefault="00000000">
      <w:pPr>
        <w:pStyle w:val="BodyText"/>
        <w:tabs>
          <w:tab w:val="left" w:pos="8030"/>
        </w:tabs>
        <w:ind w:left="219" w:right="218"/>
      </w:pPr>
      <w:r>
        <w:t>This Agreement is made between the RECTOR AND VISITORS OF THE UNIVERSITY OF VIRGINIA ("the University") and</w:t>
      </w:r>
      <w:r>
        <w:rPr>
          <w:spacing w:val="-8"/>
        </w:rPr>
        <w:t xml:space="preserve"> </w:t>
      </w:r>
      <w:r>
        <w:t>("the</w:t>
      </w:r>
      <w:r>
        <w:rPr>
          <w:spacing w:val="-2"/>
        </w:rPr>
        <w:t xml:space="preserve"> </w:t>
      </w:r>
      <w:r>
        <w:t>Employee")</w:t>
      </w:r>
      <w:r>
        <w:rPr>
          <w:u w:val="single"/>
        </w:rPr>
        <w:t xml:space="preserve"> </w:t>
      </w:r>
      <w:r>
        <w:rPr>
          <w:u w:val="single"/>
        </w:rPr>
        <w:tab/>
      </w:r>
      <w:r>
        <w:t>.</w:t>
      </w:r>
    </w:p>
    <w:p w14:paraId="4DA93E39" w14:textId="77777777" w:rsidR="00BA4ACF" w:rsidRDefault="00BA4ACF">
      <w:pPr>
        <w:pStyle w:val="BodyText"/>
      </w:pPr>
    </w:p>
    <w:p w14:paraId="70C4F58F" w14:textId="77777777" w:rsidR="00BA4ACF" w:rsidRDefault="00000000">
      <w:pPr>
        <w:pStyle w:val="BodyText"/>
        <w:tabs>
          <w:tab w:val="left" w:pos="6265"/>
          <w:tab w:val="left" w:pos="7539"/>
          <w:tab w:val="left" w:pos="9087"/>
        </w:tabs>
        <w:ind w:left="219" w:right="218"/>
      </w:pPr>
      <w:r>
        <w:t>WHEREAS the Employee begins work for the</w:t>
      </w:r>
      <w:r>
        <w:rPr>
          <w:spacing w:val="-16"/>
        </w:rPr>
        <w:t xml:space="preserve"> </w:t>
      </w:r>
      <w:r>
        <w:t>University</w:t>
      </w:r>
      <w:r>
        <w:rPr>
          <w:spacing w:val="-3"/>
        </w:rPr>
        <w:t xml:space="preserve"> </w:t>
      </w:r>
      <w:r>
        <w:t>on</w:t>
      </w:r>
      <w:r>
        <w:rPr>
          <w:u w:val="single"/>
        </w:rPr>
        <w:t xml:space="preserve"> </w:t>
      </w:r>
      <w:r>
        <w:rPr>
          <w:u w:val="single"/>
        </w:rPr>
        <w:tab/>
      </w:r>
      <w:r>
        <w:rPr>
          <w:u w:val="single"/>
        </w:rPr>
        <w:tab/>
      </w:r>
      <w:r>
        <w:t>and desires to move and relocate his/her</w:t>
      </w:r>
      <w:r>
        <w:rPr>
          <w:spacing w:val="-8"/>
        </w:rPr>
        <w:t xml:space="preserve"> </w:t>
      </w:r>
      <w:r>
        <w:t>residence</w:t>
      </w:r>
      <w:r>
        <w:rPr>
          <w:spacing w:val="-2"/>
        </w:rPr>
        <w:t xml:space="preserve"> </w:t>
      </w:r>
      <w:r>
        <w:t>from</w:t>
      </w:r>
      <w:r>
        <w:rPr>
          <w:u w:val="single"/>
        </w:rPr>
        <w:t xml:space="preserve"> </w:t>
      </w:r>
      <w:r>
        <w:rPr>
          <w:u w:val="single"/>
        </w:rPr>
        <w:tab/>
      </w:r>
      <w:r>
        <w:t>to</w:t>
      </w:r>
      <w:r>
        <w:rPr>
          <w:u w:val="single"/>
        </w:rPr>
        <w:t xml:space="preserve"> </w:t>
      </w:r>
      <w:r>
        <w:rPr>
          <w:u w:val="single"/>
        </w:rPr>
        <w:tab/>
      </w:r>
      <w:r>
        <w:rPr>
          <w:u w:val="single"/>
        </w:rPr>
        <w:tab/>
      </w:r>
      <w:r>
        <w:t>; WHEREAS the University wishes to assist the Employee with moving and relocating (hereinafter "moving") to facilitate his/her working for the</w:t>
      </w:r>
      <w:r>
        <w:rPr>
          <w:spacing w:val="-4"/>
        </w:rPr>
        <w:t xml:space="preserve"> </w:t>
      </w:r>
      <w:proofErr w:type="gramStart"/>
      <w:r>
        <w:t>University;</w:t>
      </w:r>
      <w:proofErr w:type="gramEnd"/>
    </w:p>
    <w:p w14:paraId="4F0D5B85" w14:textId="77777777" w:rsidR="00BA4ACF" w:rsidRDefault="00000000">
      <w:pPr>
        <w:pStyle w:val="BodyText"/>
        <w:spacing w:before="1"/>
        <w:ind w:left="219" w:right="218"/>
      </w:pPr>
      <w:r>
        <w:t>WHEREFORE, to facilitate the Employee's moving to begin work at the University, both the University and the Employee agree to the following terms.</w:t>
      </w:r>
    </w:p>
    <w:p w14:paraId="4E7CDECC" w14:textId="77777777" w:rsidR="00BA4ACF" w:rsidRDefault="00BA4ACF">
      <w:pPr>
        <w:pStyle w:val="BodyText"/>
      </w:pPr>
    </w:p>
    <w:p w14:paraId="277C1E04" w14:textId="77777777" w:rsidR="00BA4ACF" w:rsidRDefault="00000000">
      <w:pPr>
        <w:pStyle w:val="ListParagraph"/>
        <w:numPr>
          <w:ilvl w:val="0"/>
          <w:numId w:val="1"/>
        </w:numPr>
        <w:tabs>
          <w:tab w:val="left" w:pos="522"/>
        </w:tabs>
        <w:spacing w:before="0"/>
        <w:ind w:right="214" w:firstLine="0"/>
        <w:rPr>
          <w:sz w:val="23"/>
        </w:rPr>
      </w:pPr>
      <w:r>
        <w:rPr>
          <w:sz w:val="23"/>
        </w:rPr>
        <w:t>The University, acting through the hiring department or unit or Dean, (hereafter “hiring department”)</w:t>
      </w:r>
      <w:r>
        <w:rPr>
          <w:spacing w:val="28"/>
          <w:sz w:val="23"/>
        </w:rPr>
        <w:t xml:space="preserve"> </w:t>
      </w:r>
      <w:r>
        <w:rPr>
          <w:sz w:val="23"/>
        </w:rPr>
        <w:t>agrees</w:t>
      </w:r>
      <w:r>
        <w:rPr>
          <w:spacing w:val="30"/>
          <w:sz w:val="23"/>
        </w:rPr>
        <w:t xml:space="preserve"> </w:t>
      </w:r>
      <w:r>
        <w:rPr>
          <w:sz w:val="23"/>
        </w:rPr>
        <w:t>to</w:t>
      </w:r>
      <w:r>
        <w:rPr>
          <w:spacing w:val="29"/>
          <w:sz w:val="23"/>
        </w:rPr>
        <w:t xml:space="preserve"> </w:t>
      </w:r>
      <w:r>
        <w:rPr>
          <w:sz w:val="23"/>
        </w:rPr>
        <w:t>reimburse,</w:t>
      </w:r>
      <w:r>
        <w:rPr>
          <w:spacing w:val="29"/>
          <w:sz w:val="23"/>
        </w:rPr>
        <w:t xml:space="preserve"> </w:t>
      </w:r>
      <w:r>
        <w:rPr>
          <w:sz w:val="23"/>
        </w:rPr>
        <w:t>or</w:t>
      </w:r>
      <w:r>
        <w:rPr>
          <w:spacing w:val="28"/>
          <w:sz w:val="23"/>
        </w:rPr>
        <w:t xml:space="preserve"> </w:t>
      </w:r>
      <w:r>
        <w:rPr>
          <w:sz w:val="23"/>
        </w:rPr>
        <w:t>pay</w:t>
      </w:r>
      <w:r>
        <w:rPr>
          <w:spacing w:val="28"/>
          <w:sz w:val="23"/>
        </w:rPr>
        <w:t xml:space="preserve"> </w:t>
      </w:r>
      <w:r>
        <w:rPr>
          <w:sz w:val="23"/>
        </w:rPr>
        <w:t>on</w:t>
      </w:r>
      <w:r>
        <w:rPr>
          <w:spacing w:val="28"/>
          <w:sz w:val="23"/>
        </w:rPr>
        <w:t xml:space="preserve"> </w:t>
      </w:r>
      <w:r>
        <w:rPr>
          <w:sz w:val="23"/>
        </w:rPr>
        <w:t>behalf</w:t>
      </w:r>
      <w:r>
        <w:rPr>
          <w:spacing w:val="29"/>
          <w:sz w:val="23"/>
        </w:rPr>
        <w:t xml:space="preserve"> </w:t>
      </w:r>
      <w:r>
        <w:rPr>
          <w:sz w:val="23"/>
        </w:rPr>
        <w:t>of,</w:t>
      </w:r>
      <w:r>
        <w:rPr>
          <w:spacing w:val="29"/>
          <w:sz w:val="23"/>
        </w:rPr>
        <w:t xml:space="preserve"> </w:t>
      </w:r>
      <w:r>
        <w:rPr>
          <w:sz w:val="23"/>
        </w:rPr>
        <w:t>the</w:t>
      </w:r>
      <w:r>
        <w:rPr>
          <w:spacing w:val="29"/>
          <w:sz w:val="23"/>
        </w:rPr>
        <w:t xml:space="preserve"> </w:t>
      </w:r>
      <w:r>
        <w:rPr>
          <w:sz w:val="23"/>
        </w:rPr>
        <w:t>Employee</w:t>
      </w:r>
      <w:r>
        <w:rPr>
          <w:spacing w:val="29"/>
          <w:sz w:val="23"/>
        </w:rPr>
        <w:t xml:space="preserve"> </w:t>
      </w:r>
      <w:r>
        <w:rPr>
          <w:sz w:val="23"/>
        </w:rPr>
        <w:t>an</w:t>
      </w:r>
      <w:r>
        <w:rPr>
          <w:spacing w:val="25"/>
          <w:sz w:val="23"/>
        </w:rPr>
        <w:t xml:space="preserve"> </w:t>
      </w:r>
      <w:r>
        <w:rPr>
          <w:sz w:val="23"/>
        </w:rPr>
        <w:t>amount</w:t>
      </w:r>
      <w:r>
        <w:rPr>
          <w:spacing w:val="28"/>
          <w:sz w:val="23"/>
        </w:rPr>
        <w:t xml:space="preserve"> </w:t>
      </w:r>
      <w:r>
        <w:rPr>
          <w:sz w:val="23"/>
        </w:rPr>
        <w:t>not</w:t>
      </w:r>
      <w:r>
        <w:rPr>
          <w:spacing w:val="28"/>
          <w:sz w:val="23"/>
        </w:rPr>
        <w:t xml:space="preserve"> </w:t>
      </w:r>
      <w:r>
        <w:rPr>
          <w:sz w:val="23"/>
        </w:rPr>
        <w:t>to</w:t>
      </w:r>
      <w:r>
        <w:rPr>
          <w:spacing w:val="28"/>
          <w:sz w:val="23"/>
        </w:rPr>
        <w:t xml:space="preserve"> </w:t>
      </w:r>
      <w:r>
        <w:rPr>
          <w:sz w:val="23"/>
        </w:rPr>
        <w:t>exceed</w:t>
      </w:r>
    </w:p>
    <w:p w14:paraId="5F983420" w14:textId="77777777" w:rsidR="00BA4ACF" w:rsidRDefault="00000000">
      <w:pPr>
        <w:pStyle w:val="BodyText"/>
        <w:tabs>
          <w:tab w:val="left" w:pos="2058"/>
        </w:tabs>
        <w:ind w:left="219"/>
      </w:pPr>
      <w:r>
        <w:t>$</w:t>
      </w:r>
      <w:r>
        <w:rPr>
          <w:u w:val="single"/>
        </w:rPr>
        <w:t xml:space="preserve"> </w:t>
      </w:r>
      <w:r>
        <w:rPr>
          <w:u w:val="single"/>
        </w:rPr>
        <w:tab/>
      </w:r>
      <w:r>
        <w:t>for moving expenses incurred for the relocation. Of this amount, not more</w:t>
      </w:r>
      <w:r>
        <w:rPr>
          <w:spacing w:val="-9"/>
        </w:rPr>
        <w:t xml:space="preserve"> </w:t>
      </w:r>
      <w:r>
        <w:t>than</w:t>
      </w:r>
    </w:p>
    <w:p w14:paraId="6D14A410" w14:textId="77777777" w:rsidR="00BA4ACF" w:rsidRDefault="00000000">
      <w:pPr>
        <w:pStyle w:val="BodyText"/>
        <w:tabs>
          <w:tab w:val="left" w:pos="2132"/>
        </w:tabs>
        <w:ind w:left="219"/>
      </w:pPr>
      <w:r>
        <w:pict w14:anchorId="37ABD2FC">
          <v:line id="_x0000_s2051" style="position:absolute;left:0;text-align:left;z-index:15728640;mso-position-horizontal-relative:page" from="77.85pt,12.65pt" to="163.9pt,12.65pt" strokeweight=".26392mm">
            <w10:wrap anchorx="page"/>
          </v:line>
        </w:pict>
      </w:r>
      <w:r>
        <w:t>$</w:t>
      </w:r>
      <w:r>
        <w:tab/>
        <w:t>shall</w:t>
      </w:r>
      <w:r>
        <w:rPr>
          <w:spacing w:val="18"/>
        </w:rPr>
        <w:t xml:space="preserve"> </w:t>
      </w:r>
      <w:r>
        <w:t>be</w:t>
      </w:r>
      <w:r>
        <w:rPr>
          <w:spacing w:val="21"/>
        </w:rPr>
        <w:t xml:space="preserve"> </w:t>
      </w:r>
      <w:r>
        <w:t>reimbursed</w:t>
      </w:r>
      <w:r>
        <w:rPr>
          <w:spacing w:val="20"/>
        </w:rPr>
        <w:t xml:space="preserve"> </w:t>
      </w:r>
      <w:r>
        <w:t>directly</w:t>
      </w:r>
      <w:r>
        <w:rPr>
          <w:spacing w:val="19"/>
        </w:rPr>
        <w:t xml:space="preserve"> </w:t>
      </w:r>
      <w:r>
        <w:t>to</w:t>
      </w:r>
      <w:r>
        <w:rPr>
          <w:spacing w:val="22"/>
        </w:rPr>
        <w:t xml:space="preserve"> </w:t>
      </w:r>
      <w:r>
        <w:t>the</w:t>
      </w:r>
      <w:r>
        <w:rPr>
          <w:spacing w:val="21"/>
        </w:rPr>
        <w:t xml:space="preserve"> </w:t>
      </w:r>
      <w:r>
        <w:t>Employee.</w:t>
      </w:r>
      <w:r>
        <w:rPr>
          <w:spacing w:val="21"/>
        </w:rPr>
        <w:t xml:space="preserve"> </w:t>
      </w:r>
      <w:r>
        <w:t>All</w:t>
      </w:r>
      <w:r>
        <w:rPr>
          <w:spacing w:val="18"/>
        </w:rPr>
        <w:t xml:space="preserve"> </w:t>
      </w:r>
      <w:r>
        <w:t>reimbursement</w:t>
      </w:r>
      <w:r>
        <w:rPr>
          <w:spacing w:val="21"/>
        </w:rPr>
        <w:t xml:space="preserve"> </w:t>
      </w:r>
      <w:r>
        <w:t>claims</w:t>
      </w:r>
      <w:r>
        <w:rPr>
          <w:spacing w:val="21"/>
        </w:rPr>
        <w:t xml:space="preserve"> </w:t>
      </w:r>
      <w:r>
        <w:t>must</w:t>
      </w:r>
    </w:p>
    <w:p w14:paraId="4BE6DDFE" w14:textId="77777777" w:rsidR="00BA4ACF" w:rsidRDefault="00000000">
      <w:pPr>
        <w:pStyle w:val="BodyText"/>
        <w:ind w:left="219" w:right="214"/>
        <w:jc w:val="both"/>
      </w:pPr>
      <w:r>
        <w:t xml:space="preserve">comply with </w:t>
      </w:r>
      <w:proofErr w:type="gramStart"/>
      <w:r>
        <w:t>University</w:t>
      </w:r>
      <w:proofErr w:type="gramEnd"/>
      <w:r>
        <w:t xml:space="preserve"> policy and procedures, as amended from time to time. The Employee shall provide original receipts for all reimbursement requests, to the satisfaction of the University prior to any</w:t>
      </w:r>
      <w:r>
        <w:rPr>
          <w:spacing w:val="-1"/>
        </w:rPr>
        <w:t xml:space="preserve"> </w:t>
      </w:r>
      <w:r>
        <w:t>reimbursement.</w:t>
      </w:r>
    </w:p>
    <w:p w14:paraId="72DF2D91" w14:textId="77777777" w:rsidR="00BA4ACF" w:rsidRDefault="00BA4ACF">
      <w:pPr>
        <w:pStyle w:val="BodyText"/>
      </w:pPr>
    </w:p>
    <w:p w14:paraId="76E3FAC6" w14:textId="77777777" w:rsidR="00BA4ACF" w:rsidRDefault="00000000">
      <w:pPr>
        <w:pStyle w:val="ListParagraph"/>
        <w:numPr>
          <w:ilvl w:val="0"/>
          <w:numId w:val="1"/>
        </w:numPr>
        <w:tabs>
          <w:tab w:val="left" w:pos="512"/>
        </w:tabs>
        <w:ind w:right="216" w:firstLine="0"/>
        <w:jc w:val="both"/>
        <w:rPr>
          <w:sz w:val="23"/>
        </w:rPr>
      </w:pPr>
      <w:r>
        <w:rPr>
          <w:sz w:val="23"/>
        </w:rPr>
        <w:t xml:space="preserve">The University will apply all required federal and state tax deductions and will report all payments made under this Agreement as required by federal and state law. The Employee understands </w:t>
      </w:r>
      <w:proofErr w:type="gramStart"/>
      <w:r>
        <w:rPr>
          <w:sz w:val="23"/>
        </w:rPr>
        <w:t>that,</w:t>
      </w:r>
      <w:proofErr w:type="gramEnd"/>
      <w:r>
        <w:rPr>
          <w:sz w:val="23"/>
        </w:rPr>
        <w:t xml:space="preserve"> other than the cost of moving household goods from the former residence to the new residence (including up to 30 days of storage), and the cost of travel from the former residence to the new residence (including lodging during the period of travel), all other reimbursed expenses may be deemed "not qualified" and thus are taxable to the employee. Taxes shall be withheld from all reimbursements for such “</w:t>
      </w:r>
      <w:proofErr w:type="spellStart"/>
      <w:proofErr w:type="gramStart"/>
      <w:r>
        <w:rPr>
          <w:sz w:val="23"/>
        </w:rPr>
        <w:t>non qualified</w:t>
      </w:r>
      <w:proofErr w:type="spellEnd"/>
      <w:proofErr w:type="gramEnd"/>
      <w:r>
        <w:rPr>
          <w:sz w:val="23"/>
        </w:rPr>
        <w:t>” expenses and reported to the Internal Revenue Service as income on the employee’s Form W-2 The Employee agrees that any expenses for meals are "not qualified."</w:t>
      </w:r>
    </w:p>
    <w:p w14:paraId="23187BBD" w14:textId="77777777" w:rsidR="00BA4ACF" w:rsidRDefault="00BA4ACF">
      <w:pPr>
        <w:pStyle w:val="BodyText"/>
      </w:pPr>
    </w:p>
    <w:p w14:paraId="7D4FB43C" w14:textId="77777777" w:rsidR="00BA4ACF" w:rsidRDefault="00000000">
      <w:pPr>
        <w:pStyle w:val="ListParagraph"/>
        <w:numPr>
          <w:ilvl w:val="0"/>
          <w:numId w:val="1"/>
        </w:numPr>
        <w:tabs>
          <w:tab w:val="left" w:pos="457"/>
        </w:tabs>
        <w:ind w:firstLine="0"/>
        <w:jc w:val="both"/>
        <w:rPr>
          <w:sz w:val="23"/>
        </w:rPr>
      </w:pPr>
      <w:r>
        <w:rPr>
          <w:sz w:val="23"/>
        </w:rPr>
        <w:t>In return for the assistance with moving expenses as provided in paragraphs 1 and 2, above, the Employee</w:t>
      </w:r>
      <w:r>
        <w:rPr>
          <w:spacing w:val="5"/>
          <w:sz w:val="23"/>
        </w:rPr>
        <w:t xml:space="preserve"> </w:t>
      </w:r>
      <w:r>
        <w:rPr>
          <w:sz w:val="23"/>
        </w:rPr>
        <w:t>agrees</w:t>
      </w:r>
      <w:r>
        <w:rPr>
          <w:spacing w:val="7"/>
          <w:sz w:val="23"/>
        </w:rPr>
        <w:t xml:space="preserve"> </w:t>
      </w:r>
      <w:r>
        <w:rPr>
          <w:sz w:val="23"/>
        </w:rPr>
        <w:t>to</w:t>
      </w:r>
      <w:r>
        <w:rPr>
          <w:spacing w:val="6"/>
          <w:sz w:val="23"/>
        </w:rPr>
        <w:t xml:space="preserve"> </w:t>
      </w:r>
      <w:r>
        <w:rPr>
          <w:sz w:val="23"/>
        </w:rPr>
        <w:t>work</w:t>
      </w:r>
      <w:r>
        <w:rPr>
          <w:spacing w:val="4"/>
          <w:sz w:val="23"/>
        </w:rPr>
        <w:t xml:space="preserve"> </w:t>
      </w:r>
      <w:r>
        <w:rPr>
          <w:sz w:val="23"/>
        </w:rPr>
        <w:t>for</w:t>
      </w:r>
      <w:r>
        <w:rPr>
          <w:spacing w:val="4"/>
          <w:sz w:val="23"/>
        </w:rPr>
        <w:t xml:space="preserve"> </w:t>
      </w:r>
      <w:r>
        <w:rPr>
          <w:sz w:val="23"/>
        </w:rPr>
        <w:t>the</w:t>
      </w:r>
      <w:r>
        <w:rPr>
          <w:spacing w:val="5"/>
          <w:sz w:val="23"/>
        </w:rPr>
        <w:t xml:space="preserve"> </w:t>
      </w:r>
      <w:r>
        <w:rPr>
          <w:sz w:val="23"/>
        </w:rPr>
        <w:t>hiring</w:t>
      </w:r>
      <w:r>
        <w:rPr>
          <w:spacing w:val="5"/>
          <w:sz w:val="23"/>
        </w:rPr>
        <w:t xml:space="preserve"> </w:t>
      </w:r>
      <w:r>
        <w:rPr>
          <w:sz w:val="23"/>
        </w:rPr>
        <w:t>department</w:t>
      </w:r>
      <w:r>
        <w:rPr>
          <w:spacing w:val="7"/>
          <w:sz w:val="23"/>
        </w:rPr>
        <w:t xml:space="preserve"> </w:t>
      </w:r>
      <w:r>
        <w:rPr>
          <w:sz w:val="23"/>
        </w:rPr>
        <w:t>on</w:t>
      </w:r>
      <w:r>
        <w:rPr>
          <w:spacing w:val="4"/>
          <w:sz w:val="23"/>
        </w:rPr>
        <w:t xml:space="preserve"> </w:t>
      </w:r>
      <w:r>
        <w:rPr>
          <w:sz w:val="23"/>
        </w:rPr>
        <w:t>a</w:t>
      </w:r>
      <w:r>
        <w:rPr>
          <w:spacing w:val="5"/>
          <w:sz w:val="23"/>
        </w:rPr>
        <w:t xml:space="preserve"> </w:t>
      </w:r>
      <w:r>
        <w:rPr>
          <w:sz w:val="23"/>
        </w:rPr>
        <w:t>regular</w:t>
      </w:r>
      <w:r>
        <w:rPr>
          <w:spacing w:val="3"/>
          <w:sz w:val="23"/>
        </w:rPr>
        <w:t xml:space="preserve"> </w:t>
      </w:r>
      <w:r>
        <w:rPr>
          <w:sz w:val="23"/>
        </w:rPr>
        <w:t>and</w:t>
      </w:r>
      <w:r>
        <w:rPr>
          <w:spacing w:val="7"/>
          <w:sz w:val="23"/>
        </w:rPr>
        <w:t xml:space="preserve"> </w:t>
      </w:r>
      <w:r>
        <w:rPr>
          <w:sz w:val="23"/>
        </w:rPr>
        <w:t>full-time</w:t>
      </w:r>
      <w:r>
        <w:rPr>
          <w:spacing w:val="6"/>
          <w:sz w:val="23"/>
        </w:rPr>
        <w:t xml:space="preserve"> </w:t>
      </w:r>
      <w:r>
        <w:rPr>
          <w:sz w:val="23"/>
        </w:rPr>
        <w:t>basis</w:t>
      </w:r>
      <w:r>
        <w:rPr>
          <w:spacing w:val="6"/>
          <w:sz w:val="23"/>
        </w:rPr>
        <w:t xml:space="preserve"> </w:t>
      </w:r>
      <w:r>
        <w:rPr>
          <w:sz w:val="23"/>
        </w:rPr>
        <w:t>for</w:t>
      </w:r>
      <w:r>
        <w:rPr>
          <w:spacing w:val="4"/>
          <w:sz w:val="23"/>
        </w:rPr>
        <w:t xml:space="preserve"> </w:t>
      </w:r>
      <w:r>
        <w:rPr>
          <w:sz w:val="23"/>
        </w:rPr>
        <w:t>at</w:t>
      </w:r>
      <w:r>
        <w:rPr>
          <w:spacing w:val="4"/>
          <w:sz w:val="23"/>
        </w:rPr>
        <w:t xml:space="preserve"> </w:t>
      </w:r>
      <w:r>
        <w:rPr>
          <w:sz w:val="23"/>
        </w:rPr>
        <w:t>least</w:t>
      </w:r>
      <w:r>
        <w:rPr>
          <w:spacing w:val="5"/>
          <w:sz w:val="23"/>
        </w:rPr>
        <w:t xml:space="preserve"> </w:t>
      </w:r>
      <w:r>
        <w:rPr>
          <w:sz w:val="23"/>
        </w:rPr>
        <w:t>one</w:t>
      </w:r>
    </w:p>
    <w:p w14:paraId="75C252F0" w14:textId="77777777" w:rsidR="00BA4ACF" w:rsidRDefault="00000000">
      <w:pPr>
        <w:pStyle w:val="BodyText"/>
        <w:tabs>
          <w:tab w:val="left" w:pos="4498"/>
          <w:tab w:val="left" w:pos="8360"/>
        </w:tabs>
        <w:ind w:left="219"/>
      </w:pPr>
      <w:r>
        <w:pict w14:anchorId="55C9E6B6">
          <v:shape id="_x0000_s2050" style="position:absolute;left:0;text-align:left;margin-left:161.7pt;margin-top:12.65pt;width:120.5pt;height:.1pt;z-index:15729152;mso-position-horizontal-relative:page" coordorigin="3234,253" coordsize="2410,0" o:spt="100" adj="0,,0" path="m3234,253r687,m3923,253r572,m4497,253r1147,e" filled="f" strokeweight=".26392mm">
            <v:stroke joinstyle="round"/>
            <v:formulas/>
            <v:path arrowok="t" o:connecttype="segments"/>
            <w10:wrap anchorx="page"/>
          </v:shape>
        </w:pict>
      </w:r>
      <w:r>
        <w:t>year</w:t>
      </w:r>
      <w:r>
        <w:rPr>
          <w:spacing w:val="20"/>
        </w:rPr>
        <w:t xml:space="preserve"> </w:t>
      </w:r>
      <w:r>
        <w:t>beginning</w:t>
      </w:r>
      <w:r>
        <w:rPr>
          <w:spacing w:val="21"/>
        </w:rPr>
        <w:t xml:space="preserve"> </w:t>
      </w:r>
      <w:r>
        <w:t>on</w:t>
      </w:r>
      <w:r>
        <w:tab/>
        <w:t>and</w:t>
      </w:r>
      <w:r>
        <w:rPr>
          <w:spacing w:val="19"/>
        </w:rPr>
        <w:t xml:space="preserve"> </w:t>
      </w:r>
      <w:r>
        <w:t>ending</w:t>
      </w:r>
      <w:r>
        <w:rPr>
          <w:spacing w:val="22"/>
        </w:rPr>
        <w:t xml:space="preserve"> </w:t>
      </w:r>
      <w:r>
        <w:t>on</w:t>
      </w:r>
      <w:r>
        <w:rPr>
          <w:u w:val="single"/>
        </w:rPr>
        <w:t xml:space="preserve"> </w:t>
      </w:r>
      <w:r>
        <w:rPr>
          <w:u w:val="single"/>
        </w:rPr>
        <w:tab/>
      </w:r>
      <w:r>
        <w:t>. For</w:t>
      </w:r>
      <w:r>
        <w:rPr>
          <w:spacing w:val="11"/>
        </w:rPr>
        <w:t xml:space="preserve"> </w:t>
      </w:r>
      <w:r>
        <w:t>faculty</w:t>
      </w:r>
    </w:p>
    <w:p w14:paraId="3AF4A5D1" w14:textId="77777777" w:rsidR="00BA4ACF" w:rsidRDefault="00000000">
      <w:pPr>
        <w:pStyle w:val="BodyText"/>
        <w:ind w:left="219" w:right="217"/>
        <w:jc w:val="both"/>
      </w:pPr>
      <w:r>
        <w:t>appointed on an academic basis, one year is defined in this Agreement as one regular academic session of nine months (Fall and Spring Semesters). Should the Employee fail to complete the entire year of work for the hiring department to its satisfaction, the Employee shall reimburse the hiring department for all payments and reimbursements made by the University pursuant to paragraph 1, above, and as provided in the following paragraphs.</w:t>
      </w:r>
    </w:p>
    <w:p w14:paraId="568A1AAA" w14:textId="77777777" w:rsidR="00BA4ACF" w:rsidRDefault="00BA4ACF">
      <w:pPr>
        <w:pStyle w:val="BodyText"/>
      </w:pPr>
    </w:p>
    <w:p w14:paraId="0B2DE080" w14:textId="77777777" w:rsidR="00BA4ACF" w:rsidRDefault="00000000">
      <w:pPr>
        <w:pStyle w:val="ListParagraph"/>
        <w:numPr>
          <w:ilvl w:val="0"/>
          <w:numId w:val="1"/>
        </w:numPr>
        <w:tabs>
          <w:tab w:val="left" w:pos="500"/>
        </w:tabs>
        <w:spacing w:before="0"/>
        <w:ind w:right="216" w:firstLine="0"/>
        <w:jc w:val="both"/>
        <w:rPr>
          <w:sz w:val="23"/>
        </w:rPr>
      </w:pPr>
      <w:r>
        <w:rPr>
          <w:sz w:val="23"/>
        </w:rPr>
        <w:t xml:space="preserve">The Employee's failure to remain employed by the University for one year, for any reason whatsoever, will trigger the Employee's duty to repay, pro-rata, the amount paid or reimbursed by the hiring department pursuant to paragraph 1, above. (This amount may be more than the Employee received due to tax or other withholdings.) For example, if the Employee leaves 5 months prior to the end of the year, he/she will repay 5/12 of such amount. To facilitate this </w:t>
      </w:r>
      <w:proofErr w:type="gramStart"/>
      <w:r>
        <w:rPr>
          <w:sz w:val="23"/>
        </w:rPr>
        <w:t>repayment,  the</w:t>
      </w:r>
      <w:proofErr w:type="gramEnd"/>
      <w:r>
        <w:rPr>
          <w:sz w:val="23"/>
        </w:rPr>
        <w:t xml:space="preserve"> Employee, by signing below, expressly gives the University a lien on all his/her salary, wages, and other sums payable to him/her by the University. In addition, the Employee hereby authorizes the University to withhold all amounts so due from any sum payable to the Employee by</w:t>
      </w:r>
      <w:r>
        <w:rPr>
          <w:spacing w:val="24"/>
          <w:sz w:val="23"/>
        </w:rPr>
        <w:t xml:space="preserve"> </w:t>
      </w:r>
      <w:r>
        <w:rPr>
          <w:sz w:val="23"/>
        </w:rPr>
        <w:t>the</w:t>
      </w:r>
    </w:p>
    <w:p w14:paraId="7A0A41D3" w14:textId="77777777" w:rsidR="00BA4ACF" w:rsidRDefault="00BA4ACF">
      <w:pPr>
        <w:jc w:val="both"/>
        <w:rPr>
          <w:sz w:val="23"/>
        </w:rPr>
        <w:sectPr w:rsidR="00BA4ACF">
          <w:headerReference w:type="default" r:id="rId7"/>
          <w:footerReference w:type="default" r:id="rId8"/>
          <w:type w:val="continuous"/>
          <w:pgSz w:w="12240" w:h="15840"/>
          <w:pgMar w:top="1380" w:right="1220" w:bottom="900" w:left="1220" w:header="720" w:footer="705" w:gutter="0"/>
          <w:pgNumType w:start="1"/>
          <w:cols w:space="720"/>
        </w:sectPr>
      </w:pPr>
    </w:p>
    <w:p w14:paraId="768C25BF" w14:textId="77777777" w:rsidR="00BA4ACF" w:rsidRDefault="00000000">
      <w:pPr>
        <w:pStyle w:val="BodyText"/>
        <w:spacing w:before="44"/>
        <w:ind w:left="220" w:right="215"/>
        <w:jc w:val="both"/>
      </w:pPr>
      <w:r>
        <w:lastRenderedPageBreak/>
        <w:t xml:space="preserve">University, and to use the Commonwealth's tax off-set system if necessary. The Employee also waives </w:t>
      </w:r>
      <w:proofErr w:type="gramStart"/>
      <w:r>
        <w:t>any and all</w:t>
      </w:r>
      <w:proofErr w:type="gramEnd"/>
      <w:r>
        <w:t xml:space="preserve"> exemptions (including the homestead exemption) which may apply to any amounts so due.</w:t>
      </w:r>
    </w:p>
    <w:p w14:paraId="79911861" w14:textId="77777777" w:rsidR="00BA4ACF" w:rsidRDefault="00BA4ACF">
      <w:pPr>
        <w:pStyle w:val="BodyText"/>
      </w:pPr>
    </w:p>
    <w:p w14:paraId="4E613527" w14:textId="77777777" w:rsidR="00BA4ACF" w:rsidRDefault="00000000">
      <w:pPr>
        <w:pStyle w:val="BodyText"/>
        <w:ind w:left="220" w:right="213"/>
        <w:jc w:val="both"/>
      </w:pPr>
      <w:r>
        <w:t>If the Employee fails to remain employed by the hiring department for one year for reasons beyond his/her control (</w:t>
      </w:r>
      <w:proofErr w:type="gramStart"/>
      <w:r>
        <w:t>e.g.</w:t>
      </w:r>
      <w:proofErr w:type="gramEnd"/>
      <w:r>
        <w:t xml:space="preserve"> illness or death), other than reasons of poor performance, the University may in its sole discretion waive all or part of the liability owed by the Employee. Any such waiver must be approved in writing by the Employee's department head or dean and the University Human Resources representative. Prior to such approval, the department head or dean must notify University Human Resources if the Employee does not remain employed at the University for the requisite year.</w:t>
      </w:r>
    </w:p>
    <w:p w14:paraId="0240F303" w14:textId="77777777" w:rsidR="00BA4ACF" w:rsidRDefault="00BA4ACF">
      <w:pPr>
        <w:pStyle w:val="BodyText"/>
      </w:pPr>
    </w:p>
    <w:p w14:paraId="10B76567" w14:textId="77777777" w:rsidR="00BA4ACF" w:rsidRDefault="00000000">
      <w:pPr>
        <w:pStyle w:val="ListParagraph"/>
        <w:numPr>
          <w:ilvl w:val="0"/>
          <w:numId w:val="1"/>
        </w:numPr>
        <w:tabs>
          <w:tab w:val="left" w:pos="468"/>
        </w:tabs>
        <w:ind w:left="220" w:right="213" w:firstLine="0"/>
        <w:jc w:val="both"/>
        <w:rPr>
          <w:sz w:val="23"/>
        </w:rPr>
      </w:pPr>
      <w:r>
        <w:rPr>
          <w:sz w:val="23"/>
        </w:rPr>
        <w:t xml:space="preserve">In the event the employee transfers to or is hired by another department within the University during the </w:t>
      </w:r>
      <w:proofErr w:type="gramStart"/>
      <w:r>
        <w:rPr>
          <w:sz w:val="23"/>
        </w:rPr>
        <w:t>one year</w:t>
      </w:r>
      <w:proofErr w:type="gramEnd"/>
      <w:r>
        <w:rPr>
          <w:sz w:val="23"/>
        </w:rPr>
        <w:t xml:space="preserve"> period noted above, the hiring department and the department to which the employee is transferring (“the new department”) shall negotiate in good faith for the repayment, pro-rata, of the moving expenses by the new department. It is the employee’s obligation to make the new department aware of the employee’s duty to repay the hiring department and to request assistance from the new department. </w:t>
      </w:r>
      <w:proofErr w:type="gramStart"/>
      <w:r>
        <w:rPr>
          <w:sz w:val="23"/>
        </w:rPr>
        <w:t>In the event that</w:t>
      </w:r>
      <w:proofErr w:type="gramEnd"/>
      <w:r>
        <w:rPr>
          <w:sz w:val="23"/>
        </w:rPr>
        <w:t xml:space="preserve"> the new department does not agree to repay the Employee’s obligation, the employee remains responsible for repaying reimbursed moving expenses to the department which initially hired him or</w:t>
      </w:r>
      <w:r>
        <w:rPr>
          <w:spacing w:val="-8"/>
          <w:sz w:val="23"/>
        </w:rPr>
        <w:t xml:space="preserve"> </w:t>
      </w:r>
      <w:r>
        <w:rPr>
          <w:sz w:val="23"/>
        </w:rPr>
        <w:t>her.</w:t>
      </w:r>
    </w:p>
    <w:p w14:paraId="66B9D372" w14:textId="77777777" w:rsidR="00BA4ACF" w:rsidRDefault="00BA4ACF">
      <w:pPr>
        <w:pStyle w:val="BodyText"/>
      </w:pPr>
    </w:p>
    <w:p w14:paraId="01F1A1A5" w14:textId="77777777" w:rsidR="00BA4ACF" w:rsidRDefault="00000000">
      <w:pPr>
        <w:pStyle w:val="ListParagraph"/>
        <w:numPr>
          <w:ilvl w:val="0"/>
          <w:numId w:val="1"/>
        </w:numPr>
        <w:tabs>
          <w:tab w:val="left" w:pos="454"/>
        </w:tabs>
        <w:ind w:left="220" w:firstLine="0"/>
        <w:jc w:val="both"/>
        <w:rPr>
          <w:sz w:val="23"/>
        </w:rPr>
      </w:pPr>
      <w:r>
        <w:rPr>
          <w:sz w:val="23"/>
        </w:rPr>
        <w:t xml:space="preserve">The University shall not reimburse the </w:t>
      </w:r>
      <w:proofErr w:type="gramStart"/>
      <w:r>
        <w:rPr>
          <w:sz w:val="23"/>
        </w:rPr>
        <w:t>Employee, or</w:t>
      </w:r>
      <w:proofErr w:type="gramEnd"/>
      <w:r>
        <w:rPr>
          <w:sz w:val="23"/>
        </w:rPr>
        <w:t xml:space="preserve"> make payments on the Employee's behalf to third-party commercial movers, for moving expenses already reimbursed or to be reimbursed in the future by another</w:t>
      </w:r>
      <w:r>
        <w:rPr>
          <w:spacing w:val="-2"/>
          <w:sz w:val="23"/>
        </w:rPr>
        <w:t xml:space="preserve"> </w:t>
      </w:r>
      <w:r>
        <w:rPr>
          <w:sz w:val="23"/>
        </w:rPr>
        <w:t>entity.</w:t>
      </w:r>
    </w:p>
    <w:p w14:paraId="2DD2F9A1" w14:textId="77777777" w:rsidR="00BA4ACF" w:rsidRDefault="00BA4ACF">
      <w:pPr>
        <w:pStyle w:val="BodyText"/>
        <w:spacing w:before="11"/>
        <w:rPr>
          <w:sz w:val="19"/>
        </w:rPr>
      </w:pPr>
    </w:p>
    <w:p w14:paraId="11BF624C" w14:textId="77777777" w:rsidR="00BA4ACF" w:rsidRDefault="00000000">
      <w:pPr>
        <w:pStyle w:val="BodyText"/>
        <w:ind w:left="220" w:right="213"/>
        <w:jc w:val="both"/>
      </w:pPr>
      <w:r>
        <w:t>BY SIGNING BELOW, the Employee certifies that his/her moving expenses have not been reimbursed in whole or in part by another entity, and if they are in the future, the Employee shall notify his/her department head or dean within 10 calendar days of such payment or agreement for such payment and shall arrange to reimburse the hiring department for its payments including withholdings and deductions not received by the</w:t>
      </w:r>
      <w:r>
        <w:rPr>
          <w:spacing w:val="-4"/>
        </w:rPr>
        <w:t xml:space="preserve"> </w:t>
      </w:r>
      <w:r>
        <w:t>Employee.</w:t>
      </w:r>
    </w:p>
    <w:p w14:paraId="762AA8B1" w14:textId="77777777" w:rsidR="00BA4ACF" w:rsidRDefault="00BA4ACF">
      <w:pPr>
        <w:pStyle w:val="BodyText"/>
        <w:spacing w:before="11"/>
        <w:rPr>
          <w:sz w:val="19"/>
        </w:rPr>
      </w:pPr>
    </w:p>
    <w:p w14:paraId="5D967926" w14:textId="77777777" w:rsidR="00BA4ACF" w:rsidRDefault="00000000">
      <w:pPr>
        <w:pStyle w:val="BodyText"/>
        <w:ind w:left="220"/>
        <w:jc w:val="both"/>
      </w:pPr>
      <w:r>
        <w:t>IN WITNESS THEREOF:</w:t>
      </w:r>
    </w:p>
    <w:p w14:paraId="70B2818A" w14:textId="77777777" w:rsidR="00BA4ACF" w:rsidRDefault="00BA4ACF">
      <w:pPr>
        <w:pStyle w:val="BodyText"/>
        <w:rPr>
          <w:sz w:val="20"/>
        </w:rPr>
      </w:pPr>
    </w:p>
    <w:p w14:paraId="0B208A11" w14:textId="77777777" w:rsidR="00BA4ACF" w:rsidRDefault="00BA4ACF">
      <w:pPr>
        <w:pStyle w:val="BodyText"/>
        <w:spacing w:before="5"/>
        <w:rPr>
          <w:sz w:val="27"/>
        </w:rPr>
      </w:pPr>
    </w:p>
    <w:tbl>
      <w:tblPr>
        <w:tblW w:w="0" w:type="auto"/>
        <w:tblInd w:w="119" w:type="dxa"/>
        <w:tblLayout w:type="fixed"/>
        <w:tblCellMar>
          <w:left w:w="0" w:type="dxa"/>
          <w:right w:w="0" w:type="dxa"/>
        </w:tblCellMar>
        <w:tblLook w:val="01E0" w:firstRow="1" w:lastRow="1" w:firstColumn="1" w:lastColumn="1" w:noHBand="0" w:noVBand="0"/>
      </w:tblPr>
      <w:tblGrid>
        <w:gridCol w:w="4001"/>
        <w:gridCol w:w="235"/>
        <w:gridCol w:w="4003"/>
        <w:gridCol w:w="221"/>
        <w:gridCol w:w="1128"/>
      </w:tblGrid>
      <w:tr w:rsidR="00BA4ACF" w14:paraId="09EEA6FB" w14:textId="77777777">
        <w:trPr>
          <w:trHeight w:val="820"/>
        </w:trPr>
        <w:tc>
          <w:tcPr>
            <w:tcW w:w="4001" w:type="dxa"/>
            <w:tcBorders>
              <w:top w:val="single" w:sz="4" w:space="0" w:color="000000"/>
              <w:bottom w:val="single" w:sz="4" w:space="0" w:color="000000"/>
            </w:tcBorders>
          </w:tcPr>
          <w:p w14:paraId="7A5D5642" w14:textId="77777777" w:rsidR="00BA4ACF" w:rsidRDefault="00000000">
            <w:pPr>
              <w:pStyle w:val="TableParagraph"/>
              <w:spacing w:line="243" w:lineRule="exact"/>
              <w:ind w:left="108"/>
              <w:rPr>
                <w:sz w:val="20"/>
              </w:rPr>
            </w:pPr>
            <w:r>
              <w:rPr>
                <w:sz w:val="20"/>
              </w:rPr>
              <w:t>Employee Name (print or type)</w:t>
            </w:r>
          </w:p>
        </w:tc>
        <w:tc>
          <w:tcPr>
            <w:tcW w:w="235" w:type="dxa"/>
          </w:tcPr>
          <w:p w14:paraId="69C328FF" w14:textId="77777777" w:rsidR="00BA4ACF" w:rsidRDefault="00BA4ACF">
            <w:pPr>
              <w:pStyle w:val="TableParagraph"/>
              <w:rPr>
                <w:rFonts w:ascii="Times New Roman"/>
              </w:rPr>
            </w:pPr>
          </w:p>
        </w:tc>
        <w:tc>
          <w:tcPr>
            <w:tcW w:w="4003" w:type="dxa"/>
            <w:tcBorders>
              <w:top w:val="single" w:sz="4" w:space="0" w:color="000000"/>
              <w:bottom w:val="single" w:sz="4" w:space="0" w:color="000000"/>
            </w:tcBorders>
          </w:tcPr>
          <w:p w14:paraId="7F08A4C3" w14:textId="77777777" w:rsidR="00BA4ACF" w:rsidRDefault="00000000">
            <w:pPr>
              <w:pStyle w:val="TableParagraph"/>
              <w:spacing w:line="243" w:lineRule="exact"/>
              <w:ind w:left="108"/>
              <w:rPr>
                <w:sz w:val="20"/>
              </w:rPr>
            </w:pPr>
            <w:r>
              <w:rPr>
                <w:sz w:val="20"/>
              </w:rPr>
              <w:t>Employee Signature</w:t>
            </w:r>
          </w:p>
        </w:tc>
        <w:tc>
          <w:tcPr>
            <w:tcW w:w="221" w:type="dxa"/>
          </w:tcPr>
          <w:p w14:paraId="09A5BCC9" w14:textId="77777777" w:rsidR="00BA4ACF" w:rsidRDefault="00BA4ACF">
            <w:pPr>
              <w:pStyle w:val="TableParagraph"/>
              <w:rPr>
                <w:rFonts w:ascii="Times New Roman"/>
              </w:rPr>
            </w:pPr>
          </w:p>
        </w:tc>
        <w:tc>
          <w:tcPr>
            <w:tcW w:w="1128" w:type="dxa"/>
            <w:tcBorders>
              <w:top w:val="single" w:sz="4" w:space="0" w:color="000000"/>
              <w:bottom w:val="single" w:sz="4" w:space="0" w:color="000000"/>
            </w:tcBorders>
          </w:tcPr>
          <w:p w14:paraId="36482CE2" w14:textId="77777777" w:rsidR="00BA4ACF" w:rsidRDefault="00000000">
            <w:pPr>
              <w:pStyle w:val="TableParagraph"/>
              <w:spacing w:line="243" w:lineRule="exact"/>
              <w:ind w:left="108"/>
              <w:rPr>
                <w:sz w:val="20"/>
              </w:rPr>
            </w:pPr>
            <w:r>
              <w:rPr>
                <w:sz w:val="20"/>
              </w:rPr>
              <w:t>Date</w:t>
            </w:r>
          </w:p>
        </w:tc>
      </w:tr>
      <w:tr w:rsidR="00BA4ACF" w14:paraId="7185900F" w14:textId="77777777">
        <w:trPr>
          <w:trHeight w:val="820"/>
        </w:trPr>
        <w:tc>
          <w:tcPr>
            <w:tcW w:w="4001" w:type="dxa"/>
            <w:tcBorders>
              <w:top w:val="single" w:sz="4" w:space="0" w:color="000000"/>
              <w:bottom w:val="single" w:sz="4" w:space="0" w:color="000000"/>
            </w:tcBorders>
          </w:tcPr>
          <w:p w14:paraId="2388AC99" w14:textId="77777777" w:rsidR="00BA4ACF" w:rsidRDefault="00000000">
            <w:pPr>
              <w:pStyle w:val="TableParagraph"/>
              <w:spacing w:line="243" w:lineRule="exact"/>
              <w:ind w:left="108"/>
              <w:rPr>
                <w:sz w:val="20"/>
              </w:rPr>
            </w:pPr>
            <w:r>
              <w:rPr>
                <w:sz w:val="20"/>
              </w:rPr>
              <w:t>Department Head/Dean Name (print or type)</w:t>
            </w:r>
          </w:p>
        </w:tc>
        <w:tc>
          <w:tcPr>
            <w:tcW w:w="235" w:type="dxa"/>
          </w:tcPr>
          <w:p w14:paraId="4D523303" w14:textId="77777777" w:rsidR="00BA4ACF" w:rsidRDefault="00BA4ACF">
            <w:pPr>
              <w:pStyle w:val="TableParagraph"/>
              <w:rPr>
                <w:rFonts w:ascii="Times New Roman"/>
              </w:rPr>
            </w:pPr>
          </w:p>
        </w:tc>
        <w:tc>
          <w:tcPr>
            <w:tcW w:w="4003" w:type="dxa"/>
            <w:tcBorders>
              <w:top w:val="single" w:sz="4" w:space="0" w:color="000000"/>
              <w:bottom w:val="single" w:sz="4" w:space="0" w:color="000000"/>
            </w:tcBorders>
          </w:tcPr>
          <w:p w14:paraId="657BD43A" w14:textId="77777777" w:rsidR="00BA4ACF" w:rsidRDefault="00000000">
            <w:pPr>
              <w:pStyle w:val="TableParagraph"/>
              <w:spacing w:line="243" w:lineRule="exact"/>
              <w:ind w:left="108"/>
              <w:rPr>
                <w:sz w:val="20"/>
              </w:rPr>
            </w:pPr>
            <w:r>
              <w:rPr>
                <w:sz w:val="20"/>
              </w:rPr>
              <w:t>Department Head/Dean Signature</w:t>
            </w:r>
          </w:p>
        </w:tc>
        <w:tc>
          <w:tcPr>
            <w:tcW w:w="221" w:type="dxa"/>
          </w:tcPr>
          <w:p w14:paraId="5A89A29D" w14:textId="77777777" w:rsidR="00BA4ACF" w:rsidRDefault="00BA4ACF">
            <w:pPr>
              <w:pStyle w:val="TableParagraph"/>
              <w:rPr>
                <w:rFonts w:ascii="Times New Roman"/>
              </w:rPr>
            </w:pPr>
          </w:p>
        </w:tc>
        <w:tc>
          <w:tcPr>
            <w:tcW w:w="1128" w:type="dxa"/>
            <w:tcBorders>
              <w:top w:val="single" w:sz="4" w:space="0" w:color="000000"/>
            </w:tcBorders>
          </w:tcPr>
          <w:p w14:paraId="6D30504D" w14:textId="77777777" w:rsidR="00BA4ACF" w:rsidRDefault="00000000">
            <w:pPr>
              <w:pStyle w:val="TableParagraph"/>
              <w:spacing w:line="243" w:lineRule="exact"/>
              <w:ind w:left="108"/>
              <w:rPr>
                <w:sz w:val="20"/>
              </w:rPr>
            </w:pPr>
            <w:r>
              <w:rPr>
                <w:sz w:val="20"/>
              </w:rPr>
              <w:t>Date</w:t>
            </w:r>
          </w:p>
        </w:tc>
      </w:tr>
      <w:tr w:rsidR="00BA4ACF" w14:paraId="63342928" w14:textId="77777777">
        <w:trPr>
          <w:trHeight w:val="820"/>
        </w:trPr>
        <w:tc>
          <w:tcPr>
            <w:tcW w:w="4001" w:type="dxa"/>
            <w:tcBorders>
              <w:top w:val="single" w:sz="4" w:space="0" w:color="000000"/>
              <w:bottom w:val="single" w:sz="4" w:space="0" w:color="000000"/>
            </w:tcBorders>
          </w:tcPr>
          <w:p w14:paraId="2BF4737B" w14:textId="77777777" w:rsidR="00BA4ACF" w:rsidRDefault="00000000">
            <w:pPr>
              <w:pStyle w:val="TableParagraph"/>
              <w:spacing w:line="243" w:lineRule="exact"/>
              <w:ind w:left="108"/>
              <w:rPr>
                <w:sz w:val="20"/>
              </w:rPr>
            </w:pPr>
            <w:r>
              <w:rPr>
                <w:sz w:val="20"/>
              </w:rPr>
              <w:t>Dean’s/ VP signature and Date (if required)</w:t>
            </w:r>
          </w:p>
        </w:tc>
        <w:tc>
          <w:tcPr>
            <w:tcW w:w="235" w:type="dxa"/>
          </w:tcPr>
          <w:p w14:paraId="5BFEFC0A" w14:textId="77777777" w:rsidR="00BA4ACF" w:rsidRDefault="00BA4ACF">
            <w:pPr>
              <w:pStyle w:val="TableParagraph"/>
              <w:rPr>
                <w:rFonts w:ascii="Times New Roman"/>
              </w:rPr>
            </w:pPr>
          </w:p>
        </w:tc>
        <w:tc>
          <w:tcPr>
            <w:tcW w:w="4003" w:type="dxa"/>
            <w:tcBorders>
              <w:top w:val="single" w:sz="4" w:space="0" w:color="000000"/>
              <w:bottom w:val="single" w:sz="4" w:space="0" w:color="000000"/>
            </w:tcBorders>
          </w:tcPr>
          <w:p w14:paraId="6017FAFA" w14:textId="77777777" w:rsidR="00BA4ACF" w:rsidRDefault="00000000">
            <w:pPr>
              <w:pStyle w:val="TableParagraph"/>
              <w:spacing w:line="243" w:lineRule="exact"/>
              <w:ind w:left="108"/>
              <w:rPr>
                <w:sz w:val="20"/>
              </w:rPr>
            </w:pPr>
            <w:r>
              <w:rPr>
                <w:sz w:val="20"/>
              </w:rPr>
              <w:t>Department Name (print or type)</w:t>
            </w:r>
          </w:p>
        </w:tc>
        <w:tc>
          <w:tcPr>
            <w:tcW w:w="221" w:type="dxa"/>
          </w:tcPr>
          <w:p w14:paraId="13041F84" w14:textId="77777777" w:rsidR="00BA4ACF" w:rsidRDefault="00BA4ACF">
            <w:pPr>
              <w:pStyle w:val="TableParagraph"/>
              <w:rPr>
                <w:rFonts w:ascii="Times New Roman"/>
              </w:rPr>
            </w:pPr>
          </w:p>
        </w:tc>
        <w:tc>
          <w:tcPr>
            <w:tcW w:w="1128" w:type="dxa"/>
          </w:tcPr>
          <w:p w14:paraId="2039C480" w14:textId="77777777" w:rsidR="00BA4ACF" w:rsidRDefault="00BA4ACF">
            <w:pPr>
              <w:pStyle w:val="TableParagraph"/>
              <w:rPr>
                <w:rFonts w:ascii="Times New Roman"/>
              </w:rPr>
            </w:pPr>
          </w:p>
        </w:tc>
      </w:tr>
      <w:tr w:rsidR="00BA4ACF" w14:paraId="65667533" w14:textId="77777777">
        <w:trPr>
          <w:trHeight w:val="820"/>
        </w:trPr>
        <w:tc>
          <w:tcPr>
            <w:tcW w:w="4001" w:type="dxa"/>
            <w:tcBorders>
              <w:top w:val="single" w:sz="4" w:space="0" w:color="000000"/>
              <w:bottom w:val="single" w:sz="4" w:space="0" w:color="000000"/>
            </w:tcBorders>
          </w:tcPr>
          <w:p w14:paraId="631BC862" w14:textId="77777777" w:rsidR="00BA4ACF" w:rsidRDefault="00000000">
            <w:pPr>
              <w:pStyle w:val="TableParagraph"/>
              <w:spacing w:line="243" w:lineRule="exact"/>
              <w:ind w:left="108"/>
              <w:rPr>
                <w:sz w:val="20"/>
              </w:rPr>
            </w:pPr>
            <w:r>
              <w:rPr>
                <w:sz w:val="20"/>
              </w:rPr>
              <w:t>Department Contact Phone Number</w:t>
            </w:r>
          </w:p>
        </w:tc>
        <w:tc>
          <w:tcPr>
            <w:tcW w:w="235" w:type="dxa"/>
          </w:tcPr>
          <w:p w14:paraId="3BE3442C" w14:textId="77777777" w:rsidR="00BA4ACF" w:rsidRDefault="00BA4ACF">
            <w:pPr>
              <w:pStyle w:val="TableParagraph"/>
              <w:rPr>
                <w:rFonts w:ascii="Times New Roman"/>
              </w:rPr>
            </w:pPr>
          </w:p>
        </w:tc>
        <w:tc>
          <w:tcPr>
            <w:tcW w:w="4003" w:type="dxa"/>
            <w:tcBorders>
              <w:top w:val="single" w:sz="4" w:space="0" w:color="000000"/>
              <w:bottom w:val="single" w:sz="4" w:space="0" w:color="000000"/>
            </w:tcBorders>
          </w:tcPr>
          <w:p w14:paraId="18BB2D65" w14:textId="77777777" w:rsidR="00BA4ACF" w:rsidRDefault="00000000">
            <w:pPr>
              <w:pStyle w:val="TableParagraph"/>
              <w:spacing w:line="243" w:lineRule="exact"/>
              <w:ind w:left="108"/>
              <w:rPr>
                <w:sz w:val="20"/>
              </w:rPr>
            </w:pPr>
            <w:r>
              <w:rPr>
                <w:sz w:val="20"/>
              </w:rPr>
              <w:t>Department Contact Fax Number</w:t>
            </w:r>
          </w:p>
        </w:tc>
        <w:tc>
          <w:tcPr>
            <w:tcW w:w="221" w:type="dxa"/>
          </w:tcPr>
          <w:p w14:paraId="5FC93443" w14:textId="77777777" w:rsidR="00BA4ACF" w:rsidRDefault="00BA4ACF">
            <w:pPr>
              <w:pStyle w:val="TableParagraph"/>
              <w:rPr>
                <w:rFonts w:ascii="Times New Roman"/>
              </w:rPr>
            </w:pPr>
          </w:p>
        </w:tc>
        <w:tc>
          <w:tcPr>
            <w:tcW w:w="1128" w:type="dxa"/>
          </w:tcPr>
          <w:p w14:paraId="44E6CD80" w14:textId="77777777" w:rsidR="00BA4ACF" w:rsidRDefault="00BA4ACF">
            <w:pPr>
              <w:pStyle w:val="TableParagraph"/>
              <w:rPr>
                <w:rFonts w:ascii="Times New Roman"/>
              </w:rPr>
            </w:pPr>
          </w:p>
        </w:tc>
      </w:tr>
      <w:tr w:rsidR="00BA4ACF" w14:paraId="7F00A0A9" w14:textId="77777777">
        <w:trPr>
          <w:trHeight w:val="227"/>
        </w:trPr>
        <w:tc>
          <w:tcPr>
            <w:tcW w:w="4001" w:type="dxa"/>
            <w:tcBorders>
              <w:top w:val="single" w:sz="4" w:space="0" w:color="000000"/>
            </w:tcBorders>
          </w:tcPr>
          <w:p w14:paraId="26AB0D3B" w14:textId="77777777" w:rsidR="00BA4ACF" w:rsidRDefault="00000000">
            <w:pPr>
              <w:pStyle w:val="TableParagraph"/>
              <w:spacing w:line="207" w:lineRule="exact"/>
              <w:ind w:left="108"/>
              <w:rPr>
                <w:sz w:val="19"/>
              </w:rPr>
            </w:pPr>
            <w:r>
              <w:rPr>
                <w:sz w:val="19"/>
              </w:rPr>
              <w:t>University Human Resources Approval Signature</w:t>
            </w:r>
          </w:p>
        </w:tc>
        <w:tc>
          <w:tcPr>
            <w:tcW w:w="235" w:type="dxa"/>
          </w:tcPr>
          <w:p w14:paraId="0B2752E6" w14:textId="77777777" w:rsidR="00BA4ACF" w:rsidRDefault="00BA4ACF">
            <w:pPr>
              <w:pStyle w:val="TableParagraph"/>
              <w:rPr>
                <w:rFonts w:ascii="Times New Roman"/>
                <w:sz w:val="16"/>
              </w:rPr>
            </w:pPr>
          </w:p>
        </w:tc>
        <w:tc>
          <w:tcPr>
            <w:tcW w:w="4003" w:type="dxa"/>
            <w:tcBorders>
              <w:top w:val="single" w:sz="4" w:space="0" w:color="000000"/>
            </w:tcBorders>
          </w:tcPr>
          <w:p w14:paraId="7EA3F973" w14:textId="77777777" w:rsidR="00BA4ACF" w:rsidRDefault="00000000">
            <w:pPr>
              <w:pStyle w:val="TableParagraph"/>
              <w:spacing w:line="207" w:lineRule="exact"/>
              <w:ind w:left="108"/>
              <w:rPr>
                <w:sz w:val="19"/>
              </w:rPr>
            </w:pPr>
            <w:r>
              <w:rPr>
                <w:sz w:val="19"/>
              </w:rPr>
              <w:t>UHR Approval Date</w:t>
            </w:r>
          </w:p>
        </w:tc>
        <w:tc>
          <w:tcPr>
            <w:tcW w:w="221" w:type="dxa"/>
          </w:tcPr>
          <w:p w14:paraId="73A59DF2" w14:textId="77777777" w:rsidR="00BA4ACF" w:rsidRDefault="00BA4ACF">
            <w:pPr>
              <w:pStyle w:val="TableParagraph"/>
              <w:rPr>
                <w:rFonts w:ascii="Times New Roman"/>
                <w:sz w:val="16"/>
              </w:rPr>
            </w:pPr>
          </w:p>
        </w:tc>
        <w:tc>
          <w:tcPr>
            <w:tcW w:w="1128" w:type="dxa"/>
          </w:tcPr>
          <w:p w14:paraId="33A93FC8" w14:textId="77777777" w:rsidR="00BA4ACF" w:rsidRDefault="00BA4ACF">
            <w:pPr>
              <w:pStyle w:val="TableParagraph"/>
              <w:rPr>
                <w:rFonts w:ascii="Times New Roman"/>
                <w:sz w:val="16"/>
              </w:rPr>
            </w:pPr>
          </w:p>
        </w:tc>
      </w:tr>
    </w:tbl>
    <w:p w14:paraId="56207EC3" w14:textId="77777777" w:rsidR="000F4EAA" w:rsidRDefault="000F4EAA"/>
    <w:sectPr w:rsidR="000F4EAA">
      <w:pgSz w:w="12240" w:h="15840"/>
      <w:pgMar w:top="1380" w:right="1220" w:bottom="900" w:left="1220"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E86D" w14:textId="77777777" w:rsidR="000F4EAA" w:rsidRDefault="000F4EAA">
      <w:r>
        <w:separator/>
      </w:r>
    </w:p>
  </w:endnote>
  <w:endnote w:type="continuationSeparator" w:id="0">
    <w:p w14:paraId="27B79D70" w14:textId="77777777" w:rsidR="000F4EAA" w:rsidRDefault="000F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6D9F" w14:textId="77777777" w:rsidR="00BA4ACF" w:rsidRDefault="00000000">
    <w:pPr>
      <w:pStyle w:val="BodyText"/>
      <w:spacing w:line="14" w:lineRule="auto"/>
      <w:rPr>
        <w:sz w:val="20"/>
      </w:rPr>
    </w:pPr>
    <w:r>
      <w:pict w14:anchorId="0172FBE1">
        <v:shapetype id="_x0000_t202" coordsize="21600,21600" o:spt="202" path="m,l,21600r21600,l21600,xe">
          <v:stroke joinstyle="miter"/>
          <v:path gradientshapeok="t" o:connecttype="rect"/>
        </v:shapetype>
        <v:shape id="_x0000_s1026" type="#_x0000_t202" style="position:absolute;margin-left:284.85pt;margin-top:745.75pt;width:45.45pt;height:11pt;z-index:-15806464;mso-position-horizontal-relative:page;mso-position-vertical-relative:page" filled="f" stroked="f">
          <v:textbox inset="0,0,0,0">
            <w:txbxContent>
              <w:p w14:paraId="2C5E2B27" w14:textId="77777777" w:rsidR="00BA4ACF" w:rsidRDefault="00000000">
                <w:pPr>
                  <w:spacing w:line="203" w:lineRule="exact"/>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2</w:t>
                </w:r>
              </w:p>
            </w:txbxContent>
          </v:textbox>
          <w10:wrap anchorx="page" anchory="page"/>
        </v:shape>
      </w:pict>
    </w:r>
    <w:r>
      <w:pict w14:anchorId="3335A741">
        <v:shape id="_x0000_s1025" type="#_x0000_t202" style="position:absolute;margin-left:492.7pt;margin-top:745.75pt;width:48.35pt;height:11pt;z-index:-15805952;mso-position-horizontal-relative:page;mso-position-vertical-relative:page" filled="f" stroked="f">
          <v:textbox inset="0,0,0,0">
            <w:txbxContent>
              <w:p w14:paraId="25A0F61B" w14:textId="77777777" w:rsidR="00BA4ACF" w:rsidRDefault="00000000">
                <w:pPr>
                  <w:spacing w:line="203" w:lineRule="exact"/>
                  <w:ind w:left="20"/>
                  <w:rPr>
                    <w:sz w:val="18"/>
                  </w:rPr>
                </w:pPr>
                <w:r>
                  <w:rPr>
                    <w:sz w:val="18"/>
                  </w:rPr>
                  <w:t>Rev 10/2011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AC47" w14:textId="77777777" w:rsidR="000F4EAA" w:rsidRDefault="000F4EAA">
      <w:r>
        <w:separator/>
      </w:r>
    </w:p>
  </w:footnote>
  <w:footnote w:type="continuationSeparator" w:id="0">
    <w:p w14:paraId="689B22AD" w14:textId="77777777" w:rsidR="000F4EAA" w:rsidRDefault="000F4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D5CB" w14:textId="51889DC1" w:rsidR="00BA4ACF" w:rsidRDefault="00BA4AC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2644C"/>
    <w:multiLevelType w:val="hybridMultilevel"/>
    <w:tmpl w:val="11AA0F96"/>
    <w:lvl w:ilvl="0" w:tplc="530E9F0A">
      <w:start w:val="1"/>
      <w:numFmt w:val="decimal"/>
      <w:lvlText w:val="%1."/>
      <w:lvlJc w:val="left"/>
      <w:pPr>
        <w:ind w:left="219" w:hanging="303"/>
        <w:jc w:val="left"/>
      </w:pPr>
      <w:rPr>
        <w:rFonts w:ascii="Calibri" w:eastAsia="Calibri" w:hAnsi="Calibri" w:cs="Calibri" w:hint="default"/>
        <w:w w:val="100"/>
        <w:sz w:val="23"/>
        <w:szCs w:val="23"/>
      </w:rPr>
    </w:lvl>
    <w:lvl w:ilvl="1" w:tplc="DA5489B0">
      <w:numFmt w:val="bullet"/>
      <w:lvlText w:val="•"/>
      <w:lvlJc w:val="left"/>
      <w:pPr>
        <w:ind w:left="1178" w:hanging="303"/>
      </w:pPr>
      <w:rPr>
        <w:rFonts w:hint="default"/>
      </w:rPr>
    </w:lvl>
    <w:lvl w:ilvl="2" w:tplc="AF7CDC62">
      <w:numFmt w:val="bullet"/>
      <w:lvlText w:val="•"/>
      <w:lvlJc w:val="left"/>
      <w:pPr>
        <w:ind w:left="2136" w:hanging="303"/>
      </w:pPr>
      <w:rPr>
        <w:rFonts w:hint="default"/>
      </w:rPr>
    </w:lvl>
    <w:lvl w:ilvl="3" w:tplc="1DA22472">
      <w:numFmt w:val="bullet"/>
      <w:lvlText w:val="•"/>
      <w:lvlJc w:val="left"/>
      <w:pPr>
        <w:ind w:left="3094" w:hanging="303"/>
      </w:pPr>
      <w:rPr>
        <w:rFonts w:hint="default"/>
      </w:rPr>
    </w:lvl>
    <w:lvl w:ilvl="4" w:tplc="710EC83C">
      <w:numFmt w:val="bullet"/>
      <w:lvlText w:val="•"/>
      <w:lvlJc w:val="left"/>
      <w:pPr>
        <w:ind w:left="4052" w:hanging="303"/>
      </w:pPr>
      <w:rPr>
        <w:rFonts w:hint="default"/>
      </w:rPr>
    </w:lvl>
    <w:lvl w:ilvl="5" w:tplc="5E24F466">
      <w:numFmt w:val="bullet"/>
      <w:lvlText w:val="•"/>
      <w:lvlJc w:val="left"/>
      <w:pPr>
        <w:ind w:left="5010" w:hanging="303"/>
      </w:pPr>
      <w:rPr>
        <w:rFonts w:hint="default"/>
      </w:rPr>
    </w:lvl>
    <w:lvl w:ilvl="6" w:tplc="9796BB08">
      <w:numFmt w:val="bullet"/>
      <w:lvlText w:val="•"/>
      <w:lvlJc w:val="left"/>
      <w:pPr>
        <w:ind w:left="5968" w:hanging="303"/>
      </w:pPr>
      <w:rPr>
        <w:rFonts w:hint="default"/>
      </w:rPr>
    </w:lvl>
    <w:lvl w:ilvl="7" w:tplc="9E0225C8">
      <w:numFmt w:val="bullet"/>
      <w:lvlText w:val="•"/>
      <w:lvlJc w:val="left"/>
      <w:pPr>
        <w:ind w:left="6926" w:hanging="303"/>
      </w:pPr>
      <w:rPr>
        <w:rFonts w:hint="default"/>
      </w:rPr>
    </w:lvl>
    <w:lvl w:ilvl="8" w:tplc="E88606A8">
      <w:numFmt w:val="bullet"/>
      <w:lvlText w:val="•"/>
      <w:lvlJc w:val="left"/>
      <w:pPr>
        <w:ind w:left="7884" w:hanging="303"/>
      </w:pPr>
      <w:rPr>
        <w:rFonts w:hint="default"/>
      </w:rPr>
    </w:lvl>
  </w:abstractNum>
  <w:num w:numId="1" w16cid:durableId="201896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A4ACF"/>
    <w:rsid w:val="000F4EAA"/>
    <w:rsid w:val="00BA4ACF"/>
    <w:rsid w:val="00EC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06573B6"/>
  <w15:docId w15:val="{8780BDBB-08B8-490D-BC9F-B3B7AEF7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44"/>
      <w:ind w:left="3819" w:right="3818"/>
      <w:jc w:val="center"/>
    </w:pPr>
    <w:rPr>
      <w:b/>
      <w:bCs/>
      <w:sz w:val="23"/>
      <w:szCs w:val="23"/>
    </w:rPr>
  </w:style>
  <w:style w:type="paragraph" w:styleId="ListParagraph">
    <w:name w:val="List Paragraph"/>
    <w:basedOn w:val="Normal"/>
    <w:uiPriority w:val="1"/>
    <w:qFormat/>
    <w:pPr>
      <w:spacing w:before="1"/>
      <w:ind w:left="219" w:right="21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0FBE"/>
    <w:pPr>
      <w:tabs>
        <w:tab w:val="center" w:pos="4680"/>
        <w:tab w:val="right" w:pos="9360"/>
      </w:tabs>
    </w:pPr>
  </w:style>
  <w:style w:type="character" w:customStyle="1" w:styleId="HeaderChar">
    <w:name w:val="Header Char"/>
    <w:basedOn w:val="DefaultParagraphFont"/>
    <w:link w:val="Header"/>
    <w:uiPriority w:val="99"/>
    <w:rsid w:val="00EC0FBE"/>
    <w:rPr>
      <w:rFonts w:ascii="Calibri" w:eastAsia="Calibri" w:hAnsi="Calibri" w:cs="Calibri"/>
    </w:rPr>
  </w:style>
  <w:style w:type="paragraph" w:styleId="Footer">
    <w:name w:val="footer"/>
    <w:basedOn w:val="Normal"/>
    <w:link w:val="FooterChar"/>
    <w:uiPriority w:val="99"/>
    <w:unhideWhenUsed/>
    <w:rsid w:val="00EC0FBE"/>
    <w:pPr>
      <w:tabs>
        <w:tab w:val="center" w:pos="4680"/>
        <w:tab w:val="right" w:pos="9360"/>
      </w:tabs>
    </w:pPr>
  </w:style>
  <w:style w:type="character" w:customStyle="1" w:styleId="FooterChar">
    <w:name w:val="Footer Char"/>
    <w:basedOn w:val="DefaultParagraphFont"/>
    <w:link w:val="Footer"/>
    <w:uiPriority w:val="99"/>
    <w:rsid w:val="00EC0FB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880</Words>
  <Characters>5016</Characters>
  <DocSecurity>0</DocSecurity>
  <Lines>41</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5885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