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510B" w14:textId="77777777" w:rsidR="00D046BC" w:rsidRDefault="00D046BC">
      <w:pPr>
        <w:pStyle w:val="BodyText"/>
        <w:spacing w:before="5"/>
        <w:rPr>
          <w:rFonts w:ascii="Times New Roman"/>
          <w:sz w:val="22"/>
        </w:rPr>
      </w:pPr>
    </w:p>
    <w:p w14:paraId="0BCFD40A" w14:textId="77777777" w:rsidR="00D046BC" w:rsidRDefault="00000000">
      <w:pPr>
        <w:pStyle w:val="Heading1"/>
        <w:spacing w:before="100" w:line="360" w:lineRule="auto"/>
        <w:ind w:left="120" w:right="6467"/>
        <w:jc w:val="left"/>
        <w:rPr>
          <w:rFonts w:ascii="Georgia" w:hAnsi="Georgia"/>
        </w:rPr>
      </w:pPr>
      <w:r>
        <w:pict w14:anchorId="6F007EE4">
          <v:rect id="_x0000_s2062" style="position:absolute;left:0;text-align:left;margin-left:176.25pt;margin-top:83.8pt;width:18pt;height:15pt;z-index:15730176;mso-position-horizontal-relative:page" filled="f" strokeweight="2pt">
            <w10:wrap anchorx="page"/>
          </v:rect>
        </w:pict>
      </w:r>
      <w:r>
        <w:pict w14:anchorId="0110E1AD">
          <v:rect id="_x0000_s2061" style="position:absolute;left:0;text-align:left;margin-left:267pt;margin-top:83.8pt;width:18pt;height:15pt;z-index:15730688;mso-position-horizontal-relative:page" filled="f" strokeweight="2pt">
            <w10:wrap anchorx="page"/>
          </v:rect>
        </w:pict>
      </w:r>
      <w:r>
        <w:pict w14:anchorId="7FAE4C3C">
          <v:shapetype id="_x0000_t202" coordsize="21600,21600" o:spt="202" path="m,l,21600r21600,l21600,xe">
            <v:stroke joinstyle="miter"/>
            <v:path gradientshapeok="t" o:connecttype="rect"/>
          </v:shapetype>
          <v:shape id="_x0000_s2060" type="#_x0000_t202" style="position:absolute;left:0;text-align:left;margin-left:297pt;margin-top:-12.9pt;width:296.25pt;height:121.5pt;z-index:15732736;mso-position-horizontal-relative:page" filled="f" strokecolor="#020000" strokeweight=".96pt">
            <v:textbox inset="0,0,0,0">
              <w:txbxContent>
                <w:p w14:paraId="6385BA04" w14:textId="77777777" w:rsidR="00D046BC" w:rsidRDefault="00000000">
                  <w:pPr>
                    <w:spacing w:before="119"/>
                    <w:ind w:left="120"/>
                  </w:pPr>
                  <w:r>
                    <w:t>Company Name stamp/imprint</w:t>
                  </w:r>
                </w:p>
              </w:txbxContent>
            </v:textbox>
            <w10:wrap anchorx="page"/>
          </v:shape>
        </w:pict>
      </w:r>
      <w:r>
        <w:rPr>
          <w:rFonts w:ascii="Georgia" w:hAnsi="Georgia"/>
        </w:rPr>
        <w:t xml:space="preserve">Southeast Florida – Tri-County Standard Household Moving Company </w:t>
      </w:r>
      <w:r>
        <w:rPr>
          <w:rFonts w:ascii="Georgia" w:hAnsi="Georgia"/>
          <w:u w:val="single"/>
        </w:rPr>
        <w:t>Consumer Disclosure</w:t>
      </w:r>
    </w:p>
    <w:p w14:paraId="3F062A39" w14:textId="77777777" w:rsidR="00D046BC" w:rsidRDefault="00D046BC">
      <w:pPr>
        <w:pStyle w:val="BodyText"/>
        <w:spacing w:before="6"/>
        <w:rPr>
          <w:rFonts w:ascii="Georgia"/>
          <w:b/>
          <w:sz w:val="25"/>
        </w:rPr>
      </w:pPr>
    </w:p>
    <w:p w14:paraId="6A8E9516" w14:textId="77777777" w:rsidR="00D046BC" w:rsidRDefault="00D046BC">
      <w:pPr>
        <w:rPr>
          <w:rFonts w:ascii="Georgia"/>
          <w:sz w:val="25"/>
        </w:rPr>
        <w:sectPr w:rsidR="00D046BC">
          <w:footerReference w:type="default" r:id="rId7"/>
          <w:type w:val="continuous"/>
          <w:pgSz w:w="12240" w:h="15840"/>
          <w:pgMar w:top="360" w:right="260" w:bottom="480" w:left="600" w:header="720" w:footer="294" w:gutter="0"/>
          <w:pgNumType w:start="1"/>
          <w:cols w:space="720"/>
        </w:sectPr>
      </w:pPr>
    </w:p>
    <w:p w14:paraId="7AFA58A9" w14:textId="77777777" w:rsidR="00D046BC" w:rsidRDefault="00000000">
      <w:pPr>
        <w:pStyle w:val="BodyText"/>
        <w:spacing w:before="51"/>
        <w:ind w:left="120"/>
      </w:pPr>
      <w:r>
        <w:pict w14:anchorId="5CAFA84F">
          <v:rect id="_x0000_s2059" style="position:absolute;left:0;text-align:left;margin-left:85.5pt;margin-top:2.9pt;width:18pt;height:15pt;z-index:15729664;mso-position-horizontal-relative:page" filled="f" strokeweight="2pt">
            <w10:wrap anchorx="page"/>
          </v:rect>
        </w:pict>
      </w:r>
      <w:r>
        <w:t>Broward</w:t>
      </w:r>
    </w:p>
    <w:p w14:paraId="71284C45" w14:textId="77777777" w:rsidR="00D046BC" w:rsidRDefault="00000000">
      <w:pPr>
        <w:pStyle w:val="BodyText"/>
        <w:spacing w:before="51"/>
        <w:ind w:left="120"/>
      </w:pPr>
      <w:r>
        <w:br w:type="column"/>
      </w:r>
      <w:r>
        <w:t>Miami-Dade</w:t>
      </w:r>
    </w:p>
    <w:p w14:paraId="3202DD17" w14:textId="77777777" w:rsidR="00D046BC" w:rsidRDefault="00000000">
      <w:pPr>
        <w:pStyle w:val="BodyText"/>
        <w:spacing w:before="51"/>
        <w:ind w:left="120"/>
      </w:pPr>
      <w:r>
        <w:br w:type="column"/>
      </w:r>
      <w:r>
        <w:t>Palm Beach</w:t>
      </w:r>
    </w:p>
    <w:p w14:paraId="32E89618" w14:textId="77777777" w:rsidR="00D046BC" w:rsidRDefault="00D046BC">
      <w:pPr>
        <w:sectPr w:rsidR="00D046BC">
          <w:type w:val="continuous"/>
          <w:pgSz w:w="12240" w:h="15840"/>
          <w:pgMar w:top="360" w:right="260" w:bottom="480" w:left="600" w:header="720" w:footer="720" w:gutter="0"/>
          <w:cols w:num="3" w:space="720" w:equalWidth="0">
            <w:col w:w="997" w:space="498"/>
            <w:col w:w="1366" w:space="509"/>
            <w:col w:w="8010"/>
          </w:cols>
        </w:sectPr>
      </w:pPr>
    </w:p>
    <w:p w14:paraId="1FD2EF49" w14:textId="77777777" w:rsidR="00D046BC" w:rsidRDefault="00D046BC">
      <w:pPr>
        <w:pStyle w:val="BodyText"/>
        <w:rPr>
          <w:sz w:val="20"/>
        </w:rPr>
      </w:pPr>
    </w:p>
    <w:p w14:paraId="7A3291D1" w14:textId="77777777" w:rsidR="00D046BC" w:rsidRDefault="00D046BC">
      <w:pPr>
        <w:pStyle w:val="BodyText"/>
        <w:spacing w:before="1"/>
        <w:rPr>
          <w:sz w:val="16"/>
        </w:rPr>
      </w:pPr>
    </w:p>
    <w:p w14:paraId="0110F804" w14:textId="77777777" w:rsidR="00D046BC" w:rsidRDefault="00000000">
      <w:pPr>
        <w:pStyle w:val="ListParagraph"/>
        <w:numPr>
          <w:ilvl w:val="0"/>
          <w:numId w:val="1"/>
        </w:numPr>
        <w:tabs>
          <w:tab w:val="left" w:pos="839"/>
          <w:tab w:val="left" w:pos="841"/>
        </w:tabs>
        <w:spacing w:before="56"/>
        <w:ind w:right="460"/>
        <w:rPr>
          <w:b/>
        </w:rPr>
      </w:pPr>
      <w:r>
        <w:rPr>
          <w:b/>
        </w:rPr>
        <w:t xml:space="preserve">“DO NOT” sign contract if the Total cost of your move is not clearly shown. The </w:t>
      </w:r>
      <w:r>
        <w:rPr>
          <w:b/>
          <w:i/>
        </w:rPr>
        <w:t xml:space="preserve">current </w:t>
      </w:r>
      <w:r>
        <w:rPr>
          <w:b/>
        </w:rPr>
        <w:t>date and time must be included when you sign the</w:t>
      </w:r>
      <w:r>
        <w:rPr>
          <w:b/>
          <w:spacing w:val="-9"/>
        </w:rPr>
        <w:t xml:space="preserve"> </w:t>
      </w:r>
      <w:r>
        <w:rPr>
          <w:b/>
        </w:rPr>
        <w:t>contract.</w:t>
      </w:r>
    </w:p>
    <w:p w14:paraId="030752F3" w14:textId="77777777" w:rsidR="00D046BC" w:rsidRDefault="00D046BC">
      <w:pPr>
        <w:pStyle w:val="BodyText"/>
        <w:spacing w:before="3"/>
        <w:rPr>
          <w:b/>
          <w:sz w:val="22"/>
        </w:rPr>
      </w:pPr>
    </w:p>
    <w:p w14:paraId="4B05EF2C" w14:textId="77777777" w:rsidR="00D046BC" w:rsidRDefault="00000000">
      <w:pPr>
        <w:pStyle w:val="ListParagraph"/>
        <w:numPr>
          <w:ilvl w:val="0"/>
          <w:numId w:val="1"/>
        </w:numPr>
        <w:tabs>
          <w:tab w:val="left" w:pos="839"/>
          <w:tab w:val="left" w:pos="841"/>
        </w:tabs>
        <w:rPr>
          <w:b/>
        </w:rPr>
      </w:pPr>
      <w:r>
        <w:rPr>
          <w:b/>
        </w:rPr>
        <w:t xml:space="preserve">“DO NOT” sign contract unless it is given to you </w:t>
      </w:r>
      <w:r>
        <w:rPr>
          <w:b/>
          <w:u w:val="single"/>
        </w:rPr>
        <w:t>PRIOR</w:t>
      </w:r>
      <w:r>
        <w:rPr>
          <w:b/>
        </w:rPr>
        <w:t xml:space="preserve"> to wrapping, packing, or loading your</w:t>
      </w:r>
      <w:r>
        <w:rPr>
          <w:b/>
          <w:spacing w:val="-22"/>
        </w:rPr>
        <w:t xml:space="preserve"> </w:t>
      </w:r>
      <w:r>
        <w:rPr>
          <w:b/>
        </w:rPr>
        <w:t>goods.</w:t>
      </w:r>
    </w:p>
    <w:p w14:paraId="3DB5477B" w14:textId="77777777" w:rsidR="00D046BC" w:rsidRDefault="00D046BC">
      <w:pPr>
        <w:pStyle w:val="BodyText"/>
        <w:spacing w:before="3"/>
        <w:rPr>
          <w:b/>
          <w:sz w:val="17"/>
        </w:rPr>
      </w:pPr>
    </w:p>
    <w:p w14:paraId="6E8418C4" w14:textId="77777777" w:rsidR="00D046BC" w:rsidRDefault="00000000">
      <w:pPr>
        <w:pStyle w:val="ListParagraph"/>
        <w:numPr>
          <w:ilvl w:val="0"/>
          <w:numId w:val="1"/>
        </w:numPr>
        <w:tabs>
          <w:tab w:val="left" w:pos="839"/>
          <w:tab w:val="left" w:pos="841"/>
        </w:tabs>
        <w:spacing w:before="57"/>
        <w:rPr>
          <w:b/>
        </w:rPr>
      </w:pPr>
      <w:r>
        <w:rPr>
          <w:b/>
        </w:rPr>
        <w:t>“DO” get a copy of contract immediately upon</w:t>
      </w:r>
      <w:r>
        <w:rPr>
          <w:b/>
          <w:spacing w:val="-6"/>
        </w:rPr>
        <w:t xml:space="preserve"> </w:t>
      </w:r>
      <w:r>
        <w:rPr>
          <w:b/>
        </w:rPr>
        <w:t>signing.</w:t>
      </w:r>
    </w:p>
    <w:p w14:paraId="5CB7044C" w14:textId="77777777" w:rsidR="00D046BC" w:rsidRDefault="00000000">
      <w:pPr>
        <w:pStyle w:val="ListParagraph"/>
        <w:numPr>
          <w:ilvl w:val="0"/>
          <w:numId w:val="1"/>
        </w:numPr>
        <w:tabs>
          <w:tab w:val="left" w:pos="839"/>
          <w:tab w:val="left" w:pos="841"/>
        </w:tabs>
        <w:spacing w:before="46" w:line="540" w:lineRule="exact"/>
        <w:ind w:left="1559" w:right="845" w:hanging="1440"/>
      </w:pPr>
      <w:r>
        <w:pict w14:anchorId="59D8D682">
          <v:rect id="_x0000_s2058" style="position:absolute;left:0;text-align:left;margin-left:85.5pt;margin-top:39.95pt;width:14.25pt;height:11.25pt;z-index:-15844352;mso-position-horizontal-relative:page" filled="f" strokeweight="2pt">
            <w10:wrap anchorx="page"/>
          </v:rect>
        </w:pict>
      </w:r>
      <w:r>
        <w:rPr>
          <w:b/>
        </w:rPr>
        <w:t>FORM OF PAYMENT - every moving company must accept at least two of the following payment methods</w:t>
      </w:r>
      <w:r>
        <w:t xml:space="preserve">: </w:t>
      </w:r>
      <w:r>
        <w:rPr>
          <w:b/>
        </w:rPr>
        <w:t xml:space="preserve">Cash </w:t>
      </w:r>
      <w:r>
        <w:t>(includes cashier’s check, money order or traveler’s</w:t>
      </w:r>
      <w:r>
        <w:rPr>
          <w:spacing w:val="-10"/>
        </w:rPr>
        <w:t xml:space="preserve"> </w:t>
      </w:r>
      <w:r>
        <w:t>check)</w:t>
      </w:r>
    </w:p>
    <w:p w14:paraId="742CC36E" w14:textId="77777777" w:rsidR="00D046BC" w:rsidRDefault="00000000">
      <w:pPr>
        <w:spacing w:line="261" w:lineRule="exact"/>
        <w:ind w:left="1559"/>
      </w:pPr>
      <w:r>
        <w:pict w14:anchorId="6EAA2412">
          <v:rect id="_x0000_s2057" style="position:absolute;left:0;text-align:left;margin-left:85.5pt;margin-top:1.4pt;width:14.25pt;height:11.25pt;z-index:15731712;mso-position-horizontal-relative:page" filled="f" strokeweight="2pt">
            <w10:wrap anchorx="page"/>
          </v:rect>
        </w:pict>
      </w:r>
      <w:r>
        <w:rPr>
          <w:b/>
        </w:rPr>
        <w:t xml:space="preserve">Personal Check </w:t>
      </w:r>
      <w:r>
        <w:t>(Must show imprinted name and address)</w:t>
      </w:r>
    </w:p>
    <w:p w14:paraId="74523B68" w14:textId="77777777" w:rsidR="00D046BC" w:rsidRDefault="00000000">
      <w:pPr>
        <w:spacing w:before="39"/>
        <w:ind w:left="1560"/>
      </w:pPr>
      <w:r>
        <w:pict w14:anchorId="1036C77E">
          <v:rect id="_x0000_s2056" style="position:absolute;left:0;text-align:left;margin-left:85.5pt;margin-top:6.2pt;width:14.25pt;height:11.25pt;z-index:15732224;mso-position-horizontal-relative:page" filled="f" strokeweight="2pt">
            <w10:wrap anchorx="page"/>
          </v:rect>
        </w:pict>
      </w:r>
      <w:r>
        <w:rPr>
          <w:b/>
        </w:rPr>
        <w:t xml:space="preserve">Credit Card </w:t>
      </w:r>
      <w:r>
        <w:t>(Must include, but not limited to VISA or MasterCard)</w:t>
      </w:r>
    </w:p>
    <w:p w14:paraId="11BE0D14" w14:textId="77777777" w:rsidR="00D046BC" w:rsidRDefault="00D046BC">
      <w:pPr>
        <w:pStyle w:val="BodyText"/>
        <w:spacing w:before="4"/>
        <w:rPr>
          <w:sz w:val="25"/>
        </w:rPr>
      </w:pPr>
    </w:p>
    <w:p w14:paraId="43087B54" w14:textId="77777777" w:rsidR="00D046BC" w:rsidRDefault="00000000">
      <w:pPr>
        <w:pStyle w:val="ListParagraph"/>
        <w:numPr>
          <w:ilvl w:val="0"/>
          <w:numId w:val="1"/>
        </w:numPr>
        <w:tabs>
          <w:tab w:val="left" w:pos="1199"/>
          <w:tab w:val="left" w:pos="1200"/>
        </w:tabs>
        <w:ind w:left="1200" w:hanging="1080"/>
        <w:rPr>
          <w:b/>
          <w:sz w:val="20"/>
        </w:rPr>
      </w:pPr>
      <w:r>
        <w:rPr>
          <w:b/>
        </w:rPr>
        <w:t xml:space="preserve">VALUATION COVERAGE </w:t>
      </w:r>
      <w:r>
        <w:t>– (</w:t>
      </w:r>
      <w:r>
        <w:rPr>
          <w:b/>
        </w:rPr>
        <w:t>You have two options – initial your</w:t>
      </w:r>
      <w:r>
        <w:rPr>
          <w:b/>
          <w:spacing w:val="-10"/>
        </w:rPr>
        <w:t xml:space="preserve"> </w:t>
      </w:r>
      <w:r>
        <w:rPr>
          <w:b/>
        </w:rPr>
        <w:t>choice)</w:t>
      </w:r>
    </w:p>
    <w:p w14:paraId="37700ECC" w14:textId="77777777" w:rsidR="00D046BC" w:rsidRDefault="00D046BC">
      <w:pPr>
        <w:pStyle w:val="BodyText"/>
        <w:spacing w:before="6"/>
        <w:rPr>
          <w:b/>
          <w:sz w:val="17"/>
        </w:rPr>
      </w:pPr>
    </w:p>
    <w:p w14:paraId="60F4744F" w14:textId="77777777" w:rsidR="00D046BC" w:rsidRDefault="00000000">
      <w:pPr>
        <w:tabs>
          <w:tab w:val="left" w:pos="1859"/>
        </w:tabs>
        <w:spacing w:before="56"/>
        <w:ind w:left="1199" w:right="529"/>
      </w:pPr>
      <w:r>
        <w:rPr>
          <w:b/>
          <w:u w:val="thick"/>
        </w:rPr>
        <w:t xml:space="preserve"> </w:t>
      </w:r>
      <w:r>
        <w:rPr>
          <w:b/>
          <w:u w:val="thick"/>
        </w:rPr>
        <w:tab/>
      </w:r>
      <w:r>
        <w:rPr>
          <w:b/>
        </w:rPr>
        <w:t xml:space="preserve"> OPTION 1 – Standard Valuation Coverage: PLEASE READ CAREFULLY – by choosing this Option you are waiving certain valuable coverage which protects your possessions above the minimum amounts by law. </w:t>
      </w:r>
      <w:r>
        <w:t xml:space="preserve">If your goods become damaged or lost, the moving company may be required to reimburse you to a maximum amount of </w:t>
      </w:r>
      <w:r>
        <w:rPr>
          <w:u w:val="single"/>
        </w:rPr>
        <w:t>only sixty cents ($.60) per pound/per article,</w:t>
      </w:r>
      <w:r>
        <w:t xml:space="preserve"> considerably less than the average value of household goods. There is no additional cost or deductible for standard coverage. (Example: If you have a 5-pound table lamp worth $300.00 and it is damaged or lost, you are only entitled to a maximum reimbursement of</w:t>
      </w:r>
      <w:r>
        <w:rPr>
          <w:spacing w:val="-3"/>
        </w:rPr>
        <w:t xml:space="preserve"> </w:t>
      </w:r>
      <w:r>
        <w:t>$3.00)</w:t>
      </w:r>
    </w:p>
    <w:p w14:paraId="1D1EF07D" w14:textId="77777777" w:rsidR="00D046BC" w:rsidRDefault="00000000">
      <w:pPr>
        <w:tabs>
          <w:tab w:val="left" w:pos="1859"/>
        </w:tabs>
        <w:ind w:left="1199" w:right="468"/>
        <w:jc w:val="both"/>
      </w:pPr>
      <w:r>
        <w:rPr>
          <w:b/>
          <w:u w:val="thick"/>
        </w:rPr>
        <w:t xml:space="preserve"> </w:t>
      </w:r>
      <w:r>
        <w:rPr>
          <w:b/>
          <w:u w:val="thick"/>
        </w:rPr>
        <w:tab/>
      </w:r>
      <w:r>
        <w:rPr>
          <w:b/>
        </w:rPr>
        <w:t xml:space="preserve"> OPTION 2 – Additional Valuation Coverage: </w:t>
      </w:r>
      <w:r>
        <w:t>Additional coverage is available to compensate you for goods lost or damaged at an amount closer to the declared or replacement value. The terms must be clearly defined in the contract you</w:t>
      </w:r>
      <w:r>
        <w:rPr>
          <w:spacing w:val="-8"/>
        </w:rPr>
        <w:t xml:space="preserve"> </w:t>
      </w:r>
      <w:r>
        <w:t>sign.</w:t>
      </w:r>
    </w:p>
    <w:p w14:paraId="46FCB391" w14:textId="77777777" w:rsidR="00D046BC" w:rsidRDefault="00000000">
      <w:pPr>
        <w:tabs>
          <w:tab w:val="left" w:pos="4230"/>
        </w:tabs>
        <w:ind w:left="1199" w:right="517"/>
      </w:pPr>
      <w:r>
        <w:rPr>
          <w:b/>
        </w:rPr>
        <w:t xml:space="preserve">There is an additional cost for this coverage. </w:t>
      </w:r>
      <w:r>
        <w:t>The additional coverage may contain a negotiated deductible, which is disclosed</w:t>
      </w:r>
      <w:r>
        <w:rPr>
          <w:spacing w:val="-5"/>
        </w:rPr>
        <w:t xml:space="preserve"> </w:t>
      </w:r>
      <w:r>
        <w:t>as $</w:t>
      </w:r>
      <w:r>
        <w:rPr>
          <w:u w:val="single"/>
        </w:rPr>
        <w:t xml:space="preserve"> </w:t>
      </w:r>
      <w:r>
        <w:rPr>
          <w:u w:val="single"/>
        </w:rPr>
        <w:tab/>
      </w:r>
      <w:r>
        <w:t>. If a deductible applies, you are still entitled to the standard valuation coverage of $.60 per pound as described in Option 1 above on the deductible</w:t>
      </w:r>
      <w:r>
        <w:rPr>
          <w:spacing w:val="-18"/>
        </w:rPr>
        <w:t xml:space="preserve"> </w:t>
      </w:r>
      <w:r>
        <w:t>amount.</w:t>
      </w:r>
    </w:p>
    <w:p w14:paraId="67819871" w14:textId="77777777" w:rsidR="00D046BC" w:rsidRDefault="00D046BC">
      <w:pPr>
        <w:pStyle w:val="BodyText"/>
        <w:spacing w:before="10"/>
        <w:rPr>
          <w:sz w:val="21"/>
        </w:rPr>
      </w:pPr>
    </w:p>
    <w:p w14:paraId="71C20DED" w14:textId="77777777" w:rsidR="00D046BC" w:rsidRDefault="00000000">
      <w:pPr>
        <w:tabs>
          <w:tab w:val="left" w:pos="5462"/>
        </w:tabs>
        <w:spacing w:before="1"/>
        <w:ind w:left="120" w:right="726"/>
        <w:rPr>
          <w:b/>
        </w:rPr>
      </w:pPr>
      <w:r>
        <w:rPr>
          <w:b/>
        </w:rPr>
        <w:t>I understand the total moving contract</w:t>
      </w:r>
      <w:r>
        <w:rPr>
          <w:b/>
          <w:spacing w:val="-8"/>
        </w:rPr>
        <w:t xml:space="preserve"> </w:t>
      </w:r>
      <w:r>
        <w:rPr>
          <w:b/>
        </w:rPr>
        <w:t xml:space="preserve">is </w:t>
      </w:r>
      <w:r>
        <w:rPr>
          <w:b/>
          <w:spacing w:val="-3"/>
        </w:rPr>
        <w:t>$</w:t>
      </w:r>
      <w:r>
        <w:rPr>
          <w:b/>
          <w:spacing w:val="-3"/>
          <w:u w:val="single"/>
        </w:rPr>
        <w:t xml:space="preserve"> </w:t>
      </w:r>
      <w:r>
        <w:rPr>
          <w:b/>
          <w:spacing w:val="-3"/>
          <w:u w:val="single"/>
        </w:rPr>
        <w:tab/>
      </w:r>
      <w:r>
        <w:rPr>
          <w:b/>
        </w:rPr>
        <w:t xml:space="preserve">. This includes all inventory all inventory preparation, labor, transportation, packing materials/costs, </w:t>
      </w:r>
      <w:proofErr w:type="gramStart"/>
      <w:r>
        <w:rPr>
          <w:b/>
        </w:rPr>
        <w:t>storage</w:t>
      </w:r>
      <w:proofErr w:type="gramEnd"/>
      <w:r>
        <w:rPr>
          <w:b/>
        </w:rPr>
        <w:t xml:space="preserve"> and any additional valuation coverage. I understand that all household goods must be delivered and unloaded when the mover is paid this</w:t>
      </w:r>
      <w:r>
        <w:rPr>
          <w:b/>
          <w:spacing w:val="-18"/>
        </w:rPr>
        <w:t xml:space="preserve"> </w:t>
      </w:r>
      <w:r>
        <w:rPr>
          <w:b/>
        </w:rPr>
        <w:t>amount.</w:t>
      </w:r>
    </w:p>
    <w:p w14:paraId="3C9D25FF" w14:textId="77777777" w:rsidR="00D046BC" w:rsidRDefault="00000000">
      <w:pPr>
        <w:pStyle w:val="BodyText"/>
        <w:spacing w:before="1"/>
        <w:rPr>
          <w:b/>
        </w:rPr>
      </w:pPr>
      <w:r>
        <w:pict w14:anchorId="208FF77B">
          <v:group id="_x0000_s2053" style="position:absolute;margin-left:36pt;margin-top:16.65pt;width:233.3pt;height:41.2pt;z-index:-15728640;mso-wrap-distance-left:0;mso-wrap-distance-right:0;mso-position-horizontal-relative:page" coordorigin="720,333" coordsize="4666,824">
            <v:rect id="_x0000_s2055" style="position:absolute;left:719;top:1127;width:4666;height:30" fillcolor="black" stroked="f"/>
            <v:shape id="_x0000_s2054" type="#_x0000_t202" style="position:absolute;left:720;top:333;width:4666;height:794" filled="f" stroked="f">
              <v:textbox inset="0,0,0,0">
                <w:txbxContent>
                  <w:p w14:paraId="172C2892" w14:textId="77777777" w:rsidR="00D046BC" w:rsidRDefault="00000000">
                    <w:pPr>
                      <w:spacing w:before="239"/>
                      <w:ind w:left="182"/>
                      <w:rPr>
                        <w:rFonts w:ascii="Arial"/>
                        <w:sz w:val="48"/>
                      </w:rPr>
                    </w:pPr>
                    <w:r>
                      <w:rPr>
                        <w:rFonts w:ascii="Arial"/>
                        <w:w w:val="121"/>
                        <w:sz w:val="48"/>
                      </w:rPr>
                      <w:t>X</w:t>
                    </w:r>
                  </w:p>
                </w:txbxContent>
              </v:textbox>
            </v:shape>
            <w10:wrap type="topAndBottom" anchorx="page"/>
          </v:group>
        </w:pict>
      </w:r>
      <w:r>
        <w:pict w14:anchorId="4E15E0D5">
          <v:group id="_x0000_s2050" style="position:absolute;margin-left:4in;margin-top:16.65pt;width:240.6pt;height:41.2pt;z-index:-15728128;mso-wrap-distance-left:0;mso-wrap-distance-right:0;mso-position-horizontal-relative:page" coordorigin="5760,333" coordsize="4812,824">
            <v:rect id="_x0000_s2052" style="position:absolute;left:5759;top:1127;width:4812;height:30" fillcolor="black" stroked="f"/>
            <v:shape id="_x0000_s2051" type="#_x0000_t202" style="position:absolute;left:5760;top:333;width:4812;height:794" filled="f" stroked="f">
              <v:textbox inset="0,0,0,0">
                <w:txbxContent>
                  <w:p w14:paraId="3BED04D9" w14:textId="77777777" w:rsidR="00D046BC" w:rsidRDefault="00000000">
                    <w:pPr>
                      <w:spacing w:before="239"/>
                      <w:ind w:left="187"/>
                      <w:rPr>
                        <w:rFonts w:ascii="Arial"/>
                        <w:sz w:val="48"/>
                      </w:rPr>
                    </w:pPr>
                    <w:r>
                      <w:rPr>
                        <w:rFonts w:ascii="Arial"/>
                        <w:w w:val="125"/>
                        <w:sz w:val="48"/>
                      </w:rPr>
                      <w:t>X</w:t>
                    </w:r>
                  </w:p>
                </w:txbxContent>
              </v:textbox>
            </v:shape>
            <w10:wrap type="topAndBottom" anchorx="page"/>
          </v:group>
        </w:pict>
      </w:r>
    </w:p>
    <w:p w14:paraId="73C78CDD" w14:textId="77777777" w:rsidR="00D046BC" w:rsidRDefault="00D046BC">
      <w:pPr>
        <w:pStyle w:val="BodyText"/>
        <w:spacing w:before="9"/>
        <w:rPr>
          <w:b/>
          <w:sz w:val="12"/>
        </w:rPr>
      </w:pPr>
    </w:p>
    <w:p w14:paraId="4973E356" w14:textId="77777777" w:rsidR="00D046BC" w:rsidRDefault="00000000">
      <w:pPr>
        <w:tabs>
          <w:tab w:val="left" w:pos="5347"/>
        </w:tabs>
        <w:spacing w:before="105"/>
        <w:ind w:left="302"/>
        <w:rPr>
          <w:rFonts w:ascii="Tahoma"/>
          <w:sz w:val="16"/>
        </w:rPr>
      </w:pPr>
      <w:r>
        <w:rPr>
          <w:rFonts w:ascii="Tahoma"/>
          <w:w w:val="125"/>
          <w:sz w:val="16"/>
        </w:rPr>
        <w:t>Customer's</w:t>
      </w:r>
      <w:r>
        <w:rPr>
          <w:rFonts w:ascii="Tahoma"/>
          <w:spacing w:val="-16"/>
          <w:w w:val="125"/>
          <w:sz w:val="16"/>
        </w:rPr>
        <w:t xml:space="preserve"> </w:t>
      </w:r>
      <w:r>
        <w:rPr>
          <w:rFonts w:ascii="Tahoma"/>
          <w:w w:val="125"/>
          <w:sz w:val="16"/>
        </w:rPr>
        <w:t>Signature</w:t>
      </w:r>
      <w:r>
        <w:rPr>
          <w:rFonts w:ascii="Tahoma"/>
          <w:w w:val="125"/>
          <w:sz w:val="16"/>
        </w:rPr>
        <w:tab/>
        <w:t>Mover's</w:t>
      </w:r>
      <w:r>
        <w:rPr>
          <w:rFonts w:ascii="Tahoma"/>
          <w:spacing w:val="-4"/>
          <w:w w:val="125"/>
          <w:sz w:val="16"/>
        </w:rPr>
        <w:t xml:space="preserve"> </w:t>
      </w:r>
      <w:r>
        <w:rPr>
          <w:rFonts w:ascii="Tahoma"/>
          <w:w w:val="125"/>
          <w:sz w:val="16"/>
        </w:rPr>
        <w:t>Signature</w:t>
      </w:r>
    </w:p>
    <w:p w14:paraId="7DE52731" w14:textId="77777777" w:rsidR="00D046BC" w:rsidRDefault="00D046BC">
      <w:pPr>
        <w:pStyle w:val="BodyText"/>
        <w:spacing w:before="7"/>
        <w:rPr>
          <w:rFonts w:ascii="Tahoma"/>
          <w:sz w:val="18"/>
        </w:rPr>
      </w:pPr>
    </w:p>
    <w:p w14:paraId="5B1D718B" w14:textId="77777777" w:rsidR="00D046BC" w:rsidRDefault="00000000">
      <w:pPr>
        <w:tabs>
          <w:tab w:val="left" w:pos="3164"/>
          <w:tab w:val="left" w:pos="5160"/>
          <w:tab w:val="left" w:pos="8654"/>
        </w:tabs>
        <w:spacing w:before="56"/>
        <w:ind w:left="120"/>
      </w:pPr>
      <w:r>
        <w:rPr>
          <w:b/>
        </w:rPr>
        <w:t>Date</w:t>
      </w:r>
      <w:r>
        <w:t>:</w:t>
      </w:r>
      <w:r>
        <w:rPr>
          <w:u w:val="single"/>
        </w:rPr>
        <w:t xml:space="preserve"> </w:t>
      </w:r>
      <w:r>
        <w:rPr>
          <w:u w:val="single"/>
        </w:rPr>
        <w:tab/>
      </w:r>
      <w:r>
        <w:tab/>
      </w:r>
      <w:r>
        <w:rPr>
          <w:b/>
        </w:rPr>
        <w:t>Date</w:t>
      </w:r>
      <w:r>
        <w:t>:</w:t>
      </w:r>
      <w:r>
        <w:rPr>
          <w:spacing w:val="11"/>
        </w:rPr>
        <w:t xml:space="preserve"> </w:t>
      </w:r>
      <w:r>
        <w:rPr>
          <w:u w:val="single"/>
        </w:rPr>
        <w:t xml:space="preserve"> </w:t>
      </w:r>
      <w:r>
        <w:rPr>
          <w:u w:val="single"/>
        </w:rPr>
        <w:tab/>
      </w:r>
    </w:p>
    <w:p w14:paraId="1399CD52" w14:textId="77777777" w:rsidR="00D046BC" w:rsidRDefault="00D046BC">
      <w:pPr>
        <w:pStyle w:val="BodyText"/>
        <w:rPr>
          <w:sz w:val="22"/>
        </w:rPr>
      </w:pPr>
    </w:p>
    <w:p w14:paraId="0E6684E1" w14:textId="77777777" w:rsidR="00D046BC" w:rsidRDefault="00000000">
      <w:pPr>
        <w:tabs>
          <w:tab w:val="left" w:pos="3164"/>
          <w:tab w:val="left" w:pos="5160"/>
          <w:tab w:val="left" w:pos="8204"/>
        </w:tabs>
        <w:spacing w:before="1"/>
        <w:ind w:left="120"/>
      </w:pPr>
      <w:r>
        <w:rPr>
          <w:b/>
        </w:rPr>
        <w:t>Time</w:t>
      </w:r>
      <w:r>
        <w:rPr>
          <w:b/>
          <w:spacing w:val="-2"/>
        </w:rPr>
        <w:t xml:space="preserve"> </w:t>
      </w:r>
      <w:r>
        <w:rPr>
          <w:b/>
        </w:rPr>
        <w:t>Signed</w:t>
      </w:r>
      <w:r>
        <w:t>:</w:t>
      </w:r>
      <w:r>
        <w:rPr>
          <w:u w:val="single"/>
        </w:rPr>
        <w:t xml:space="preserve"> </w:t>
      </w:r>
      <w:r>
        <w:rPr>
          <w:u w:val="single"/>
        </w:rPr>
        <w:tab/>
      </w:r>
      <w:r>
        <w:tab/>
      </w:r>
      <w:r>
        <w:rPr>
          <w:b/>
        </w:rPr>
        <w:t>Time</w:t>
      </w:r>
      <w:r>
        <w:rPr>
          <w:b/>
          <w:spacing w:val="-3"/>
        </w:rPr>
        <w:t xml:space="preserve"> </w:t>
      </w:r>
      <w:r>
        <w:rPr>
          <w:b/>
        </w:rPr>
        <w:t>Signed</w:t>
      </w:r>
      <w:r>
        <w:t xml:space="preserve">: </w:t>
      </w:r>
      <w:r>
        <w:rPr>
          <w:spacing w:val="2"/>
        </w:rPr>
        <w:t xml:space="preserve"> </w:t>
      </w:r>
      <w:r>
        <w:rPr>
          <w:u w:val="single"/>
        </w:rPr>
        <w:t xml:space="preserve"> </w:t>
      </w:r>
      <w:r>
        <w:rPr>
          <w:u w:val="single"/>
        </w:rPr>
        <w:tab/>
      </w:r>
    </w:p>
    <w:p w14:paraId="0E046729" w14:textId="77777777" w:rsidR="00D046BC" w:rsidRDefault="00D046BC">
      <w:pPr>
        <w:sectPr w:rsidR="00D046BC">
          <w:type w:val="continuous"/>
          <w:pgSz w:w="12240" w:h="15840"/>
          <w:pgMar w:top="360" w:right="260" w:bottom="480" w:left="600" w:header="720" w:footer="720" w:gutter="0"/>
          <w:cols w:space="720"/>
        </w:sectPr>
      </w:pPr>
    </w:p>
    <w:p w14:paraId="59F644F1" w14:textId="77777777" w:rsidR="00D046BC" w:rsidRDefault="00000000">
      <w:pPr>
        <w:spacing w:before="37"/>
        <w:ind w:left="120" w:right="610"/>
      </w:pPr>
      <w:r>
        <w:lastRenderedPageBreak/>
        <w:t>If you have concerns about any move that began or ended in Broward, Miami-</w:t>
      </w:r>
      <w:proofErr w:type="gramStart"/>
      <w:r>
        <w:t>Dade</w:t>
      </w:r>
      <w:proofErr w:type="gramEnd"/>
      <w:r>
        <w:t xml:space="preserve"> or Palm Beach County and that has not been resolved by your moving company, please contact the appropriate consumer protection agency where your move </w:t>
      </w:r>
      <w:r>
        <w:rPr>
          <w:b/>
          <w:u w:val="single"/>
        </w:rPr>
        <w:t>ended</w:t>
      </w:r>
      <w:r>
        <w:t>.</w:t>
      </w:r>
    </w:p>
    <w:p w14:paraId="57BFC277" w14:textId="77777777" w:rsidR="00D046BC" w:rsidRDefault="00D046BC">
      <w:pPr>
        <w:pStyle w:val="BodyText"/>
        <w:spacing w:before="3" w:after="1"/>
        <w:rPr>
          <w:sz w:val="22"/>
        </w:rPr>
      </w:pPr>
    </w:p>
    <w:tbl>
      <w:tblPr>
        <w:tblW w:w="0" w:type="auto"/>
        <w:tblInd w:w="4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03"/>
        <w:gridCol w:w="2791"/>
        <w:gridCol w:w="2625"/>
        <w:gridCol w:w="2546"/>
      </w:tblGrid>
      <w:tr w:rsidR="00D046BC" w14:paraId="46F1F9A8" w14:textId="77777777">
        <w:trPr>
          <w:trHeight w:val="303"/>
        </w:trPr>
        <w:tc>
          <w:tcPr>
            <w:tcW w:w="2203" w:type="dxa"/>
          </w:tcPr>
          <w:p w14:paraId="7294452A" w14:textId="77777777" w:rsidR="00D046BC" w:rsidRDefault="00D046BC">
            <w:pPr>
              <w:pStyle w:val="TableParagraph"/>
              <w:jc w:val="left"/>
              <w:rPr>
                <w:rFonts w:ascii="Times New Roman"/>
              </w:rPr>
            </w:pPr>
          </w:p>
        </w:tc>
        <w:tc>
          <w:tcPr>
            <w:tcW w:w="2791" w:type="dxa"/>
          </w:tcPr>
          <w:p w14:paraId="3D2E58B7" w14:textId="77777777" w:rsidR="00D046BC" w:rsidRDefault="00000000">
            <w:pPr>
              <w:pStyle w:val="TableParagraph"/>
              <w:spacing w:line="265" w:lineRule="exact"/>
              <w:ind w:left="273" w:right="247"/>
              <w:rPr>
                <w:b/>
              </w:rPr>
            </w:pPr>
            <w:r>
              <w:rPr>
                <w:b/>
              </w:rPr>
              <w:t>Broward County</w:t>
            </w:r>
          </w:p>
        </w:tc>
        <w:tc>
          <w:tcPr>
            <w:tcW w:w="2625" w:type="dxa"/>
          </w:tcPr>
          <w:p w14:paraId="360E3315" w14:textId="77777777" w:rsidR="00D046BC" w:rsidRDefault="00000000">
            <w:pPr>
              <w:pStyle w:val="TableParagraph"/>
              <w:spacing w:line="265" w:lineRule="exact"/>
              <w:ind w:left="61" w:right="30"/>
              <w:rPr>
                <w:b/>
              </w:rPr>
            </w:pPr>
            <w:r>
              <w:rPr>
                <w:b/>
              </w:rPr>
              <w:t>Miami-Dade County</w:t>
            </w:r>
          </w:p>
        </w:tc>
        <w:tc>
          <w:tcPr>
            <w:tcW w:w="2546" w:type="dxa"/>
          </w:tcPr>
          <w:p w14:paraId="59CA74DC" w14:textId="77777777" w:rsidR="00D046BC" w:rsidRDefault="00000000">
            <w:pPr>
              <w:pStyle w:val="TableParagraph"/>
              <w:spacing w:line="265" w:lineRule="exact"/>
              <w:ind w:left="103" w:right="73"/>
              <w:rPr>
                <w:b/>
              </w:rPr>
            </w:pPr>
            <w:r>
              <w:rPr>
                <w:b/>
              </w:rPr>
              <w:t>Palm Beach County</w:t>
            </w:r>
          </w:p>
        </w:tc>
      </w:tr>
      <w:tr w:rsidR="00D046BC" w14:paraId="343F696B" w14:textId="77777777">
        <w:trPr>
          <w:trHeight w:val="1145"/>
        </w:trPr>
        <w:tc>
          <w:tcPr>
            <w:tcW w:w="2203" w:type="dxa"/>
          </w:tcPr>
          <w:p w14:paraId="4C0384C9" w14:textId="77777777" w:rsidR="00D046BC" w:rsidRDefault="00D046BC">
            <w:pPr>
              <w:pStyle w:val="TableParagraph"/>
              <w:jc w:val="left"/>
            </w:pPr>
          </w:p>
          <w:p w14:paraId="3E09FC4B" w14:textId="77777777" w:rsidR="00D046BC" w:rsidRDefault="00000000">
            <w:pPr>
              <w:pStyle w:val="TableParagraph"/>
              <w:spacing w:before="150"/>
              <w:ind w:left="453" w:right="424"/>
              <w:rPr>
                <w:b/>
              </w:rPr>
            </w:pPr>
            <w:r>
              <w:rPr>
                <w:b/>
              </w:rPr>
              <w:t>Agency Name</w:t>
            </w:r>
          </w:p>
        </w:tc>
        <w:tc>
          <w:tcPr>
            <w:tcW w:w="2791" w:type="dxa"/>
          </w:tcPr>
          <w:p w14:paraId="2020AAF4" w14:textId="77777777" w:rsidR="00D046BC" w:rsidRDefault="00D046BC">
            <w:pPr>
              <w:pStyle w:val="TableParagraph"/>
              <w:spacing w:before="3"/>
              <w:jc w:val="left"/>
              <w:rPr>
                <w:sz w:val="23"/>
              </w:rPr>
            </w:pPr>
          </w:p>
          <w:p w14:paraId="204B2716" w14:textId="77777777" w:rsidR="00D046BC" w:rsidRDefault="00000000">
            <w:pPr>
              <w:pStyle w:val="TableParagraph"/>
              <w:ind w:left="546" w:right="20" w:hanging="485"/>
              <w:jc w:val="left"/>
            </w:pPr>
            <w:r>
              <w:t>Environmental and Consumer Protection Division</w:t>
            </w:r>
          </w:p>
        </w:tc>
        <w:tc>
          <w:tcPr>
            <w:tcW w:w="2625" w:type="dxa"/>
          </w:tcPr>
          <w:p w14:paraId="7E2745AA" w14:textId="77777777" w:rsidR="00D046BC" w:rsidRDefault="00000000">
            <w:pPr>
              <w:pStyle w:val="TableParagraph"/>
              <w:spacing w:line="252" w:lineRule="auto"/>
              <w:ind w:left="58" w:right="30"/>
            </w:pPr>
            <w:r>
              <w:t>Department of Regulatory Economic Resources Business Affairs and Consumer Protection</w:t>
            </w:r>
          </w:p>
        </w:tc>
        <w:tc>
          <w:tcPr>
            <w:tcW w:w="2546" w:type="dxa"/>
          </w:tcPr>
          <w:p w14:paraId="43A88052" w14:textId="77777777" w:rsidR="00D046BC" w:rsidRDefault="00D046BC">
            <w:pPr>
              <w:pStyle w:val="TableParagraph"/>
              <w:jc w:val="left"/>
            </w:pPr>
          </w:p>
          <w:p w14:paraId="324FA37B" w14:textId="77777777" w:rsidR="00D046BC" w:rsidRDefault="00000000">
            <w:pPr>
              <w:pStyle w:val="TableParagraph"/>
              <w:spacing w:before="150"/>
              <w:ind w:left="107" w:right="73"/>
            </w:pPr>
            <w:r>
              <w:t>Consumer Affairs Division</w:t>
            </w:r>
          </w:p>
        </w:tc>
      </w:tr>
      <w:tr w:rsidR="00D046BC" w14:paraId="3B3F565F" w14:textId="77777777">
        <w:trPr>
          <w:trHeight w:val="913"/>
        </w:trPr>
        <w:tc>
          <w:tcPr>
            <w:tcW w:w="2203" w:type="dxa"/>
          </w:tcPr>
          <w:p w14:paraId="7FBC0F80" w14:textId="77777777" w:rsidR="00D046BC" w:rsidRDefault="00D046BC">
            <w:pPr>
              <w:pStyle w:val="TableParagraph"/>
              <w:spacing w:before="8"/>
              <w:jc w:val="left"/>
              <w:rPr>
                <w:sz w:val="24"/>
              </w:rPr>
            </w:pPr>
          </w:p>
          <w:p w14:paraId="6CAB9556" w14:textId="77777777" w:rsidR="00D046BC" w:rsidRDefault="00000000">
            <w:pPr>
              <w:pStyle w:val="TableParagraph"/>
              <w:ind w:left="453" w:right="422"/>
              <w:rPr>
                <w:b/>
              </w:rPr>
            </w:pPr>
            <w:r>
              <w:rPr>
                <w:b/>
              </w:rPr>
              <w:t>Address</w:t>
            </w:r>
          </w:p>
        </w:tc>
        <w:tc>
          <w:tcPr>
            <w:tcW w:w="2791" w:type="dxa"/>
          </w:tcPr>
          <w:p w14:paraId="0D8CFD8E" w14:textId="77777777" w:rsidR="00D046BC" w:rsidRDefault="00000000">
            <w:pPr>
              <w:pStyle w:val="TableParagraph"/>
              <w:spacing w:line="271" w:lineRule="auto"/>
              <w:ind w:left="976" w:right="432" w:hanging="500"/>
              <w:jc w:val="left"/>
            </w:pPr>
            <w:r>
              <w:t>1 N. University Drive Suite 203</w:t>
            </w:r>
          </w:p>
          <w:p w14:paraId="74E7E70E" w14:textId="77777777" w:rsidR="00D046BC" w:rsidRDefault="00000000">
            <w:pPr>
              <w:pStyle w:val="TableParagraph"/>
              <w:ind w:left="479"/>
              <w:jc w:val="left"/>
            </w:pPr>
            <w:r>
              <w:t>Plantation, FL 33324</w:t>
            </w:r>
          </w:p>
        </w:tc>
        <w:tc>
          <w:tcPr>
            <w:tcW w:w="2625" w:type="dxa"/>
          </w:tcPr>
          <w:p w14:paraId="7F98064F" w14:textId="77777777" w:rsidR="00D046BC" w:rsidRDefault="00000000">
            <w:pPr>
              <w:pStyle w:val="TableParagraph"/>
              <w:spacing w:before="34"/>
              <w:ind w:left="544" w:right="512"/>
            </w:pPr>
            <w:r>
              <w:t>601 NW 1</w:t>
            </w:r>
            <w:r>
              <w:rPr>
                <w:vertAlign w:val="superscript"/>
              </w:rPr>
              <w:t>st</w:t>
            </w:r>
            <w:r>
              <w:t xml:space="preserve"> Court 18</w:t>
            </w:r>
            <w:r>
              <w:rPr>
                <w:vertAlign w:val="superscript"/>
              </w:rPr>
              <w:t>th</w:t>
            </w:r>
            <w:r>
              <w:t xml:space="preserve"> Floor</w:t>
            </w:r>
          </w:p>
          <w:p w14:paraId="0636F937" w14:textId="77777777" w:rsidR="00D046BC" w:rsidRDefault="00000000">
            <w:pPr>
              <w:pStyle w:val="TableParagraph"/>
              <w:spacing w:line="267" w:lineRule="exact"/>
              <w:ind w:left="59" w:right="30"/>
            </w:pPr>
            <w:r>
              <w:t>Miami, Florida 33136</w:t>
            </w:r>
          </w:p>
        </w:tc>
        <w:tc>
          <w:tcPr>
            <w:tcW w:w="2546" w:type="dxa"/>
          </w:tcPr>
          <w:p w14:paraId="060377D8" w14:textId="77777777" w:rsidR="00D046BC" w:rsidRDefault="00000000">
            <w:pPr>
              <w:pStyle w:val="TableParagraph"/>
              <w:spacing w:before="36" w:line="237" w:lineRule="auto"/>
              <w:ind w:left="107" w:right="72"/>
            </w:pPr>
            <w:r>
              <w:t>50 South Military Trail Suite 201</w:t>
            </w:r>
          </w:p>
          <w:p w14:paraId="4E194A2C" w14:textId="77777777" w:rsidR="00D046BC" w:rsidRDefault="00000000">
            <w:pPr>
              <w:pStyle w:val="TableParagraph"/>
              <w:spacing w:before="2"/>
              <w:ind w:left="30"/>
            </w:pPr>
            <w:r>
              <w:t>West Palm Beach, FL 33415</w:t>
            </w:r>
          </w:p>
        </w:tc>
      </w:tr>
      <w:tr w:rsidR="00D046BC" w14:paraId="71D77B3D" w14:textId="77777777">
        <w:trPr>
          <w:trHeight w:val="841"/>
        </w:trPr>
        <w:tc>
          <w:tcPr>
            <w:tcW w:w="2203" w:type="dxa"/>
          </w:tcPr>
          <w:p w14:paraId="07E152EE" w14:textId="77777777" w:rsidR="00D046BC" w:rsidRDefault="00D046BC">
            <w:pPr>
              <w:pStyle w:val="TableParagraph"/>
              <w:spacing w:before="11"/>
              <w:jc w:val="left"/>
              <w:rPr>
                <w:sz w:val="21"/>
              </w:rPr>
            </w:pPr>
          </w:p>
          <w:p w14:paraId="6A3734D2" w14:textId="77777777" w:rsidR="00D046BC" w:rsidRDefault="00000000">
            <w:pPr>
              <w:pStyle w:val="TableParagraph"/>
              <w:ind w:left="448" w:right="424"/>
              <w:rPr>
                <w:b/>
              </w:rPr>
            </w:pPr>
            <w:r>
              <w:rPr>
                <w:b/>
              </w:rPr>
              <w:t>Phone</w:t>
            </w:r>
          </w:p>
        </w:tc>
        <w:tc>
          <w:tcPr>
            <w:tcW w:w="2791" w:type="dxa"/>
          </w:tcPr>
          <w:p w14:paraId="62F25D9D" w14:textId="77777777" w:rsidR="00D046BC" w:rsidRDefault="00D046BC">
            <w:pPr>
              <w:pStyle w:val="TableParagraph"/>
              <w:spacing w:before="11"/>
              <w:jc w:val="left"/>
              <w:rPr>
                <w:sz w:val="21"/>
              </w:rPr>
            </w:pPr>
          </w:p>
          <w:p w14:paraId="06FE3D82" w14:textId="77777777" w:rsidR="00D046BC" w:rsidRDefault="00000000">
            <w:pPr>
              <w:pStyle w:val="TableParagraph"/>
              <w:ind w:left="271" w:right="247"/>
            </w:pPr>
            <w:r>
              <w:t>(954) 765-1700</w:t>
            </w:r>
          </w:p>
        </w:tc>
        <w:tc>
          <w:tcPr>
            <w:tcW w:w="2625" w:type="dxa"/>
          </w:tcPr>
          <w:p w14:paraId="628A6629" w14:textId="77777777" w:rsidR="00D046BC" w:rsidRDefault="00D046BC">
            <w:pPr>
              <w:pStyle w:val="TableParagraph"/>
              <w:spacing w:before="11"/>
              <w:jc w:val="left"/>
              <w:rPr>
                <w:sz w:val="21"/>
              </w:rPr>
            </w:pPr>
          </w:p>
          <w:p w14:paraId="727E2D1A" w14:textId="77777777" w:rsidR="00D046BC" w:rsidRDefault="00000000">
            <w:pPr>
              <w:pStyle w:val="TableParagraph"/>
              <w:ind w:left="60" w:right="30"/>
            </w:pPr>
            <w:r>
              <w:t>786-469-2300</w:t>
            </w:r>
          </w:p>
        </w:tc>
        <w:tc>
          <w:tcPr>
            <w:tcW w:w="2546" w:type="dxa"/>
          </w:tcPr>
          <w:p w14:paraId="6D952219" w14:textId="77777777" w:rsidR="00D046BC" w:rsidRDefault="00000000">
            <w:pPr>
              <w:pStyle w:val="TableParagraph"/>
              <w:spacing w:line="267" w:lineRule="exact"/>
              <w:ind w:left="106" w:right="73"/>
            </w:pPr>
            <w:r>
              <w:t>(561) 712-6600 (Main)</w:t>
            </w:r>
          </w:p>
          <w:p w14:paraId="0D4A0967" w14:textId="77777777" w:rsidR="00D046BC" w:rsidRDefault="00000000">
            <w:pPr>
              <w:pStyle w:val="TableParagraph"/>
              <w:ind w:left="105" w:right="73"/>
            </w:pPr>
            <w:r>
              <w:t>888-852-7362</w:t>
            </w:r>
          </w:p>
          <w:p w14:paraId="6C5772AE" w14:textId="77777777" w:rsidR="00D046BC" w:rsidRDefault="00000000">
            <w:pPr>
              <w:pStyle w:val="TableParagraph"/>
              <w:ind w:left="105" w:right="73"/>
            </w:pPr>
            <w:r>
              <w:t>(Boca/Glades-toll free)</w:t>
            </w:r>
          </w:p>
        </w:tc>
      </w:tr>
      <w:tr w:rsidR="00D046BC" w14:paraId="75429C8D" w14:textId="77777777">
        <w:trPr>
          <w:trHeight w:val="306"/>
        </w:trPr>
        <w:tc>
          <w:tcPr>
            <w:tcW w:w="2203" w:type="dxa"/>
          </w:tcPr>
          <w:p w14:paraId="729FC114" w14:textId="77777777" w:rsidR="00D046BC" w:rsidRDefault="00000000">
            <w:pPr>
              <w:pStyle w:val="TableParagraph"/>
              <w:spacing w:line="267" w:lineRule="exact"/>
              <w:ind w:left="451" w:right="424"/>
              <w:rPr>
                <w:b/>
              </w:rPr>
            </w:pPr>
            <w:r>
              <w:rPr>
                <w:b/>
              </w:rPr>
              <w:t>Fax</w:t>
            </w:r>
          </w:p>
        </w:tc>
        <w:tc>
          <w:tcPr>
            <w:tcW w:w="2791" w:type="dxa"/>
          </w:tcPr>
          <w:p w14:paraId="75BF0816" w14:textId="77777777" w:rsidR="00D046BC" w:rsidRDefault="00000000">
            <w:pPr>
              <w:pStyle w:val="TableParagraph"/>
              <w:spacing w:line="267" w:lineRule="exact"/>
              <w:ind w:left="271" w:right="247"/>
            </w:pPr>
            <w:r>
              <w:t>(954) 765-5309</w:t>
            </w:r>
          </w:p>
        </w:tc>
        <w:tc>
          <w:tcPr>
            <w:tcW w:w="2625" w:type="dxa"/>
          </w:tcPr>
          <w:p w14:paraId="3CA61C85" w14:textId="77777777" w:rsidR="00D046BC" w:rsidRDefault="00000000">
            <w:pPr>
              <w:pStyle w:val="TableParagraph"/>
              <w:spacing w:line="267" w:lineRule="exact"/>
              <w:ind w:left="60" w:right="30"/>
            </w:pPr>
            <w:r>
              <w:t>786-469-2311</w:t>
            </w:r>
          </w:p>
        </w:tc>
        <w:tc>
          <w:tcPr>
            <w:tcW w:w="2546" w:type="dxa"/>
          </w:tcPr>
          <w:p w14:paraId="4BA0DCC7" w14:textId="77777777" w:rsidR="00D046BC" w:rsidRDefault="00000000">
            <w:pPr>
              <w:pStyle w:val="TableParagraph"/>
              <w:spacing w:line="267" w:lineRule="exact"/>
              <w:ind w:left="104" w:right="73"/>
            </w:pPr>
            <w:r>
              <w:t>(561) 712-6610</w:t>
            </w:r>
          </w:p>
        </w:tc>
      </w:tr>
      <w:tr w:rsidR="00D046BC" w14:paraId="3DA49A40" w14:textId="77777777">
        <w:trPr>
          <w:trHeight w:val="857"/>
        </w:trPr>
        <w:tc>
          <w:tcPr>
            <w:tcW w:w="2203" w:type="dxa"/>
          </w:tcPr>
          <w:p w14:paraId="177CBA65" w14:textId="77777777" w:rsidR="00D046BC" w:rsidRDefault="00D046BC">
            <w:pPr>
              <w:pStyle w:val="TableParagraph"/>
              <w:spacing w:before="6"/>
              <w:jc w:val="left"/>
            </w:pPr>
          </w:p>
          <w:p w14:paraId="27078132" w14:textId="77777777" w:rsidR="00D046BC" w:rsidRDefault="00000000">
            <w:pPr>
              <w:pStyle w:val="TableParagraph"/>
              <w:ind w:left="451" w:right="424"/>
              <w:rPr>
                <w:b/>
              </w:rPr>
            </w:pPr>
            <w:r>
              <w:rPr>
                <w:b/>
              </w:rPr>
              <w:t>E-Mail</w:t>
            </w:r>
          </w:p>
        </w:tc>
        <w:tc>
          <w:tcPr>
            <w:tcW w:w="2791" w:type="dxa"/>
          </w:tcPr>
          <w:p w14:paraId="65F42019" w14:textId="77777777" w:rsidR="00D046BC" w:rsidRDefault="00D046BC">
            <w:pPr>
              <w:pStyle w:val="TableParagraph"/>
              <w:spacing w:before="6"/>
              <w:jc w:val="left"/>
            </w:pPr>
          </w:p>
          <w:p w14:paraId="61803D1E" w14:textId="77777777" w:rsidR="00D046BC" w:rsidRDefault="00000000">
            <w:pPr>
              <w:pStyle w:val="TableParagraph"/>
              <w:ind w:left="274" w:right="247"/>
            </w:pPr>
            <w:hyperlink r:id="rId8">
              <w:r>
                <w:t>consumer@broward.org</w:t>
              </w:r>
            </w:hyperlink>
          </w:p>
        </w:tc>
        <w:tc>
          <w:tcPr>
            <w:tcW w:w="2625" w:type="dxa"/>
          </w:tcPr>
          <w:p w14:paraId="0FB5802B" w14:textId="77777777" w:rsidR="00D046BC" w:rsidRDefault="00D046BC">
            <w:pPr>
              <w:pStyle w:val="TableParagraph"/>
              <w:spacing w:before="6"/>
              <w:jc w:val="left"/>
            </w:pPr>
          </w:p>
          <w:p w14:paraId="4102A40C" w14:textId="77777777" w:rsidR="00D046BC" w:rsidRDefault="00000000">
            <w:pPr>
              <w:pStyle w:val="TableParagraph"/>
              <w:ind w:left="61" w:right="30"/>
            </w:pPr>
            <w:hyperlink r:id="rId9">
              <w:r>
                <w:t>consumer@miamidade.gov</w:t>
              </w:r>
            </w:hyperlink>
          </w:p>
        </w:tc>
        <w:tc>
          <w:tcPr>
            <w:tcW w:w="2546" w:type="dxa"/>
          </w:tcPr>
          <w:p w14:paraId="1D5C4391" w14:textId="77777777" w:rsidR="00D046BC" w:rsidRDefault="00D046BC">
            <w:pPr>
              <w:pStyle w:val="TableParagraph"/>
              <w:spacing w:before="6"/>
              <w:jc w:val="left"/>
            </w:pPr>
          </w:p>
          <w:p w14:paraId="7798D808" w14:textId="77777777" w:rsidR="00D046BC" w:rsidRDefault="00000000">
            <w:pPr>
              <w:pStyle w:val="TableParagraph"/>
              <w:ind w:left="104" w:right="73"/>
            </w:pPr>
            <w:r>
              <w:t>pbcgov.org</w:t>
            </w:r>
          </w:p>
        </w:tc>
      </w:tr>
    </w:tbl>
    <w:p w14:paraId="6EBE6017" w14:textId="77777777" w:rsidR="00D046BC" w:rsidRDefault="00D046BC">
      <w:pPr>
        <w:pStyle w:val="BodyText"/>
        <w:spacing w:before="1"/>
      </w:pPr>
    </w:p>
    <w:p w14:paraId="18794034" w14:textId="77777777" w:rsidR="00D046BC" w:rsidRDefault="00000000">
      <w:pPr>
        <w:pStyle w:val="BodyText"/>
        <w:ind w:left="120" w:right="218"/>
      </w:pPr>
      <w:r>
        <w:t xml:space="preserve">This disclosure form </w:t>
      </w:r>
      <w:r>
        <w:rPr>
          <w:b/>
          <w:u w:val="single"/>
        </w:rPr>
        <w:t>must</w:t>
      </w:r>
      <w:r>
        <w:rPr>
          <w:b/>
        </w:rPr>
        <w:t xml:space="preserve"> </w:t>
      </w:r>
      <w:r>
        <w:t xml:space="preserve">be provided to the customer with the written estimate. The form must be signed by the customer </w:t>
      </w:r>
      <w:r>
        <w:rPr>
          <w:b/>
          <w:u w:val="single"/>
        </w:rPr>
        <w:t>and</w:t>
      </w:r>
      <w:r>
        <w:rPr>
          <w:b/>
        </w:rPr>
        <w:t xml:space="preserve"> </w:t>
      </w:r>
      <w:r>
        <w:t xml:space="preserve">the moving company </w:t>
      </w:r>
      <w:r>
        <w:rPr>
          <w:b/>
          <w:u w:val="single"/>
        </w:rPr>
        <w:t>prior</w:t>
      </w:r>
      <w:r>
        <w:rPr>
          <w:b/>
        </w:rPr>
        <w:t xml:space="preserve"> </w:t>
      </w:r>
      <w:r>
        <w:t>to any work being performed.</w:t>
      </w:r>
    </w:p>
    <w:p w14:paraId="7EA0C974" w14:textId="77777777" w:rsidR="00D046BC" w:rsidRDefault="00D046BC">
      <w:pPr>
        <w:pStyle w:val="BodyText"/>
        <w:spacing w:before="9"/>
        <w:rPr>
          <w:sz w:val="19"/>
        </w:rPr>
      </w:pPr>
    </w:p>
    <w:p w14:paraId="795D5AAD" w14:textId="77777777" w:rsidR="00D046BC" w:rsidRDefault="00000000">
      <w:pPr>
        <w:pStyle w:val="BodyText"/>
        <w:spacing w:before="52"/>
        <w:ind w:left="120"/>
      </w:pPr>
      <w:r>
        <w:t>*Original copy of the disclosures is to be given to the customer.</w:t>
      </w:r>
    </w:p>
    <w:p w14:paraId="0D6CA2A6" w14:textId="77777777" w:rsidR="00D046BC" w:rsidRDefault="00D046BC">
      <w:pPr>
        <w:pStyle w:val="BodyText"/>
        <w:spacing w:before="12"/>
        <w:rPr>
          <w:sz w:val="23"/>
        </w:rPr>
      </w:pPr>
    </w:p>
    <w:p w14:paraId="1BA88144" w14:textId="77777777" w:rsidR="00D046BC" w:rsidRDefault="00000000">
      <w:pPr>
        <w:pStyle w:val="Heading1"/>
      </w:pPr>
      <w:r>
        <w:t>Southeast Florida - Tri-County</w:t>
      </w:r>
    </w:p>
    <w:p w14:paraId="2A73C1B4" w14:textId="77777777" w:rsidR="00D046BC" w:rsidRDefault="00000000">
      <w:pPr>
        <w:ind w:left="249" w:right="588"/>
        <w:jc w:val="center"/>
        <w:rPr>
          <w:b/>
          <w:sz w:val="24"/>
        </w:rPr>
      </w:pPr>
      <w:r>
        <w:rPr>
          <w:b/>
          <w:sz w:val="24"/>
          <w:u w:val="single"/>
        </w:rPr>
        <w:t>LOCAL MOVING CONSUMER “</w:t>
      </w:r>
      <w:r>
        <w:rPr>
          <w:b/>
          <w:i/>
          <w:sz w:val="24"/>
          <w:u w:val="single"/>
        </w:rPr>
        <w:t>BILL OF RIGHTS</w:t>
      </w:r>
      <w:r>
        <w:rPr>
          <w:b/>
          <w:sz w:val="24"/>
        </w:rPr>
        <w:t>”</w:t>
      </w:r>
    </w:p>
    <w:p w14:paraId="35DAF27A" w14:textId="77777777" w:rsidR="00D046BC" w:rsidRDefault="00000000">
      <w:pPr>
        <w:pStyle w:val="Heading1"/>
        <w:ind w:right="587"/>
      </w:pPr>
      <w:r>
        <w:rPr>
          <w:spacing w:val="-1"/>
        </w:rPr>
        <w:t xml:space="preserve">Broward  </w:t>
      </w:r>
      <w:r>
        <w:rPr>
          <w:noProof/>
          <w:spacing w:val="12"/>
          <w:position w:val="-3"/>
        </w:rPr>
        <w:drawing>
          <wp:inline distT="0" distB="0" distL="0" distR="0" wp14:anchorId="385F193B" wp14:editId="3357BBB5">
            <wp:extent cx="139700" cy="139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39700" cy="139700"/>
                    </a:xfrm>
                    <a:prstGeom prst="rect">
                      <a:avLst/>
                    </a:prstGeom>
                  </pic:spPr>
                </pic:pic>
              </a:graphicData>
            </a:graphic>
          </wp:inline>
        </w:drawing>
      </w:r>
      <w:r>
        <w:rPr>
          <w:rFonts w:ascii="Times New Roman"/>
          <w:b w:val="0"/>
          <w:spacing w:val="22"/>
        </w:rPr>
        <w:t xml:space="preserve"> </w:t>
      </w:r>
      <w:r>
        <w:rPr>
          <w:spacing w:val="-1"/>
        </w:rPr>
        <w:t xml:space="preserve">Miami-Dade  </w:t>
      </w:r>
      <w:r>
        <w:rPr>
          <w:noProof/>
          <w:spacing w:val="19"/>
          <w:position w:val="-3"/>
        </w:rPr>
        <w:drawing>
          <wp:inline distT="0" distB="0" distL="0" distR="0" wp14:anchorId="47C8EF56" wp14:editId="02929541">
            <wp:extent cx="139700" cy="1397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139700" cy="139700"/>
                    </a:xfrm>
                    <a:prstGeom prst="rect">
                      <a:avLst/>
                    </a:prstGeom>
                  </pic:spPr>
                </pic:pic>
              </a:graphicData>
            </a:graphic>
          </wp:inline>
        </w:drawing>
      </w:r>
      <w:r>
        <w:t>Palm</w:t>
      </w:r>
      <w:r>
        <w:rPr>
          <w:spacing w:val="-12"/>
        </w:rPr>
        <w:t xml:space="preserve"> </w:t>
      </w:r>
      <w:r>
        <w:t>Beach</w:t>
      </w:r>
    </w:p>
    <w:p w14:paraId="2B95153A" w14:textId="77777777" w:rsidR="00D046BC" w:rsidRDefault="00D046BC">
      <w:pPr>
        <w:pStyle w:val="BodyText"/>
        <w:spacing w:before="11"/>
        <w:rPr>
          <w:b/>
          <w:sz w:val="23"/>
        </w:rPr>
      </w:pPr>
    </w:p>
    <w:p w14:paraId="115C22EC" w14:textId="77777777" w:rsidR="00D046BC" w:rsidRDefault="00000000">
      <w:pPr>
        <w:pStyle w:val="BodyText"/>
        <w:ind w:left="120" w:right="580"/>
      </w:pPr>
      <w:r>
        <w:t xml:space="preserve">Each of the three county governments (Broward, Miami-Dade, and Palm Beach) has separate ordinances regulating moving companies. Most regulations within the three ordinances are similar, but each county is responsible for its own enforcement. The following information provides consumers with a basic understanding of their rights and responsibilities when dealing with a moving company in the tri-county area. These ordinances only regulate moves that begin </w:t>
      </w:r>
      <w:r>
        <w:rPr>
          <w:b/>
          <w:u w:val="single"/>
        </w:rPr>
        <w:t xml:space="preserve">and </w:t>
      </w:r>
      <w:r>
        <w:t>end in any of the three counties.</w:t>
      </w:r>
    </w:p>
    <w:p w14:paraId="16B46AD7" w14:textId="77777777" w:rsidR="00D046BC" w:rsidRDefault="00D046BC">
      <w:pPr>
        <w:pStyle w:val="BodyText"/>
        <w:spacing w:before="11"/>
        <w:rPr>
          <w:sz w:val="19"/>
        </w:rPr>
      </w:pPr>
    </w:p>
    <w:p w14:paraId="227368F0" w14:textId="77777777" w:rsidR="00D046BC" w:rsidRDefault="00000000">
      <w:pPr>
        <w:pStyle w:val="BodyText"/>
        <w:spacing w:before="52"/>
        <w:ind w:left="119" w:right="552"/>
      </w:pPr>
      <w:r>
        <w:rPr>
          <w:b/>
        </w:rPr>
        <w:t xml:space="preserve">Written Estimates </w:t>
      </w:r>
      <w:r>
        <w:t xml:space="preserve">- Consumers anticipating a move are entitled to a detailed written estimate that includes </w:t>
      </w:r>
      <w:r>
        <w:rPr>
          <w:b/>
        </w:rPr>
        <w:t xml:space="preserve">ALL </w:t>
      </w:r>
      <w:r>
        <w:t xml:space="preserve">expected charges related to labor, transportation, packing, inventory, storage, and additional valuation coverage. It is important that consumers clearly designate and reveal </w:t>
      </w:r>
      <w:r>
        <w:rPr>
          <w:b/>
          <w:u w:val="single"/>
        </w:rPr>
        <w:t>all that is to be moved</w:t>
      </w:r>
      <w:r>
        <w:t>. Moving companies may charge for an estimate; however, the cost of preparing an estimate must be fully disclosed and approved by the consumer</w:t>
      </w:r>
      <w:r>
        <w:rPr>
          <w:color w:val="0000FF"/>
        </w:rPr>
        <w:t xml:space="preserve">. </w:t>
      </w:r>
      <w:r>
        <w:t xml:space="preserve">Moving companies </w:t>
      </w:r>
      <w:r>
        <w:rPr>
          <w:b/>
          <w:u w:val="single"/>
        </w:rPr>
        <w:t>cannot</w:t>
      </w:r>
      <w:r>
        <w:rPr>
          <w:b/>
        </w:rPr>
        <w:t xml:space="preserve"> </w:t>
      </w:r>
      <w:r>
        <w:t xml:space="preserve">require that the right to an estimate be waived. All three counties require the moving company to provide the consumer with a written contract (contract for services/bill of lading) containing the total cost of the move and the consumer’s written authorization (including signature) </w:t>
      </w:r>
      <w:r>
        <w:rPr>
          <w:b/>
          <w:u w:val="single"/>
        </w:rPr>
        <w:t>prior</w:t>
      </w:r>
      <w:r>
        <w:rPr>
          <w:b/>
        </w:rPr>
        <w:t xml:space="preserve"> </w:t>
      </w:r>
      <w:r>
        <w:t>to starting the move. A moving company cannot refuse to deliver your goods if you have paid the amount agreed in the written estimate and/or the written</w:t>
      </w:r>
      <w:r>
        <w:rPr>
          <w:spacing w:val="-6"/>
        </w:rPr>
        <w:t xml:space="preserve"> </w:t>
      </w:r>
      <w:r>
        <w:t>contract.</w:t>
      </w:r>
    </w:p>
    <w:p w14:paraId="408D86D2" w14:textId="77777777" w:rsidR="00D046BC" w:rsidRDefault="00D046BC">
      <w:pPr>
        <w:sectPr w:rsidR="00D046BC">
          <w:pgSz w:w="12240" w:h="15840"/>
          <w:pgMar w:top="680" w:right="260" w:bottom="480" w:left="600" w:header="0" w:footer="294" w:gutter="0"/>
          <w:cols w:space="720"/>
        </w:sectPr>
      </w:pPr>
    </w:p>
    <w:p w14:paraId="1079F2A5" w14:textId="77777777" w:rsidR="00D046BC" w:rsidRDefault="00000000">
      <w:pPr>
        <w:pStyle w:val="BodyText"/>
        <w:spacing w:before="39"/>
        <w:ind w:left="119" w:right="517"/>
      </w:pPr>
      <w:r>
        <w:rPr>
          <w:b/>
        </w:rPr>
        <w:lastRenderedPageBreak/>
        <w:t xml:space="preserve">Written Inventory </w:t>
      </w:r>
      <w:r>
        <w:t>- Consumers have a right to a written inventory of all household goods to be moved by the moving company. The moving company may charge for the inventory. The moving company cannot require that the right to an inventory be waived, but the consumer may voluntarily waive the inventory process. All charges to complete an inventory by a moving company must conspicuously be disclosed to the consumer. In Palm Beach County a moving company must provide a “no charge” inventory when the move in not point-to- point/same day or storage is required.</w:t>
      </w:r>
    </w:p>
    <w:p w14:paraId="315E5AF1" w14:textId="77777777" w:rsidR="00D046BC" w:rsidRDefault="00D046BC">
      <w:pPr>
        <w:pStyle w:val="BodyText"/>
        <w:spacing w:before="11"/>
        <w:rPr>
          <w:sz w:val="23"/>
        </w:rPr>
      </w:pPr>
    </w:p>
    <w:p w14:paraId="0BD38F78" w14:textId="77777777" w:rsidR="00D046BC" w:rsidRDefault="00000000">
      <w:pPr>
        <w:pStyle w:val="BodyText"/>
        <w:ind w:left="120" w:right="726"/>
      </w:pPr>
      <w:r>
        <w:rPr>
          <w:b/>
        </w:rPr>
        <w:t xml:space="preserve">Written Contracts </w:t>
      </w:r>
      <w:r>
        <w:t xml:space="preserve">- A written contract, often called a </w:t>
      </w:r>
      <w:r>
        <w:rPr>
          <w:b/>
          <w:i/>
        </w:rPr>
        <w:t xml:space="preserve">bill of lading </w:t>
      </w:r>
      <w:r>
        <w:t xml:space="preserve">or </w:t>
      </w:r>
      <w:r>
        <w:rPr>
          <w:b/>
          <w:i/>
        </w:rPr>
        <w:t>contract for services</w:t>
      </w:r>
      <w:r>
        <w:t xml:space="preserve">, is required to be prepared by the moving company and must be signed, </w:t>
      </w:r>
      <w:proofErr w:type="gramStart"/>
      <w:r>
        <w:t>timed</w:t>
      </w:r>
      <w:proofErr w:type="gramEnd"/>
      <w:r>
        <w:t xml:space="preserve"> and dated by the consumer (or her/his representative)</w:t>
      </w:r>
      <w:r>
        <w:rPr>
          <w:u w:val="single"/>
        </w:rPr>
        <w:t xml:space="preserve"> </w:t>
      </w:r>
      <w:r>
        <w:rPr>
          <w:b/>
          <w:u w:val="single"/>
        </w:rPr>
        <w:t xml:space="preserve">and </w:t>
      </w:r>
      <w:r>
        <w:t xml:space="preserve">by the moving company representative before the work begins. The contract must conspicuously provide the </w:t>
      </w:r>
      <w:r>
        <w:rPr>
          <w:b/>
        </w:rPr>
        <w:t xml:space="preserve">“bottom line” </w:t>
      </w:r>
      <w:r>
        <w:t xml:space="preserve">cost of </w:t>
      </w:r>
      <w:r>
        <w:rPr>
          <w:b/>
          <w:u w:val="single"/>
        </w:rPr>
        <w:t>all</w:t>
      </w:r>
      <w:r>
        <w:rPr>
          <w:b/>
        </w:rPr>
        <w:t xml:space="preserve"> </w:t>
      </w:r>
      <w:r>
        <w:t xml:space="preserve">charges associated with the move (i.e., inventory preparation, labor, transportation, packing materials, </w:t>
      </w:r>
      <w:proofErr w:type="gramStart"/>
      <w:r>
        <w:t>storage</w:t>
      </w:r>
      <w:proofErr w:type="gramEnd"/>
      <w:r>
        <w:t xml:space="preserve"> and any additional valuation coverage).</w:t>
      </w:r>
    </w:p>
    <w:p w14:paraId="4E339FBF" w14:textId="77777777" w:rsidR="00D046BC" w:rsidRDefault="00D046BC">
      <w:pPr>
        <w:pStyle w:val="BodyText"/>
      </w:pPr>
    </w:p>
    <w:p w14:paraId="2D844239" w14:textId="77777777" w:rsidR="00D046BC" w:rsidRDefault="00D046BC">
      <w:pPr>
        <w:pStyle w:val="BodyText"/>
        <w:spacing w:before="1"/>
      </w:pPr>
    </w:p>
    <w:p w14:paraId="45ED4465" w14:textId="77777777" w:rsidR="00D046BC" w:rsidRDefault="00000000">
      <w:pPr>
        <w:pStyle w:val="BodyText"/>
        <w:ind w:left="119" w:right="656"/>
      </w:pPr>
      <w:r>
        <w:rPr>
          <w:b/>
        </w:rPr>
        <w:t xml:space="preserve">Lost/Damage Claims </w:t>
      </w:r>
      <w:r>
        <w:t xml:space="preserve">- The consumer has up to 60 days to notify the moving company </w:t>
      </w:r>
      <w:r>
        <w:rPr>
          <w:b/>
        </w:rPr>
        <w:t xml:space="preserve">in writing </w:t>
      </w:r>
      <w:r>
        <w:t>of any claim for loss or damage. If the claim cannot be satisfied in 30 days from date of the claim, the mover must advise the consumer of the status of the claim and the reason for the delay. The mover must satisfy or object to a claim no more than 90 days after receipt of the consumer’s written notice. If asked to sign a statement acknowledging receipt of goods, consumers may make notations on the receipt as to damaged or missing items.</w:t>
      </w:r>
    </w:p>
    <w:p w14:paraId="3A65BFAB" w14:textId="77777777" w:rsidR="00D046BC" w:rsidRDefault="00D046BC">
      <w:pPr>
        <w:pStyle w:val="BodyText"/>
        <w:spacing w:before="11"/>
        <w:rPr>
          <w:sz w:val="23"/>
        </w:rPr>
      </w:pPr>
    </w:p>
    <w:p w14:paraId="6C76C8F4" w14:textId="77777777" w:rsidR="00D046BC" w:rsidRDefault="00000000">
      <w:pPr>
        <w:pStyle w:val="BodyText"/>
        <w:ind w:left="120" w:right="650"/>
      </w:pPr>
      <w:r>
        <w:rPr>
          <w:b/>
        </w:rPr>
        <w:t xml:space="preserve">Licenses/Permits </w:t>
      </w:r>
      <w:r>
        <w:t>- Moving companies operating in the tri-county area are required to be licensed/permitted by their respective county government consumer agency where the mover’s primary business is located and the Florida Division of Consumer Services. Consumers may call the appropriate county consumer agency to determine the current license status of any local moving company.</w:t>
      </w:r>
    </w:p>
    <w:p w14:paraId="24081D92" w14:textId="77777777" w:rsidR="00D046BC" w:rsidRDefault="00D046BC">
      <w:pPr>
        <w:pStyle w:val="BodyText"/>
        <w:spacing w:before="2"/>
      </w:pPr>
    </w:p>
    <w:p w14:paraId="6663374A" w14:textId="77777777" w:rsidR="00D046BC" w:rsidRDefault="00000000">
      <w:pPr>
        <w:pStyle w:val="Heading1"/>
        <w:ind w:right="588"/>
        <w:rPr>
          <w:b w:val="0"/>
        </w:rPr>
      </w:pPr>
      <w:r>
        <w:t>If a problem is unable to be resolved with a moving company, please contact the appropriate government consumer agency immediately</w:t>
      </w:r>
      <w:r>
        <w:rPr>
          <w:b w:val="0"/>
        </w:rPr>
        <w:t>.</w:t>
      </w:r>
    </w:p>
    <w:p w14:paraId="074CF624" w14:textId="77777777" w:rsidR="00D046BC" w:rsidRDefault="00D046BC">
      <w:pPr>
        <w:pStyle w:val="BodyText"/>
        <w:spacing w:before="12"/>
        <w:rPr>
          <w:sz w:val="23"/>
        </w:rPr>
      </w:pPr>
    </w:p>
    <w:p w14:paraId="2E8B77E7" w14:textId="77777777" w:rsidR="00D046BC" w:rsidRDefault="00000000">
      <w:pPr>
        <w:ind w:left="249" w:right="585"/>
        <w:jc w:val="center"/>
        <w:rPr>
          <w:b/>
          <w:sz w:val="24"/>
        </w:rPr>
      </w:pPr>
      <w:r>
        <w:rPr>
          <w:b/>
          <w:sz w:val="24"/>
        </w:rPr>
        <w:t>The above are general descriptions of the three ordinances regulating moving companies.</w:t>
      </w:r>
    </w:p>
    <w:p w14:paraId="3783B4EE" w14:textId="77777777" w:rsidR="00D046BC" w:rsidRDefault="00000000">
      <w:pPr>
        <w:pStyle w:val="Heading1"/>
        <w:ind w:right="588"/>
      </w:pPr>
      <w:r>
        <w:t>More information may be obtained by contacting your county consumer agency.</w:t>
      </w:r>
    </w:p>
    <w:p w14:paraId="52C0EA66" w14:textId="77777777" w:rsidR="00D046BC" w:rsidRDefault="00D046BC">
      <w:pPr>
        <w:pStyle w:val="BodyText"/>
        <w:spacing w:before="11"/>
        <w:rPr>
          <w:b/>
          <w:sz w:val="23"/>
        </w:rPr>
      </w:pPr>
    </w:p>
    <w:p w14:paraId="4DED2006" w14:textId="77777777" w:rsidR="00D046BC" w:rsidRDefault="00000000">
      <w:pPr>
        <w:pStyle w:val="BodyText"/>
        <w:ind w:left="120"/>
      </w:pPr>
      <w:r>
        <w:t>*Contact the Palm Beach County Division of Consumer Affairs for more details regarding written inventory.</w:t>
      </w:r>
    </w:p>
    <w:p w14:paraId="1CF25F46" w14:textId="77777777" w:rsidR="00D046BC" w:rsidRDefault="00D046BC">
      <w:pPr>
        <w:pStyle w:val="BodyText"/>
      </w:pPr>
    </w:p>
    <w:p w14:paraId="193DB2C9" w14:textId="77777777" w:rsidR="00D046BC" w:rsidRDefault="00000000">
      <w:pPr>
        <w:pStyle w:val="BodyText"/>
        <w:ind w:left="119" w:right="1099"/>
      </w:pPr>
      <w:r>
        <w:t>For information or complaints involving an Interstate move (a move out of state), call the Federal Motor Carrier Administration at 1-888-368-7238.</w:t>
      </w:r>
    </w:p>
    <w:sectPr w:rsidR="00D046BC">
      <w:pgSz w:w="12240" w:h="15840"/>
      <w:pgMar w:top="680" w:right="260" w:bottom="480" w:left="600" w:header="0" w:footer="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7E69" w14:textId="77777777" w:rsidR="00D2156D" w:rsidRDefault="00D2156D">
      <w:r>
        <w:separator/>
      </w:r>
    </w:p>
  </w:endnote>
  <w:endnote w:type="continuationSeparator" w:id="0">
    <w:p w14:paraId="0E44FE89" w14:textId="77777777" w:rsidR="00D2156D" w:rsidRDefault="00D2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B327" w14:textId="77777777" w:rsidR="00D046BC" w:rsidRDefault="00000000">
    <w:pPr>
      <w:pStyle w:val="BodyText"/>
      <w:spacing w:line="14" w:lineRule="auto"/>
      <w:rPr>
        <w:sz w:val="20"/>
      </w:rPr>
    </w:pPr>
    <w:r>
      <w:pict w14:anchorId="268F83A9">
        <v:shape id="_x0000_s1027" style="position:absolute;margin-left:34.55pt;margin-top:763.3pt;width:542.9pt;height:4.45pt;z-index:-15846912;mso-position-horizontal-relative:page;mso-position-vertical-relative:page" coordorigin="691,15266" coordsize="10858,89" o:spt="100" adj="0,,0" path="m11549,15341r-10858,l691,15355r10858,l11549,15341xm11549,15266r-10858,l691,15326r10858,l11549,15266xe" fillcolor="#622423" stroked="f">
          <v:stroke joinstyle="round"/>
          <v:formulas/>
          <v:path arrowok="t" o:connecttype="segments"/>
          <w10:wrap anchorx="page" anchory="page"/>
        </v:shape>
      </w:pict>
    </w:r>
    <w:r>
      <w:pict w14:anchorId="6ABAAE47">
        <v:shapetype id="_x0000_t202" coordsize="21600,21600" o:spt="202" path="m,l,21600r21600,l21600,xe">
          <v:stroke joinstyle="miter"/>
          <v:path gradientshapeok="t" o:connecttype="rect"/>
        </v:shapetype>
        <v:shape id="_x0000_s1026" type="#_x0000_t202" style="position:absolute;margin-left:35pt;margin-top:767.85pt;width:97.65pt;height:13.7pt;z-index:-15846400;mso-position-horizontal-relative:page;mso-position-vertical-relative:page" filled="f" stroked="f">
          <v:textbox inset="0,0,0,0">
            <w:txbxContent>
              <w:p w14:paraId="1CD6BEAE" w14:textId="77777777" w:rsidR="00D046BC" w:rsidRDefault="00000000">
                <w:pPr>
                  <w:spacing w:before="19"/>
                  <w:ind w:left="20"/>
                  <w:rPr>
                    <w:rFonts w:ascii="Cambria"/>
                    <w:sz w:val="20"/>
                  </w:rPr>
                </w:pPr>
                <w:r>
                  <w:rPr>
                    <w:rFonts w:ascii="Cambria"/>
                    <w:sz w:val="20"/>
                  </w:rPr>
                  <w:t>Last updated 10/2019</w:t>
                </w:r>
              </w:p>
            </w:txbxContent>
          </v:textbox>
          <w10:wrap anchorx="page" anchory="page"/>
        </v:shape>
      </w:pict>
    </w:r>
    <w:r>
      <w:pict w14:anchorId="16BCC95D">
        <v:shape id="_x0000_s1025" type="#_x0000_t202" style="position:absolute;margin-left:546.9pt;margin-top:767.85pt;width:32pt;height:13.7pt;z-index:-15845888;mso-position-horizontal-relative:page;mso-position-vertical-relative:page" filled="f" stroked="f">
          <v:textbox inset="0,0,0,0">
            <w:txbxContent>
              <w:p w14:paraId="2CE69210" w14:textId="77777777" w:rsidR="00D046BC" w:rsidRDefault="00000000">
                <w:pPr>
                  <w:spacing w:before="19"/>
                  <w:ind w:left="20"/>
                  <w:rPr>
                    <w:rFonts w:ascii="Cambria"/>
                    <w:sz w:val="20"/>
                  </w:rPr>
                </w:pPr>
                <w:r>
                  <w:rPr>
                    <w:rFonts w:ascii="Cambria"/>
                    <w:sz w:val="20"/>
                  </w:rPr>
                  <w:t xml:space="preserve">Page </w:t>
                </w:r>
                <w:r>
                  <w:fldChar w:fldCharType="begin"/>
                </w:r>
                <w:r>
                  <w:rPr>
                    <w:rFonts w:ascii="Cambria"/>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4EFA" w14:textId="77777777" w:rsidR="00D2156D" w:rsidRDefault="00D2156D">
      <w:r>
        <w:separator/>
      </w:r>
    </w:p>
  </w:footnote>
  <w:footnote w:type="continuationSeparator" w:id="0">
    <w:p w14:paraId="336F7735" w14:textId="77777777" w:rsidR="00D2156D" w:rsidRDefault="00D2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C3B05"/>
    <w:multiLevelType w:val="hybridMultilevel"/>
    <w:tmpl w:val="C7EA0920"/>
    <w:lvl w:ilvl="0" w:tplc="77A6C09C">
      <w:start w:val="1"/>
      <w:numFmt w:val="decimal"/>
      <w:lvlText w:val="%1)"/>
      <w:lvlJc w:val="left"/>
      <w:pPr>
        <w:ind w:left="840" w:hanging="721"/>
        <w:jc w:val="left"/>
      </w:pPr>
      <w:rPr>
        <w:rFonts w:hint="default"/>
        <w:w w:val="100"/>
        <w:lang w:val="en-US" w:eastAsia="en-US" w:bidi="ar-SA"/>
      </w:rPr>
    </w:lvl>
    <w:lvl w:ilvl="1" w:tplc="BAC6C444">
      <w:numFmt w:val="bullet"/>
      <w:lvlText w:val="•"/>
      <w:lvlJc w:val="left"/>
      <w:pPr>
        <w:ind w:left="1894" w:hanging="721"/>
      </w:pPr>
      <w:rPr>
        <w:rFonts w:hint="default"/>
        <w:lang w:val="en-US" w:eastAsia="en-US" w:bidi="ar-SA"/>
      </w:rPr>
    </w:lvl>
    <w:lvl w:ilvl="2" w:tplc="F64ED104">
      <w:numFmt w:val="bullet"/>
      <w:lvlText w:val="•"/>
      <w:lvlJc w:val="left"/>
      <w:pPr>
        <w:ind w:left="2948" w:hanging="721"/>
      </w:pPr>
      <w:rPr>
        <w:rFonts w:hint="default"/>
        <w:lang w:val="en-US" w:eastAsia="en-US" w:bidi="ar-SA"/>
      </w:rPr>
    </w:lvl>
    <w:lvl w:ilvl="3" w:tplc="2D32351E">
      <w:numFmt w:val="bullet"/>
      <w:lvlText w:val="•"/>
      <w:lvlJc w:val="left"/>
      <w:pPr>
        <w:ind w:left="4002" w:hanging="721"/>
      </w:pPr>
      <w:rPr>
        <w:rFonts w:hint="default"/>
        <w:lang w:val="en-US" w:eastAsia="en-US" w:bidi="ar-SA"/>
      </w:rPr>
    </w:lvl>
    <w:lvl w:ilvl="4" w:tplc="3496E370">
      <w:numFmt w:val="bullet"/>
      <w:lvlText w:val="•"/>
      <w:lvlJc w:val="left"/>
      <w:pPr>
        <w:ind w:left="5056" w:hanging="721"/>
      </w:pPr>
      <w:rPr>
        <w:rFonts w:hint="default"/>
        <w:lang w:val="en-US" w:eastAsia="en-US" w:bidi="ar-SA"/>
      </w:rPr>
    </w:lvl>
    <w:lvl w:ilvl="5" w:tplc="CD4A4E22">
      <w:numFmt w:val="bullet"/>
      <w:lvlText w:val="•"/>
      <w:lvlJc w:val="left"/>
      <w:pPr>
        <w:ind w:left="6110" w:hanging="721"/>
      </w:pPr>
      <w:rPr>
        <w:rFonts w:hint="default"/>
        <w:lang w:val="en-US" w:eastAsia="en-US" w:bidi="ar-SA"/>
      </w:rPr>
    </w:lvl>
    <w:lvl w:ilvl="6" w:tplc="C35AFCA8">
      <w:numFmt w:val="bullet"/>
      <w:lvlText w:val="•"/>
      <w:lvlJc w:val="left"/>
      <w:pPr>
        <w:ind w:left="7164" w:hanging="721"/>
      </w:pPr>
      <w:rPr>
        <w:rFonts w:hint="default"/>
        <w:lang w:val="en-US" w:eastAsia="en-US" w:bidi="ar-SA"/>
      </w:rPr>
    </w:lvl>
    <w:lvl w:ilvl="7" w:tplc="7C7ADED0">
      <w:numFmt w:val="bullet"/>
      <w:lvlText w:val="•"/>
      <w:lvlJc w:val="left"/>
      <w:pPr>
        <w:ind w:left="8218" w:hanging="721"/>
      </w:pPr>
      <w:rPr>
        <w:rFonts w:hint="default"/>
        <w:lang w:val="en-US" w:eastAsia="en-US" w:bidi="ar-SA"/>
      </w:rPr>
    </w:lvl>
    <w:lvl w:ilvl="8" w:tplc="4B569C8C">
      <w:numFmt w:val="bullet"/>
      <w:lvlText w:val="•"/>
      <w:lvlJc w:val="left"/>
      <w:pPr>
        <w:ind w:left="9272" w:hanging="721"/>
      </w:pPr>
      <w:rPr>
        <w:rFonts w:hint="default"/>
        <w:lang w:val="en-US" w:eastAsia="en-US" w:bidi="ar-SA"/>
      </w:rPr>
    </w:lvl>
  </w:abstractNum>
  <w:num w:numId="1" w16cid:durableId="60519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046BC"/>
    <w:rsid w:val="001D08FF"/>
    <w:rsid w:val="00D046BC"/>
    <w:rsid w:val="00D2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7785AF37"/>
  <w15:docId w15:val="{591175AA-F264-4D9F-ACD8-E1173843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9" w:right="58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1"/>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1.pn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ailto:consumer@broward.org" TargetMode="External" Type="http://schemas.openxmlformats.org/officeDocument/2006/relationships/hyperlink"/>
<Relationship Id="rId9" Target="mailto:consumer@miamidade.gov"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1136</Words>
  <Characters>6481</Characters>
  <DocSecurity>0</DocSecurity>
  <Lines>54</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