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4B52" w14:textId="77777777" w:rsidR="009515E5" w:rsidRDefault="00000000">
      <w:pPr>
        <w:pStyle w:val="Heading1"/>
        <w:spacing w:before="76"/>
        <w:ind w:right="2266"/>
        <w:rPr>
          <w:u w:val="none"/>
        </w:rPr>
      </w:pPr>
      <w:r>
        <w:rPr>
          <w:u w:val="thick"/>
        </w:rPr>
        <w:t>HOUSING AUTHORITY OF BEXAR COUNTY</w:t>
      </w:r>
    </w:p>
    <w:p w14:paraId="22EC669A" w14:textId="77777777" w:rsidR="009515E5" w:rsidRDefault="00000000">
      <w:pPr>
        <w:spacing w:before="1"/>
        <w:ind w:left="2226" w:right="2264"/>
        <w:jc w:val="center"/>
        <w:rPr>
          <w:b/>
          <w:sz w:val="24"/>
        </w:rPr>
      </w:pPr>
      <w:r>
        <w:rPr>
          <w:b/>
          <w:sz w:val="24"/>
          <w:u w:val="thick"/>
        </w:rPr>
        <w:t>Moving Services Agreement</w:t>
      </w:r>
    </w:p>
    <w:p w14:paraId="6228E54E" w14:textId="77777777" w:rsidR="009515E5" w:rsidRDefault="009515E5">
      <w:pPr>
        <w:pStyle w:val="BodyText"/>
        <w:rPr>
          <w:b/>
          <w:sz w:val="20"/>
        </w:rPr>
      </w:pPr>
    </w:p>
    <w:p w14:paraId="55F1C67D" w14:textId="77777777" w:rsidR="009515E5" w:rsidRDefault="009515E5">
      <w:pPr>
        <w:pStyle w:val="BodyText"/>
        <w:spacing w:before="9"/>
        <w:rPr>
          <w:b/>
          <w:sz w:val="19"/>
        </w:rPr>
      </w:pPr>
    </w:p>
    <w:p w14:paraId="37588B7E" w14:textId="77777777" w:rsidR="009515E5" w:rsidRDefault="00000000">
      <w:pPr>
        <w:pStyle w:val="BodyText"/>
        <w:tabs>
          <w:tab w:val="left" w:pos="5347"/>
        </w:tabs>
        <w:spacing w:before="90"/>
        <w:ind w:left="100" w:right="136"/>
        <w:jc w:val="both"/>
      </w:pPr>
      <w:r>
        <w:t>I,</w:t>
      </w:r>
      <w:r>
        <w:rPr>
          <w:u w:val="single"/>
        </w:rPr>
        <w:t xml:space="preserve"> </w:t>
      </w:r>
      <w:r>
        <w:rPr>
          <w:u w:val="single"/>
        </w:rPr>
        <w:tab/>
      </w:r>
      <w:r>
        <w:t xml:space="preserve">, acknowledge that I have been advised </w:t>
      </w:r>
      <w:r>
        <w:rPr>
          <w:spacing w:val="-4"/>
        </w:rPr>
        <w:t xml:space="preserve">by </w:t>
      </w:r>
      <w:r>
        <w:t xml:space="preserve">Housing Authority of Bexar County (“HABC”) of relocation programs and services available to me including, but not limited to, </w:t>
      </w:r>
      <w:r>
        <w:rPr>
          <w:u w:val="single"/>
        </w:rPr>
        <w:t>moving</w:t>
      </w:r>
      <w:r>
        <w:rPr>
          <w:spacing w:val="-4"/>
          <w:u w:val="single"/>
        </w:rPr>
        <w:t xml:space="preserve"> </w:t>
      </w:r>
      <w:r>
        <w:rPr>
          <w:u w:val="single"/>
        </w:rPr>
        <w:t>services.</w:t>
      </w:r>
    </w:p>
    <w:p w14:paraId="5AEC31B2" w14:textId="77777777" w:rsidR="009515E5" w:rsidRDefault="009515E5">
      <w:pPr>
        <w:pStyle w:val="BodyText"/>
        <w:rPr>
          <w:sz w:val="20"/>
        </w:rPr>
      </w:pPr>
    </w:p>
    <w:p w14:paraId="323B5A19" w14:textId="77777777" w:rsidR="009515E5" w:rsidRDefault="009515E5">
      <w:pPr>
        <w:pStyle w:val="BodyText"/>
        <w:spacing w:before="7"/>
        <w:rPr>
          <w:sz w:val="20"/>
        </w:rPr>
      </w:pPr>
    </w:p>
    <w:p w14:paraId="29FC4228" w14:textId="77777777" w:rsidR="009515E5" w:rsidRDefault="00000000">
      <w:pPr>
        <w:pStyle w:val="Heading1"/>
        <w:spacing w:before="90"/>
        <w:ind w:left="100"/>
        <w:jc w:val="left"/>
        <w:rPr>
          <w:u w:val="none"/>
        </w:rPr>
      </w:pPr>
      <w:r>
        <w:rPr>
          <w:u w:val="thick"/>
        </w:rPr>
        <w:t>HABC, under the Public Housing Disposition, Relocation Provisions for Moving Expenses,</w:t>
      </w:r>
      <w:r>
        <w:rPr>
          <w:u w:val="none"/>
        </w:rPr>
        <w:t xml:space="preserve"> </w:t>
      </w:r>
      <w:r>
        <w:rPr>
          <w:u w:val="thick"/>
        </w:rPr>
        <w:t>is offering one of two options:</w:t>
      </w:r>
    </w:p>
    <w:p w14:paraId="4D82C089" w14:textId="77777777" w:rsidR="009515E5" w:rsidRDefault="009515E5">
      <w:pPr>
        <w:pStyle w:val="BodyText"/>
        <w:rPr>
          <w:b/>
          <w:sz w:val="20"/>
        </w:rPr>
      </w:pPr>
    </w:p>
    <w:p w14:paraId="2C2136F7" w14:textId="77777777" w:rsidR="009515E5" w:rsidRDefault="009515E5">
      <w:pPr>
        <w:pStyle w:val="BodyText"/>
        <w:spacing w:before="9"/>
        <w:rPr>
          <w:b/>
          <w:sz w:val="19"/>
        </w:rPr>
      </w:pPr>
    </w:p>
    <w:p w14:paraId="11466A7D" w14:textId="77777777" w:rsidR="009515E5" w:rsidRDefault="00000000">
      <w:pPr>
        <w:pStyle w:val="BodyText"/>
        <w:tabs>
          <w:tab w:val="left" w:pos="1624"/>
        </w:tabs>
        <w:spacing w:before="90"/>
        <w:ind w:left="100" w:right="154"/>
      </w:pPr>
      <w:r>
        <w:rPr>
          <w:b/>
          <w:i/>
        </w:rPr>
        <w:t>OPTION</w:t>
      </w:r>
      <w:r>
        <w:rPr>
          <w:b/>
          <w:i/>
          <w:spacing w:val="17"/>
        </w:rPr>
        <w:t xml:space="preserve"> </w:t>
      </w:r>
      <w:r>
        <w:rPr>
          <w:b/>
          <w:i/>
        </w:rPr>
        <w:t>#1.</w:t>
      </w:r>
      <w:r>
        <w:rPr>
          <w:b/>
          <w:i/>
        </w:rPr>
        <w:tab/>
      </w:r>
      <w:r>
        <w:t>HABC will hire professional movers to move current tenants from their current Public Housing Unit to their new</w:t>
      </w:r>
      <w:r>
        <w:rPr>
          <w:spacing w:val="-5"/>
        </w:rPr>
        <w:t xml:space="preserve"> </w:t>
      </w:r>
      <w:r>
        <w:t>location;</w:t>
      </w:r>
    </w:p>
    <w:p w14:paraId="556FFF32" w14:textId="77777777" w:rsidR="009515E5" w:rsidRDefault="009515E5">
      <w:pPr>
        <w:pStyle w:val="BodyText"/>
      </w:pPr>
    </w:p>
    <w:p w14:paraId="449E0D6F" w14:textId="77777777" w:rsidR="009515E5" w:rsidRDefault="00000000">
      <w:pPr>
        <w:pStyle w:val="BodyText"/>
        <w:ind w:left="820" w:right="135"/>
        <w:jc w:val="both"/>
      </w:pPr>
      <w:r>
        <w:t>If choosing this option, HABC requires at least 15-day notice, prior to move-out in order to provide sufficient time to hire a moving company. Unless resident has received an extension, move-out date is August 5, 2019.</w:t>
      </w:r>
    </w:p>
    <w:p w14:paraId="7E764738" w14:textId="77777777" w:rsidR="009515E5" w:rsidRDefault="009515E5">
      <w:pPr>
        <w:pStyle w:val="BodyText"/>
        <w:rPr>
          <w:sz w:val="26"/>
        </w:rPr>
      </w:pPr>
    </w:p>
    <w:p w14:paraId="1A971EC4" w14:textId="77777777" w:rsidR="009515E5" w:rsidRDefault="009515E5">
      <w:pPr>
        <w:pStyle w:val="BodyText"/>
        <w:rPr>
          <w:sz w:val="26"/>
        </w:rPr>
      </w:pPr>
    </w:p>
    <w:p w14:paraId="3283FC94" w14:textId="77777777" w:rsidR="009515E5" w:rsidRDefault="00000000">
      <w:pPr>
        <w:pStyle w:val="BodyText"/>
        <w:spacing w:before="230"/>
        <w:ind w:left="100" w:right="154"/>
      </w:pPr>
      <w:r>
        <w:rPr>
          <w:b/>
          <w:i/>
        </w:rPr>
        <w:t xml:space="preserve">OPTION #2. </w:t>
      </w:r>
      <w:r>
        <w:t>HABC will provide Payment to the Resident, in an amount equal to the cost of hiring professional movers.</w:t>
      </w:r>
    </w:p>
    <w:p w14:paraId="0C7D7629" w14:textId="77777777" w:rsidR="009515E5" w:rsidRDefault="009515E5">
      <w:pPr>
        <w:pStyle w:val="BodyText"/>
      </w:pPr>
    </w:p>
    <w:p w14:paraId="442AC5CE" w14:textId="77777777" w:rsidR="009515E5" w:rsidRDefault="00000000">
      <w:pPr>
        <w:pStyle w:val="BodyText"/>
        <w:ind w:left="820" w:right="133"/>
        <w:jc w:val="both"/>
      </w:pPr>
      <w:r>
        <w:t>Option 2 replaces hiring professional movers with payment to the resident for self- administered move-out, at date of move-out. Unless resident has received an extension, move-out date is August 5, 2019.</w:t>
      </w:r>
    </w:p>
    <w:p w14:paraId="37F3518B" w14:textId="77777777" w:rsidR="009515E5" w:rsidRDefault="009515E5">
      <w:pPr>
        <w:pStyle w:val="BodyText"/>
      </w:pPr>
    </w:p>
    <w:p w14:paraId="0C8C15F2" w14:textId="77777777" w:rsidR="009515E5" w:rsidRDefault="00000000">
      <w:pPr>
        <w:pStyle w:val="BodyText"/>
        <w:spacing w:before="1"/>
        <w:ind w:left="820" w:right="132"/>
        <w:jc w:val="both"/>
      </w:pPr>
      <w:r>
        <w:t>If choosing this option, Resident must submit the new location at least 15 days prior to move-out in order to obtain an estimate for moving expenses. HABC will notify resident of the quoted estimate, in writing, to ensure resident is aware of the amount of their forthcoming payment, in lieu of moving services.</w:t>
      </w:r>
    </w:p>
    <w:p w14:paraId="75328D39" w14:textId="77777777" w:rsidR="009515E5" w:rsidRDefault="009515E5">
      <w:pPr>
        <w:pStyle w:val="BodyText"/>
      </w:pPr>
    </w:p>
    <w:p w14:paraId="2F60B945" w14:textId="77777777" w:rsidR="009515E5" w:rsidRDefault="00000000">
      <w:pPr>
        <w:pStyle w:val="BodyText"/>
        <w:ind w:left="820" w:right="135"/>
        <w:jc w:val="both"/>
      </w:pPr>
      <w:r>
        <w:t>On, or before, August 5, 2019, resident will vacate the unit according to the initial lease agreement, which requires the unit be completely empty and clean. HABC staff will inspect the unit at the time of move-out and give the resident a document indicating the unit has been cleared.</w:t>
      </w:r>
    </w:p>
    <w:p w14:paraId="2CB065C2" w14:textId="77777777" w:rsidR="009515E5" w:rsidRDefault="009515E5">
      <w:pPr>
        <w:pStyle w:val="BodyText"/>
      </w:pPr>
    </w:p>
    <w:p w14:paraId="063C8737" w14:textId="77777777" w:rsidR="009515E5" w:rsidRDefault="00000000">
      <w:pPr>
        <w:spacing w:before="1"/>
        <w:ind w:left="820" w:right="133"/>
        <w:jc w:val="both"/>
        <w:rPr>
          <w:i/>
          <w:sz w:val="24"/>
        </w:rPr>
      </w:pPr>
      <w:r>
        <w:rPr>
          <w:sz w:val="24"/>
        </w:rPr>
        <w:t xml:space="preserve">The resident will bring the document to HABC Main Office at 1954 E Houston St, San Antonio TX, 78202. HABC’s finance office will take the document from the resident  and the resident will be given a check in the amount previously quoted for professional moving services, </w:t>
      </w:r>
      <w:r>
        <w:rPr>
          <w:i/>
          <w:sz w:val="24"/>
          <w:u w:val="single"/>
        </w:rPr>
        <w:t>minus any amounts owing to HABC such as under a repayment</w:t>
      </w:r>
      <w:r>
        <w:rPr>
          <w:i/>
          <w:sz w:val="24"/>
        </w:rPr>
        <w:t xml:space="preserve"> </w:t>
      </w:r>
      <w:r>
        <w:rPr>
          <w:i/>
          <w:sz w:val="24"/>
          <w:u w:val="single"/>
        </w:rPr>
        <w:t>agreement.</w:t>
      </w:r>
    </w:p>
    <w:p w14:paraId="5B1C043F" w14:textId="77777777" w:rsidR="009515E5" w:rsidRDefault="009515E5">
      <w:pPr>
        <w:jc w:val="both"/>
        <w:rPr>
          <w:sz w:val="24"/>
        </w:rPr>
        <w:sectPr w:rsidR="009515E5">
          <w:type w:val="continuous"/>
          <w:pgSz w:w="12240" w:h="15840"/>
          <w:pgMar w:top="1360" w:right="1300" w:bottom="280" w:left="1340" w:header="720" w:footer="720" w:gutter="0"/>
          <w:cols w:space="720"/>
        </w:sectPr>
      </w:pPr>
    </w:p>
    <w:p w14:paraId="5CDBD8B9" w14:textId="77777777" w:rsidR="009515E5" w:rsidRDefault="009515E5">
      <w:pPr>
        <w:pStyle w:val="BodyText"/>
        <w:spacing w:before="3"/>
        <w:rPr>
          <w:i/>
          <w:sz w:val="10"/>
        </w:rPr>
      </w:pPr>
    </w:p>
    <w:p w14:paraId="79162A5D" w14:textId="77777777" w:rsidR="009515E5" w:rsidRDefault="00000000">
      <w:pPr>
        <w:pStyle w:val="BodyText"/>
        <w:spacing w:before="90"/>
        <w:ind w:left="100"/>
      </w:pPr>
      <w:r>
        <w:t>Upon consideration, I freely and voluntarily acknowledge the following:</w:t>
      </w:r>
    </w:p>
    <w:p w14:paraId="626426F9" w14:textId="77777777" w:rsidR="009515E5" w:rsidRDefault="009515E5">
      <w:pPr>
        <w:pStyle w:val="BodyText"/>
      </w:pPr>
    </w:p>
    <w:p w14:paraId="3737FB98" w14:textId="77777777" w:rsidR="009515E5" w:rsidRDefault="00000000">
      <w:pPr>
        <w:pStyle w:val="BodyText"/>
        <w:tabs>
          <w:tab w:val="left" w:pos="3261"/>
        </w:tabs>
        <w:ind w:left="100" w:right="154"/>
      </w:pPr>
      <w:r>
        <w:t>I, with the intention of binding myself, spouse, agents, and representatives, hereby indicate my choice as</w:t>
      </w:r>
      <w:r>
        <w:rPr>
          <w:spacing w:val="57"/>
        </w:rPr>
        <w:t xml:space="preserve"> </w:t>
      </w:r>
      <w:r>
        <w:rPr>
          <w:b/>
        </w:rPr>
        <w:t>Option #</w:t>
      </w:r>
      <w:r>
        <w:rPr>
          <w:b/>
          <w:u w:val="single"/>
        </w:rPr>
        <w:t xml:space="preserve"> </w:t>
      </w:r>
      <w:r>
        <w:rPr>
          <w:b/>
          <w:u w:val="single"/>
        </w:rPr>
        <w:tab/>
      </w:r>
      <w:r>
        <w:t>under relocation and moving</w:t>
      </w:r>
      <w:r>
        <w:rPr>
          <w:spacing w:val="-2"/>
        </w:rPr>
        <w:t xml:space="preserve"> </w:t>
      </w:r>
      <w:r>
        <w:t>services.</w:t>
      </w:r>
    </w:p>
    <w:p w14:paraId="79BBC796" w14:textId="77777777" w:rsidR="009515E5" w:rsidRDefault="009515E5">
      <w:pPr>
        <w:pStyle w:val="BodyText"/>
        <w:rPr>
          <w:sz w:val="26"/>
        </w:rPr>
      </w:pPr>
    </w:p>
    <w:p w14:paraId="33E4CFBC" w14:textId="77777777" w:rsidR="009515E5" w:rsidRDefault="009515E5">
      <w:pPr>
        <w:pStyle w:val="BodyText"/>
        <w:rPr>
          <w:sz w:val="22"/>
        </w:rPr>
      </w:pPr>
    </w:p>
    <w:p w14:paraId="6C023E14" w14:textId="77777777" w:rsidR="009515E5" w:rsidRDefault="00000000">
      <w:pPr>
        <w:pStyle w:val="BodyText"/>
        <w:tabs>
          <w:tab w:val="left" w:pos="9443"/>
        </w:tabs>
        <w:ind w:left="4121" w:right="154" w:hanging="420"/>
      </w:pPr>
      <w:r>
        <w:t>By:</w:t>
      </w:r>
      <w:r>
        <w:rPr>
          <w:spacing w:val="-3"/>
        </w:rPr>
        <w:t xml:space="preserve"> </w:t>
      </w:r>
      <w:r>
        <w:t>_</w:t>
      </w:r>
      <w:r>
        <w:rPr>
          <w:u w:val="single"/>
        </w:rPr>
        <w:t xml:space="preserve"> </w:t>
      </w:r>
      <w:r>
        <w:rPr>
          <w:u w:val="single"/>
        </w:rPr>
        <w:tab/>
      </w:r>
      <w:r>
        <w:t xml:space="preserve"> [Name]</w:t>
      </w:r>
    </w:p>
    <w:p w14:paraId="2D147CDA" w14:textId="77777777" w:rsidR="009515E5" w:rsidRDefault="00000000">
      <w:pPr>
        <w:pStyle w:val="BodyText"/>
        <w:tabs>
          <w:tab w:val="left" w:pos="9496"/>
        </w:tabs>
        <w:ind w:left="3701"/>
      </w:pPr>
      <w:r>
        <w:t xml:space="preserve">Date: </w:t>
      </w:r>
      <w:r>
        <w:rPr>
          <w:u w:val="single"/>
        </w:rPr>
        <w:t xml:space="preserve"> </w:t>
      </w:r>
      <w:r>
        <w:rPr>
          <w:u w:val="single"/>
        </w:rPr>
        <w:tab/>
      </w:r>
    </w:p>
    <w:p w14:paraId="06068D24" w14:textId="77777777" w:rsidR="009515E5" w:rsidRDefault="009515E5">
      <w:pPr>
        <w:pStyle w:val="BodyText"/>
        <w:spacing w:before="2"/>
        <w:rPr>
          <w:sz w:val="16"/>
        </w:rPr>
      </w:pPr>
    </w:p>
    <w:p w14:paraId="44615EAB" w14:textId="77777777" w:rsidR="009515E5" w:rsidRDefault="00000000">
      <w:pPr>
        <w:pStyle w:val="BodyText"/>
        <w:tabs>
          <w:tab w:val="left" w:pos="9471"/>
        </w:tabs>
        <w:spacing w:before="90"/>
        <w:ind w:left="3701"/>
      </w:pPr>
      <w:r>
        <w:t xml:space="preserve">Address: </w:t>
      </w:r>
      <w:r>
        <w:rPr>
          <w:u w:val="single"/>
        </w:rPr>
        <w:t xml:space="preserve"> </w:t>
      </w:r>
      <w:r>
        <w:rPr>
          <w:u w:val="single"/>
        </w:rPr>
        <w:tab/>
      </w:r>
    </w:p>
    <w:p w14:paraId="66798FA0" w14:textId="77777777" w:rsidR="009515E5" w:rsidRDefault="009515E5">
      <w:pPr>
        <w:pStyle w:val="BodyText"/>
        <w:rPr>
          <w:sz w:val="20"/>
        </w:rPr>
      </w:pPr>
    </w:p>
    <w:p w14:paraId="6087CE3B" w14:textId="77777777" w:rsidR="009515E5" w:rsidRDefault="00000000">
      <w:pPr>
        <w:pStyle w:val="BodyText"/>
        <w:spacing w:before="9"/>
        <w:rPr>
          <w:sz w:val="23"/>
        </w:rPr>
      </w:pPr>
      <w:r>
        <w:pict w14:anchorId="54FF96DB">
          <v:shape id="_x0000_s1026" style="position:absolute;margin-left:252.05pt;margin-top:15.9pt;width:4in;height:.1pt;z-index:-251658752;mso-wrap-distance-left:0;mso-wrap-distance-right:0;mso-position-horizontal-relative:page" coordorigin="5041,318" coordsize="5760,0" path="m5041,318r5760,e" filled="f" strokeweight=".48pt">
            <v:path arrowok="t"/>
            <w10:wrap type="topAndBottom" anchorx="page"/>
          </v:shape>
        </w:pict>
      </w:r>
    </w:p>
    <w:sectPr w:rsidR="009515E5">
      <w:pgSz w:w="12240" w:h="15840"/>
      <w:pgMar w:top="15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15E5"/>
    <w:rsid w:val="006E5EF1"/>
    <w:rsid w:val="0095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C47A18"/>
  <w15:docId w15:val="{829B0AF2-CA44-4E73-AB74-FA28361D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26" w:right="154"/>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337</Words>
  <Characters>1925</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