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3F117" w14:textId="77777777" w:rsidR="00C00084" w:rsidRDefault="00000000">
      <w:pPr>
        <w:pStyle w:val="Heading1"/>
        <w:ind w:right="21"/>
        <w:rPr>
          <w:u w:val="none"/>
        </w:rPr>
      </w:pPr>
      <w:r>
        <w:rPr>
          <w:u w:val="none"/>
        </w:rPr>
        <w:t>Household Moving Company Disclosures</w:t>
      </w:r>
    </w:p>
    <w:p w14:paraId="3074DEAB" w14:textId="77777777" w:rsidR="00C00084" w:rsidRDefault="00000000">
      <w:pPr>
        <w:ind w:right="18"/>
        <w:jc w:val="center"/>
        <w:rPr>
          <w:b/>
          <w:sz w:val="28"/>
        </w:rPr>
      </w:pPr>
      <w:r>
        <w:rPr>
          <w:b/>
          <w:sz w:val="28"/>
        </w:rPr>
        <w:t>Palm Beach County Code - Chapter 17- Article VIII</w:t>
      </w:r>
    </w:p>
    <w:p w14:paraId="0E8F1267" w14:textId="77777777" w:rsidR="00C00084" w:rsidRDefault="00000000">
      <w:pPr>
        <w:spacing w:before="1"/>
        <w:ind w:left="100"/>
      </w:pPr>
      <w:r>
        <w:pict w14:anchorId="381F7238">
          <v:shapetype id="_x0000_t202" coordsize="21600,21600" o:spt="202" path="m,l,21600r21600,l21600,xe">
            <v:stroke joinstyle="miter"/>
            <v:path gradientshapeok="t" o:connecttype="rect"/>
          </v:shapetype>
          <v:shape id="_x0000_s1032" type="#_x0000_t202" style="position:absolute;left:0;text-align:left;margin-left:222pt;margin-top:6.5pt;width:342pt;height:73.35pt;z-index:15731712;mso-position-horizontal-relative:page" filled="f" strokeweight=".96pt">
            <v:textbox inset="0,0,0,0">
              <w:txbxContent>
                <w:p w14:paraId="75BDD270" w14:textId="77777777" w:rsidR="00C00084" w:rsidRDefault="00000000">
                  <w:pPr>
                    <w:spacing w:before="39"/>
                    <w:ind w:left="44"/>
                    <w:rPr>
                      <w:b/>
                      <w:sz w:val="12"/>
                    </w:rPr>
                  </w:pPr>
                  <w:r>
                    <w:rPr>
                      <w:b/>
                      <w:sz w:val="12"/>
                    </w:rPr>
                    <w:t>Company stamp/imprint</w:t>
                  </w:r>
                </w:p>
              </w:txbxContent>
            </v:textbox>
            <w10:wrap anchorx="page"/>
          </v:shape>
        </w:pict>
      </w:r>
      <w:r>
        <w:t>Name of Moving Company:</w:t>
      </w:r>
    </w:p>
    <w:p w14:paraId="21C1A973" w14:textId="77777777" w:rsidR="00C00084" w:rsidRDefault="00000000">
      <w:pPr>
        <w:spacing w:before="2" w:line="253" w:lineRule="exact"/>
        <w:ind w:left="100"/>
      </w:pPr>
      <w:r>
        <w:t>Physical Address:</w:t>
      </w:r>
    </w:p>
    <w:p w14:paraId="1D8E64D1" w14:textId="77777777" w:rsidR="00C00084" w:rsidRDefault="00000000">
      <w:pPr>
        <w:spacing w:line="253" w:lineRule="exact"/>
        <w:ind w:left="100"/>
      </w:pPr>
      <w:r>
        <w:t>City, State, Zip Code:</w:t>
      </w:r>
    </w:p>
    <w:p w14:paraId="7ABE56B3" w14:textId="77777777" w:rsidR="00C00084" w:rsidRDefault="00000000">
      <w:pPr>
        <w:spacing w:before="1" w:line="252" w:lineRule="exact"/>
        <w:ind w:left="100"/>
      </w:pPr>
      <w:r>
        <w:t>Phone Number:</w:t>
      </w:r>
    </w:p>
    <w:p w14:paraId="73111ABE" w14:textId="77777777" w:rsidR="00C00084" w:rsidRDefault="00000000">
      <w:pPr>
        <w:ind w:left="100" w:right="7439"/>
      </w:pPr>
      <w:r>
        <w:t>Palm Beach County &amp; Florida State Permit/License Numbers</w:t>
      </w:r>
    </w:p>
    <w:p w14:paraId="723BE5D4" w14:textId="77777777" w:rsidR="00C00084" w:rsidRDefault="00000000">
      <w:pPr>
        <w:pStyle w:val="BodyText"/>
        <w:tabs>
          <w:tab w:val="left" w:pos="3536"/>
        </w:tabs>
        <w:spacing w:before="185"/>
      </w:pPr>
      <w:r>
        <w:t>Date:</w:t>
      </w:r>
      <w:r>
        <w:rPr>
          <w:u w:val="single"/>
        </w:rPr>
        <w:t xml:space="preserve"> </w:t>
      </w:r>
      <w:r>
        <w:rPr>
          <w:u w:val="single"/>
        </w:rPr>
        <w:tab/>
      </w:r>
    </w:p>
    <w:p w14:paraId="7EECEB20" w14:textId="77777777" w:rsidR="00C00084" w:rsidRDefault="00000000">
      <w:pPr>
        <w:pStyle w:val="BodyText"/>
        <w:tabs>
          <w:tab w:val="left" w:pos="2317"/>
          <w:tab w:val="left" w:pos="5259"/>
          <w:tab w:val="left" w:pos="7507"/>
          <w:tab w:val="left" w:pos="10584"/>
        </w:tabs>
        <w:spacing w:before="108" w:line="336" w:lineRule="auto"/>
        <w:ind w:right="397"/>
      </w:pPr>
      <w:r>
        <w:t>Consumer’s</w:t>
      </w:r>
      <w:r>
        <w:rPr>
          <w:spacing w:val="-7"/>
        </w:rPr>
        <w:t xml:space="preserve"> </w:t>
      </w:r>
      <w:r>
        <w:t>Name:</w:t>
      </w:r>
      <w:r>
        <w:rPr>
          <w:u w:val="single"/>
        </w:rPr>
        <w:t xml:space="preserve"> </w:t>
      </w:r>
      <w:r>
        <w:rPr>
          <w:u w:val="single"/>
        </w:rPr>
        <w:tab/>
      </w:r>
      <w:r>
        <w:rPr>
          <w:u w:val="single"/>
        </w:rPr>
        <w:tab/>
      </w:r>
      <w:r>
        <w:rPr>
          <w:u w:val="single"/>
        </w:rPr>
        <w:tab/>
      </w:r>
      <w:r>
        <w:rPr>
          <w:u w:val="single"/>
        </w:rPr>
        <w:tab/>
      </w:r>
      <w:r>
        <w:rPr>
          <w:w w:val="28"/>
          <w:u w:val="single"/>
        </w:rPr>
        <w:t xml:space="preserve"> </w:t>
      </w:r>
      <w:r>
        <w:t xml:space="preserve">                                                                                                                        Home</w:t>
      </w:r>
      <w:r>
        <w:rPr>
          <w:spacing w:val="-4"/>
        </w:rPr>
        <w:t xml:space="preserve"> </w:t>
      </w:r>
      <w:r>
        <w:t>Phone:(</w:t>
      </w:r>
      <w:r>
        <w:rPr>
          <w:u w:val="single"/>
        </w:rPr>
        <w:t xml:space="preserve"> </w:t>
      </w:r>
      <w:r>
        <w:rPr>
          <w:u w:val="single"/>
        </w:rPr>
        <w:tab/>
      </w:r>
      <w:r>
        <w:t>)</w:t>
      </w:r>
      <w:r>
        <w:rPr>
          <w:u w:val="single"/>
        </w:rPr>
        <w:t xml:space="preserve"> </w:t>
      </w:r>
      <w:r>
        <w:rPr>
          <w:u w:val="single"/>
        </w:rPr>
        <w:tab/>
      </w:r>
      <w:r>
        <w:t>Other</w:t>
      </w:r>
      <w:r>
        <w:rPr>
          <w:spacing w:val="-4"/>
        </w:rPr>
        <w:t xml:space="preserve"> </w:t>
      </w:r>
      <w:r>
        <w:t>Phone:(</w:t>
      </w:r>
      <w:r>
        <w:rPr>
          <w:u w:val="single"/>
        </w:rPr>
        <w:t xml:space="preserve"> </w:t>
      </w:r>
      <w:r>
        <w:rPr>
          <w:u w:val="single"/>
        </w:rPr>
        <w:tab/>
      </w:r>
      <w:r>
        <w:t>)</w:t>
      </w:r>
      <w:r>
        <w:rPr>
          <w:u w:val="single"/>
        </w:rPr>
        <w:t xml:space="preserve"> </w:t>
      </w:r>
      <w:r>
        <w:rPr>
          <w:u w:val="single"/>
        </w:rPr>
        <w:tab/>
      </w:r>
    </w:p>
    <w:p w14:paraId="6205273B" w14:textId="77777777" w:rsidR="00C00084" w:rsidRDefault="00000000">
      <w:pPr>
        <w:pStyle w:val="Heading1"/>
        <w:spacing w:before="134"/>
        <w:ind w:right="23"/>
        <w:rPr>
          <w:u w:val="none"/>
        </w:rPr>
      </w:pPr>
      <w:r>
        <w:rPr>
          <w:u w:val="thick"/>
        </w:rPr>
        <w:t>PLEASE READ CAREFULLY</w:t>
      </w:r>
    </w:p>
    <w:p w14:paraId="7ABEDEF7" w14:textId="77777777" w:rsidR="00C00084" w:rsidRDefault="00000000">
      <w:pPr>
        <w:spacing w:before="115"/>
        <w:ind w:left="100" w:right="147"/>
        <w:rPr>
          <w:b/>
          <w:sz w:val="28"/>
        </w:rPr>
      </w:pPr>
      <w:r>
        <w:rPr>
          <w:b/>
          <w:sz w:val="25"/>
        </w:rPr>
        <w:t xml:space="preserve">If you have questions or complaints unable to be resolved by the moving company, please contact the Palm Beach County Consumer Affairs Division, Telephone: 561-712-6600 (Boca/Delray/Glades toll free 1-888-852-7362). </w:t>
      </w:r>
      <w:r>
        <w:rPr>
          <w:b/>
          <w:sz w:val="24"/>
        </w:rPr>
        <w:t xml:space="preserve">Website: </w:t>
      </w:r>
      <w:hyperlink r:id="rId4">
        <w:r>
          <w:rPr>
            <w:b/>
            <w:sz w:val="28"/>
            <w:u w:val="thick"/>
          </w:rPr>
          <w:t>www.pbcgov.com/consumer</w:t>
        </w:r>
      </w:hyperlink>
    </w:p>
    <w:p w14:paraId="077CB673" w14:textId="77777777" w:rsidR="00C00084" w:rsidRDefault="00000000">
      <w:pPr>
        <w:spacing w:before="138"/>
        <w:ind w:left="100" w:right="173"/>
        <w:rPr>
          <w:sz w:val="24"/>
        </w:rPr>
      </w:pPr>
      <w:r>
        <w:rPr>
          <w:b/>
          <w:sz w:val="32"/>
          <w:u w:val="thick"/>
        </w:rPr>
        <w:t>Contract for Service:</w:t>
      </w:r>
      <w:r>
        <w:rPr>
          <w:b/>
          <w:sz w:val="32"/>
        </w:rPr>
        <w:t xml:space="preserve"> </w:t>
      </w:r>
      <w:r>
        <w:rPr>
          <w:sz w:val="24"/>
        </w:rPr>
        <w:t xml:space="preserve">A contract for service is required and must include all the terms and costs associated with your move. You are required to disclose all relevant information about your move to the moving company. </w:t>
      </w:r>
      <w:r>
        <w:rPr>
          <w:b/>
          <w:sz w:val="26"/>
          <w:u w:val="thick"/>
        </w:rPr>
        <w:t>Do not sign the contract</w:t>
      </w:r>
      <w:r>
        <w:rPr>
          <w:b/>
          <w:sz w:val="26"/>
        </w:rPr>
        <w:t xml:space="preserve"> unless it is given to you prior to wrapping, </w:t>
      </w:r>
      <w:proofErr w:type="gramStart"/>
      <w:r>
        <w:rPr>
          <w:b/>
          <w:sz w:val="26"/>
        </w:rPr>
        <w:t>packing</w:t>
      </w:r>
      <w:proofErr w:type="gramEnd"/>
      <w:r>
        <w:rPr>
          <w:b/>
          <w:sz w:val="26"/>
        </w:rPr>
        <w:t xml:space="preserve"> or loading your goods or if the total cost of your move is not clearly shown. </w:t>
      </w:r>
      <w:r>
        <w:rPr>
          <w:sz w:val="24"/>
        </w:rPr>
        <w:t>You are entitled to a completed/signed copy of the contract. The moving company is required to deliver your goods inside your dwelling or designated area when you pay no more than the maximum amount stated on the contract.</w:t>
      </w:r>
    </w:p>
    <w:p w14:paraId="5670120C" w14:textId="77777777" w:rsidR="00C00084" w:rsidRDefault="00000000">
      <w:pPr>
        <w:pStyle w:val="BodyText"/>
        <w:spacing w:before="139" w:line="242" w:lineRule="auto"/>
      </w:pPr>
      <w:r>
        <w:rPr>
          <w:b/>
          <w:sz w:val="32"/>
          <w:u w:val="thick"/>
        </w:rPr>
        <w:t>Form of Payment:</w:t>
      </w:r>
      <w:r>
        <w:rPr>
          <w:b/>
          <w:sz w:val="32"/>
        </w:rPr>
        <w:t xml:space="preserve"> </w:t>
      </w:r>
      <w:r>
        <w:t>Your moving company must accept at least two of the following payment methods:</w:t>
      </w:r>
    </w:p>
    <w:p w14:paraId="24714003" w14:textId="77777777" w:rsidR="00C00084" w:rsidRDefault="00000000">
      <w:pPr>
        <w:pStyle w:val="BodyText"/>
        <w:tabs>
          <w:tab w:val="left" w:pos="822"/>
        </w:tabs>
        <w:spacing w:line="272" w:lineRule="exact"/>
      </w:pPr>
      <w:r>
        <w:rPr>
          <w:rFonts w:ascii="Times New Roman" w:hAnsi="Times New Roman"/>
          <w:u w:val="single"/>
        </w:rPr>
        <w:t xml:space="preserve"> </w:t>
      </w:r>
      <w:r>
        <w:rPr>
          <w:rFonts w:ascii="Times New Roman" w:hAnsi="Times New Roman"/>
          <w:u w:val="single"/>
        </w:rPr>
        <w:tab/>
      </w:r>
      <w:r>
        <w:t>Cash (Includes cashier’s check, money order or traveler’s</w:t>
      </w:r>
      <w:r>
        <w:rPr>
          <w:spacing w:val="-8"/>
        </w:rPr>
        <w:t xml:space="preserve"> </w:t>
      </w:r>
      <w:r>
        <w:t>check)</w:t>
      </w:r>
    </w:p>
    <w:p w14:paraId="27B16AEA" w14:textId="77777777" w:rsidR="00C00084" w:rsidRDefault="00000000">
      <w:pPr>
        <w:pStyle w:val="BodyText"/>
        <w:tabs>
          <w:tab w:val="left" w:pos="828"/>
        </w:tabs>
      </w:pPr>
      <w:r>
        <w:rPr>
          <w:u w:val="single"/>
        </w:rPr>
        <w:t xml:space="preserve"> </w:t>
      </w:r>
      <w:r>
        <w:rPr>
          <w:u w:val="single"/>
        </w:rPr>
        <w:tab/>
      </w:r>
      <w:r>
        <w:t>Personal Check (Must show imprinted name and</w:t>
      </w:r>
      <w:r>
        <w:rPr>
          <w:spacing w:val="-11"/>
        </w:rPr>
        <w:t xml:space="preserve"> </w:t>
      </w:r>
      <w:r>
        <w:t>address)</w:t>
      </w:r>
    </w:p>
    <w:p w14:paraId="5C5F52D8" w14:textId="77777777" w:rsidR="00C00084" w:rsidRDefault="00000000">
      <w:pPr>
        <w:pStyle w:val="BodyText"/>
        <w:tabs>
          <w:tab w:val="left" w:pos="828"/>
        </w:tabs>
      </w:pPr>
      <w:r>
        <w:rPr>
          <w:u w:val="single"/>
        </w:rPr>
        <w:t xml:space="preserve"> </w:t>
      </w:r>
      <w:r>
        <w:rPr>
          <w:u w:val="single"/>
        </w:rPr>
        <w:tab/>
      </w:r>
      <w:r>
        <w:t>Credit Card (Must include but not limited to VISA or</w:t>
      </w:r>
      <w:r>
        <w:rPr>
          <w:spacing w:val="-9"/>
        </w:rPr>
        <w:t xml:space="preserve"> </w:t>
      </w:r>
      <w:r>
        <w:t>MasterCard)</w:t>
      </w:r>
    </w:p>
    <w:p w14:paraId="4FFA1F61" w14:textId="77777777" w:rsidR="00C00084" w:rsidRDefault="00000000">
      <w:pPr>
        <w:pStyle w:val="BodyText"/>
        <w:spacing w:before="134"/>
        <w:ind w:right="187"/>
      </w:pPr>
      <w:r>
        <w:rPr>
          <w:b/>
          <w:sz w:val="32"/>
          <w:u w:val="thick"/>
        </w:rPr>
        <w:t>Inventory:</w:t>
      </w:r>
      <w:r>
        <w:rPr>
          <w:b/>
          <w:sz w:val="32"/>
        </w:rPr>
        <w:t xml:space="preserve"> </w:t>
      </w:r>
      <w:r>
        <w:t xml:space="preserve">A written inventory of your household goods is required to be prepared by the moving company at no additional charge </w:t>
      </w:r>
      <w:r>
        <w:rPr>
          <w:b/>
          <w:u w:val="thick"/>
        </w:rPr>
        <w:t>when</w:t>
      </w:r>
      <w:r>
        <w:t>: 1) the move is not performed point-to-point, 2) your goods are placed in storage, 3) your goods are not delivered on the same day they were picked up or 4) more than one consumer’s goods are on the same moving vehicle. The written inventory must be signed by the moving company representative and you or your designated representative. In other circumstances, you may request an inventory and the moving company may charge for preparing the inventory after clearly and conspicuously disclosing in writing the charge.</w:t>
      </w:r>
    </w:p>
    <w:p w14:paraId="4992B031" w14:textId="77777777" w:rsidR="00C00084" w:rsidRDefault="00000000">
      <w:pPr>
        <w:pStyle w:val="Heading1"/>
        <w:spacing w:before="139"/>
        <w:ind w:left="100"/>
        <w:jc w:val="left"/>
        <w:rPr>
          <w:u w:val="none"/>
        </w:rPr>
      </w:pPr>
      <w:r>
        <w:rPr>
          <w:u w:val="thick"/>
        </w:rPr>
        <w:t>Valuation Coverage:</w:t>
      </w:r>
    </w:p>
    <w:p w14:paraId="1B7E2D7B" w14:textId="77777777" w:rsidR="00C00084" w:rsidRDefault="00000000">
      <w:pPr>
        <w:ind w:left="100" w:right="138"/>
        <w:rPr>
          <w:sz w:val="25"/>
        </w:rPr>
      </w:pPr>
      <w:r>
        <w:rPr>
          <w:b/>
          <w:sz w:val="28"/>
        </w:rPr>
        <w:t>Standard Valuation Coverage</w:t>
      </w:r>
      <w:r>
        <w:rPr>
          <w:sz w:val="26"/>
        </w:rPr>
        <w:t xml:space="preserve">: </w:t>
      </w:r>
      <w:r>
        <w:rPr>
          <w:sz w:val="25"/>
        </w:rPr>
        <w:t xml:space="preserve">If your goods become damaged or lost, the moving company may be required to reimburse you to a maximum amount of only sixty cents (.60) per pound/per article, considerably less than the average value of household goods. There is no additional cost or deductible for this standard coverage. (Example: If you have a </w:t>
      </w:r>
      <w:proofErr w:type="gramStart"/>
      <w:r>
        <w:rPr>
          <w:sz w:val="25"/>
        </w:rPr>
        <w:t>5 pound</w:t>
      </w:r>
      <w:proofErr w:type="gramEnd"/>
      <w:r>
        <w:rPr>
          <w:sz w:val="25"/>
        </w:rPr>
        <w:t xml:space="preserve"> table lamp worth $300 and it is damaged or lost, you are only entitled to a maximum reimbursement of $3.)</w:t>
      </w:r>
    </w:p>
    <w:p w14:paraId="52A38DD1" w14:textId="77777777" w:rsidR="00C00084" w:rsidRDefault="00000000">
      <w:pPr>
        <w:spacing w:before="94"/>
        <w:ind w:left="100" w:right="204"/>
        <w:rPr>
          <w:sz w:val="25"/>
        </w:rPr>
      </w:pPr>
      <w:r>
        <w:rPr>
          <w:b/>
          <w:sz w:val="28"/>
        </w:rPr>
        <w:t xml:space="preserve">Additional Valuation Coverage </w:t>
      </w:r>
      <w:r>
        <w:rPr>
          <w:sz w:val="25"/>
        </w:rPr>
        <w:t>is available for an extra cost to compensate you for goods lost or damaged at an amount closer to the declared or replacement value or cost to repair the property or goods. The additional coverage may contain a negotiated deductible. The moving company is required to provide a complete explanation of the benefits and coverage of any Additional Valuation Coverage your purchase. If a deductible applies, it must be disclosed on the contract and be initialed/approved by you. You are still entitled to the standard valuation coverage of $.60 per</w:t>
      </w:r>
      <w:r>
        <w:rPr>
          <w:spacing w:val="-1"/>
          <w:sz w:val="25"/>
        </w:rPr>
        <w:t xml:space="preserve"> </w:t>
      </w:r>
      <w:r>
        <w:rPr>
          <w:sz w:val="25"/>
        </w:rPr>
        <w:t>pound.</w:t>
      </w:r>
    </w:p>
    <w:p w14:paraId="6784655D" w14:textId="77777777" w:rsidR="00C00084" w:rsidRDefault="00000000">
      <w:pPr>
        <w:pStyle w:val="BodyText"/>
        <w:spacing w:before="136" w:line="242" w:lineRule="auto"/>
        <w:ind w:right="184"/>
      </w:pPr>
      <w:r>
        <w:rPr>
          <w:b/>
          <w:sz w:val="32"/>
          <w:u w:val="thick"/>
        </w:rPr>
        <w:t>Damage or Other Claim:</w:t>
      </w:r>
      <w:r>
        <w:rPr>
          <w:b/>
          <w:sz w:val="32"/>
        </w:rPr>
        <w:t xml:space="preserve"> </w:t>
      </w:r>
      <w:r>
        <w:t>You have up to sixty (60) days after the completion of the delivery of your household goods, to notify the moving company, in writing, of any claim for loss, damage, or delay in relation to your move. This does not limit any other legal remedy available to you.</w:t>
      </w:r>
    </w:p>
    <w:p w14:paraId="5D3183D7" w14:textId="77777777" w:rsidR="00C00084" w:rsidRDefault="00C00084">
      <w:pPr>
        <w:pStyle w:val="BodyText"/>
        <w:ind w:left="0"/>
        <w:rPr>
          <w:sz w:val="20"/>
        </w:rPr>
      </w:pPr>
    </w:p>
    <w:p w14:paraId="4F9BADE4" w14:textId="77777777" w:rsidR="00C00084" w:rsidRDefault="00000000">
      <w:pPr>
        <w:pStyle w:val="BodyText"/>
        <w:spacing w:before="1"/>
        <w:ind w:left="0"/>
      </w:pPr>
      <w:r>
        <w:pict w14:anchorId="296D9767">
          <v:shape id="_x0000_s1031" style="position:absolute;margin-left:36pt;margin-top:16.25pt;width:218.2pt;height:.1pt;z-index:-15728640;mso-wrap-distance-left:0;mso-wrap-distance-right:0;mso-position-horizontal-relative:page" coordorigin="720,325" coordsize="4364,0" path="m720,325r4364,e" filled="f" strokeweight=".31203mm">
            <v:path arrowok="t"/>
            <w10:wrap type="topAndBottom" anchorx="page"/>
          </v:shape>
        </w:pict>
      </w:r>
      <w:r>
        <w:pict w14:anchorId="6C5601B6">
          <v:shape id="_x0000_s1030" style="position:absolute;margin-left:301.6pt;margin-top:16.25pt;width:109.15pt;height:.1pt;z-index:-15728128;mso-wrap-distance-left:0;mso-wrap-distance-right:0;mso-position-horizontal-relative:page" coordorigin="6032,325" coordsize="2183,0" path="m6032,325r2182,e" filled="f" strokeweight=".31203mm">
            <v:path arrowok="t"/>
            <w10:wrap type="topAndBottom" anchorx="page"/>
          </v:shape>
        </w:pict>
      </w:r>
      <w:r>
        <w:pict w14:anchorId="3A8CA545">
          <v:shape id="_x0000_s1029" style="position:absolute;margin-left:441.05pt;margin-top:16.25pt;width:101.45pt;height:.1pt;z-index:-15727616;mso-wrap-distance-left:0;mso-wrap-distance-right:0;mso-position-horizontal-relative:page" coordorigin="8821,325" coordsize="2029,0" path="m8821,325r2029,e" filled="f" strokeweight=".31203mm">
            <v:path arrowok="t"/>
            <w10:wrap type="topAndBottom" anchorx="page"/>
          </v:shape>
        </w:pict>
      </w:r>
    </w:p>
    <w:p w14:paraId="226AD50D" w14:textId="77777777" w:rsidR="00C00084" w:rsidRDefault="00000000">
      <w:pPr>
        <w:tabs>
          <w:tab w:val="left" w:pos="5412"/>
          <w:tab w:val="left" w:pos="8201"/>
        </w:tabs>
        <w:spacing w:line="275" w:lineRule="exact"/>
        <w:ind w:left="100"/>
        <w:rPr>
          <w:b/>
          <w:sz w:val="26"/>
        </w:rPr>
      </w:pPr>
      <w:r>
        <w:rPr>
          <w:b/>
          <w:sz w:val="26"/>
        </w:rPr>
        <w:t>Customer’s</w:t>
      </w:r>
      <w:r>
        <w:rPr>
          <w:b/>
          <w:spacing w:val="-5"/>
          <w:sz w:val="26"/>
        </w:rPr>
        <w:t xml:space="preserve"> </w:t>
      </w:r>
      <w:r>
        <w:rPr>
          <w:b/>
          <w:sz w:val="26"/>
        </w:rPr>
        <w:t>Signature</w:t>
      </w:r>
      <w:r>
        <w:rPr>
          <w:b/>
          <w:sz w:val="26"/>
        </w:rPr>
        <w:tab/>
        <w:t>Date</w:t>
      </w:r>
      <w:r>
        <w:rPr>
          <w:b/>
          <w:sz w:val="26"/>
        </w:rPr>
        <w:tab/>
        <w:t>Time</w:t>
      </w:r>
      <w:r>
        <w:rPr>
          <w:b/>
          <w:spacing w:val="-5"/>
          <w:sz w:val="26"/>
        </w:rPr>
        <w:t xml:space="preserve"> </w:t>
      </w:r>
      <w:r>
        <w:rPr>
          <w:b/>
          <w:sz w:val="26"/>
        </w:rPr>
        <w:t>Signed</w:t>
      </w:r>
    </w:p>
    <w:p w14:paraId="777C29AA" w14:textId="77777777" w:rsidR="00C00084" w:rsidRDefault="00C00084">
      <w:pPr>
        <w:pStyle w:val="BodyText"/>
        <w:ind w:left="0"/>
        <w:rPr>
          <w:b/>
          <w:sz w:val="20"/>
        </w:rPr>
      </w:pPr>
    </w:p>
    <w:p w14:paraId="715745B5" w14:textId="77777777" w:rsidR="00C00084" w:rsidRDefault="00000000">
      <w:pPr>
        <w:pStyle w:val="BodyText"/>
        <w:spacing w:before="7"/>
        <w:ind w:left="0"/>
        <w:rPr>
          <w:b/>
        </w:rPr>
      </w:pPr>
      <w:r>
        <w:pict w14:anchorId="40AD0F2C">
          <v:shape id="_x0000_s1028" style="position:absolute;margin-left:36pt;margin-top:16.55pt;width:218.25pt;height:.1pt;z-index:-15727104;mso-wrap-distance-left:0;mso-wrap-distance-right:0;mso-position-horizontal-relative:page" coordorigin="720,331" coordsize="4365,0" path="m720,331r4364,e" filled="f" strokeweight=".31203mm">
            <v:path arrowok="t"/>
            <w10:wrap type="topAndBottom" anchorx="page"/>
          </v:shape>
        </w:pict>
      </w:r>
      <w:r>
        <w:pict w14:anchorId="4A2BF349">
          <v:shape id="_x0000_s1027" style="position:absolute;margin-left:301.6pt;margin-top:16.55pt;width:109.1pt;height:.1pt;z-index:-15726592;mso-wrap-distance-left:0;mso-wrap-distance-right:0;mso-position-horizontal-relative:page" coordorigin="6032,331" coordsize="2182,0" path="m6032,331r2182,e" filled="f" strokeweight=".31203mm">
            <v:path arrowok="t"/>
            <w10:wrap type="topAndBottom" anchorx="page"/>
          </v:shape>
        </w:pict>
      </w:r>
      <w:r>
        <w:pict w14:anchorId="13210B5E">
          <v:shape id="_x0000_s1026" style="position:absolute;margin-left:441.05pt;margin-top:16.55pt;width:101.45pt;height:.1pt;z-index:-15726080;mso-wrap-distance-left:0;mso-wrap-distance-right:0;mso-position-horizontal-relative:page" coordorigin="8821,331" coordsize="2029,0" path="m8821,331r2029,e" filled="f" strokeweight=".31203mm">
            <v:path arrowok="t"/>
            <w10:wrap type="topAndBottom" anchorx="page"/>
          </v:shape>
        </w:pict>
      </w:r>
    </w:p>
    <w:p w14:paraId="3C1A20C6" w14:textId="77777777" w:rsidR="00C00084" w:rsidRDefault="00000000">
      <w:pPr>
        <w:tabs>
          <w:tab w:val="left" w:pos="5312"/>
          <w:tab w:val="left" w:pos="8101"/>
        </w:tabs>
        <w:spacing w:line="275" w:lineRule="exact"/>
        <w:ind w:right="1173"/>
        <w:jc w:val="center"/>
        <w:rPr>
          <w:b/>
          <w:sz w:val="26"/>
        </w:rPr>
      </w:pPr>
      <w:r>
        <w:rPr>
          <w:b/>
          <w:sz w:val="26"/>
        </w:rPr>
        <w:t>Mover’s</w:t>
      </w:r>
      <w:r>
        <w:rPr>
          <w:b/>
          <w:spacing w:val="-4"/>
          <w:sz w:val="26"/>
        </w:rPr>
        <w:t xml:space="preserve"> </w:t>
      </w:r>
      <w:r>
        <w:rPr>
          <w:b/>
          <w:sz w:val="26"/>
        </w:rPr>
        <w:t>Signature</w:t>
      </w:r>
      <w:r>
        <w:rPr>
          <w:b/>
          <w:sz w:val="26"/>
        </w:rPr>
        <w:tab/>
        <w:t>Date</w:t>
      </w:r>
      <w:r>
        <w:rPr>
          <w:b/>
          <w:sz w:val="26"/>
        </w:rPr>
        <w:tab/>
        <w:t>Time</w:t>
      </w:r>
      <w:r>
        <w:rPr>
          <w:b/>
          <w:spacing w:val="-4"/>
          <w:sz w:val="26"/>
        </w:rPr>
        <w:t xml:space="preserve"> </w:t>
      </w:r>
      <w:r>
        <w:rPr>
          <w:b/>
          <w:sz w:val="26"/>
        </w:rPr>
        <w:t>Signed</w:t>
      </w:r>
    </w:p>
    <w:p w14:paraId="516814AF" w14:textId="77777777" w:rsidR="00C00084" w:rsidRDefault="00000000">
      <w:pPr>
        <w:pStyle w:val="BodyText"/>
        <w:spacing w:before="46"/>
        <w:ind w:left="0" w:right="17"/>
        <w:jc w:val="center"/>
      </w:pPr>
      <w:r>
        <w:t>You are entitled to a copy of this form.</w:t>
      </w:r>
    </w:p>
    <w:p w14:paraId="20EE65BA" w14:textId="77777777" w:rsidR="00C00084" w:rsidRDefault="00C00084">
      <w:pPr>
        <w:pStyle w:val="BodyText"/>
        <w:spacing w:before="1"/>
        <w:ind w:left="0"/>
        <w:rPr>
          <w:sz w:val="36"/>
        </w:rPr>
      </w:pPr>
    </w:p>
    <w:sectPr w:rsidR="00C00084">
      <w:type w:val="continuous"/>
      <w:pgSz w:w="12240" w:h="20160"/>
      <w:pgMar w:top="5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00084"/>
    <w:rsid w:val="00263FEB"/>
    <w:rsid w:val="00C0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292188D"/>
  <w15:docId w15:val="{A1E81B07-FC32-4FB3-BC8F-EEBBFAFE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jc w:val="center"/>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pbcgov.com/consumer"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557</Words>
  <Characters>3178</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3728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