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F83" w:rsidRPr="006A4F83" w:rsidRDefault="006A4F83" w:rsidP="006A4F83">
      <w:pPr>
        <w:spacing w:after="0" w:line="240" w:lineRule="auto"/>
        <w:jc w:val="center"/>
        <w:rPr>
          <w:rFonts w:ascii="Times New Roman" w:eastAsia="Times New Roman" w:hAnsi="Times New Roman" w:cs="Times New Roman"/>
          <w:b/>
          <w:bCs/>
          <w:color w:val="000000"/>
        </w:rPr>
      </w:pPr>
      <w:r w:rsidRPr="006A4F83">
        <w:rPr>
          <w:rFonts w:ascii="Times New Roman" w:eastAsia="Times New Roman" w:hAnsi="Times New Roman" w:cs="Times New Roman"/>
          <w:b/>
          <w:bCs/>
          <w:color w:val="000000"/>
          <w:u w:val="single"/>
        </w:rPr>
        <w:t>NON-COMPETITION AGREEMENT</w:t>
      </w:r>
    </w:p>
    <w:p w:rsidR="006A4F83" w:rsidRPr="006A4F83" w:rsidRDefault="006A4F83" w:rsidP="006A4F83">
      <w:pPr>
        <w:spacing w:after="0" w:line="240" w:lineRule="auto"/>
        <w:jc w:val="center"/>
        <w:rPr>
          <w:rFonts w:ascii="Times New Roman" w:eastAsia="Times New Roman" w:hAnsi="Times New Roman" w:cs="Times New Roman"/>
          <w:b/>
          <w:bCs/>
          <w:color w:val="000000"/>
        </w:rPr>
      </w:pPr>
      <w:r w:rsidRPr="006A4F83">
        <w:rPr>
          <w:rFonts w:ascii="Times New Roman" w:eastAsia="Times New Roman" w:hAnsi="Times New Roman" w:cs="Times New Roman"/>
          <w:b/>
          <w:bCs/>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This Non-Competition (this "</w:t>
      </w:r>
      <w:r w:rsidRPr="006A4F83">
        <w:rPr>
          <w:rFonts w:ascii="Times New Roman" w:eastAsia="Times New Roman" w:hAnsi="Times New Roman" w:cs="Times New Roman"/>
          <w:b/>
          <w:bCs/>
          <w:i/>
          <w:iCs/>
          <w:color w:val="000000"/>
        </w:rPr>
        <w:t>Agreement</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xml:space="preserve"> is made and entered into as of October 30, 2006 by and between </w:t>
      </w:r>
      <w:r w:rsidR="002226A0">
        <w:rPr>
          <w:rFonts w:ascii="Times New Roman" w:eastAsia="Times New Roman" w:hAnsi="Times New Roman" w:cs="Times New Roman"/>
          <w:color w:val="000000"/>
        </w:rPr>
        <w:t>_________________________________</w:t>
      </w:r>
      <w:r w:rsidRPr="006A4F83">
        <w:rPr>
          <w:rFonts w:ascii="Times New Roman" w:eastAsia="Times New Roman" w:hAnsi="Times New Roman" w:cs="Times New Roman"/>
          <w:color w:val="000000"/>
        </w:rPr>
        <w:t> </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w:t>
      </w:r>
      <w:proofErr w:type="spellStart"/>
      <w:r w:rsidRPr="006A4F83">
        <w:rPr>
          <w:rFonts w:ascii="Times New Roman" w:eastAsia="Times New Roman" w:hAnsi="Times New Roman" w:cs="Times New Roman"/>
          <w:b/>
          <w:bCs/>
          <w:i/>
          <w:iCs/>
          <w:color w:val="000000"/>
        </w:rPr>
        <w:t>Acquiror</w:t>
      </w:r>
      <w:proofErr w:type="spellEnd"/>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w:t>
      </w:r>
      <w:r w:rsidR="002226A0">
        <w:rPr>
          <w:rFonts w:ascii="Times New Roman" w:eastAsia="Times New Roman" w:hAnsi="Times New Roman" w:cs="Times New Roman"/>
          <w:color w:val="000000"/>
        </w:rPr>
        <w:t>_____________________________</w:t>
      </w:r>
      <w:r w:rsidRPr="006A4F83">
        <w:rPr>
          <w:rFonts w:ascii="Times New Roman" w:eastAsia="Times New Roman" w:hAnsi="Times New Roman" w:cs="Times New Roman"/>
          <w:color w:val="000000"/>
        </w:rPr>
        <w:t xml:space="preserve"> (the "</w:t>
      </w:r>
      <w:r w:rsidRPr="006A4F83">
        <w:rPr>
          <w:rFonts w:ascii="Times New Roman" w:eastAsia="Times New Roman" w:hAnsi="Times New Roman" w:cs="Times New Roman"/>
          <w:b/>
          <w:bCs/>
          <w:i/>
          <w:iCs/>
          <w:color w:val="000000"/>
        </w:rPr>
        <w:t>Target</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xml:space="preserve"> and </w:t>
      </w:r>
      <w:r w:rsidR="002226A0">
        <w:rPr>
          <w:rFonts w:ascii="Times New Roman" w:eastAsia="Times New Roman" w:hAnsi="Times New Roman" w:cs="Times New Roman"/>
          <w:color w:val="000000"/>
        </w:rPr>
        <w:t>_________________________</w:t>
      </w:r>
      <w:r w:rsidRPr="006A4F83">
        <w:rPr>
          <w:rFonts w:ascii="Times New Roman" w:eastAsia="Times New Roman" w:hAnsi="Times New Roman" w:cs="Times New Roman"/>
          <w:color w:val="000000"/>
        </w:rPr>
        <w:t> </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b/>
          <w:bCs/>
          <w:i/>
          <w:iCs/>
          <w:color w:val="000000"/>
        </w:rPr>
        <w:t>Smith</w:t>
      </w:r>
      <w:r w:rsidRPr="006A4F83">
        <w:rPr>
          <w:rFonts w:ascii="Times New Roman" w:eastAsia="Times New Roman" w:hAnsi="Times New Roman" w:cs="Times New Roman"/>
          <w:color w:val="000000"/>
        </w:rPr>
        <w:t>" and, together with Target, the "</w:t>
      </w:r>
      <w:r w:rsidRPr="006A4F83">
        <w:rPr>
          <w:rFonts w:ascii="Times New Roman" w:eastAsia="Times New Roman" w:hAnsi="Times New Roman" w:cs="Times New Roman"/>
          <w:b/>
          <w:bCs/>
          <w:i/>
          <w:iCs/>
          <w:color w:val="000000"/>
        </w:rPr>
        <w:t>Inducer</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u w:val="single"/>
        </w:rPr>
        <w:t>RECITALS</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A.        Pursuant to that certain Asset Purchase Agreement (the "</w:t>
      </w:r>
      <w:r w:rsidRPr="006A4F83">
        <w:rPr>
          <w:rFonts w:ascii="Times New Roman" w:eastAsia="Times New Roman" w:hAnsi="Times New Roman" w:cs="Times New Roman"/>
          <w:b/>
          <w:bCs/>
          <w:i/>
          <w:iCs/>
          <w:color w:val="000000"/>
        </w:rPr>
        <w:t>Purchase Agreement</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xml:space="preserve"> dated as of even date herewith by and among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Target, and certain other parties thereto,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will acquire substantially all of the assets of the Target together with all of the goodwill of Target related to the business of Target being conducted and proposed to be conducted by Target, comprised of the establishing, maintaining and publishing of an online marketplace whereby consumers may search, compare and apply for credit cards suited to such consumers' needs (the "</w:t>
      </w:r>
      <w:r w:rsidRPr="006A4F83">
        <w:rPr>
          <w:rFonts w:ascii="Times New Roman" w:eastAsia="Times New Roman" w:hAnsi="Times New Roman" w:cs="Times New Roman"/>
          <w:b/>
          <w:bCs/>
          <w:i/>
          <w:iCs/>
          <w:color w:val="000000"/>
        </w:rPr>
        <w:t>Target Business</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The effective time of this Agreement (the "</w:t>
      </w:r>
      <w:r w:rsidRPr="006A4F83">
        <w:rPr>
          <w:rFonts w:ascii="Times New Roman" w:eastAsia="Times New Roman" w:hAnsi="Times New Roman" w:cs="Times New Roman"/>
          <w:b/>
          <w:bCs/>
          <w:i/>
          <w:iCs/>
          <w:color w:val="000000"/>
        </w:rPr>
        <w:t>Effective Time</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shall be the effective time of the closing of the transaction contemplated by the Purchase Agreement (the "</w:t>
      </w:r>
      <w:r w:rsidRPr="006A4F83">
        <w:rPr>
          <w:rFonts w:ascii="Times New Roman" w:eastAsia="Times New Roman" w:hAnsi="Times New Roman" w:cs="Times New Roman"/>
          <w:b/>
          <w:bCs/>
          <w:i/>
          <w:iCs/>
          <w:color w:val="000000"/>
        </w:rPr>
        <w:t>Acquisition</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Capitalized terms not otherwise defined herein shall have the meaning ascribed to them in the Purchase Agreement.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xml:space="preserve">B.         In conjunction with the Purchase Agreement, as an inducement to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entering into the Purchase Agreement and as a condition to the consummation of the Acquisition, Inducer has agreed to refrain from competing with the Target Business for a reasonable period of time in order that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may obtain the contemplated benefits from the Acquisition and the goodwill associated therewith.</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C.         Inducer possesses, and after the Effective Time will continue to possess, detailed and special knowledge of confidential and proprietary information of the Target Business, including confidential or proprietary information regarding Target's activities, products and technology.</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D.        Inducer's entry into this Agreement is an essential part of the transactions described in the Purchase Agreement. Smith owns an interest in Target and will derive significant financial benefit from the Acquisition. The due execution of this Agreement by Inducer is a condition to the closing of the Acquisition.</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E.         The parties to this Agreement, and to the Purchase Agreement, recognize that Target has carried on the Target Business via the Internet, marketing to customers, clients and suppliers in the United States and its territories, the remainder of the countries of North America, Asia, Africa, South America, Australia and Europe (the "</w:t>
      </w:r>
      <w:r w:rsidRPr="006A4F83">
        <w:rPr>
          <w:rFonts w:ascii="Times New Roman" w:eastAsia="Times New Roman" w:hAnsi="Times New Roman" w:cs="Times New Roman"/>
          <w:b/>
          <w:bCs/>
          <w:i/>
          <w:iCs/>
          <w:color w:val="000000"/>
        </w:rPr>
        <w:t>Geographic Area</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xml:space="preserve">F.         This Agreement is necessary for the protection of </w:t>
      </w:r>
      <w:proofErr w:type="spellStart"/>
      <w:r w:rsidRPr="006A4F83">
        <w:rPr>
          <w:rFonts w:ascii="Times New Roman" w:eastAsia="Times New Roman" w:hAnsi="Times New Roman" w:cs="Times New Roman"/>
          <w:color w:val="000000"/>
        </w:rPr>
        <w:t>Acquiror's</w:t>
      </w:r>
      <w:proofErr w:type="spellEnd"/>
      <w:r w:rsidRPr="006A4F83">
        <w:rPr>
          <w:rFonts w:ascii="Times New Roman" w:eastAsia="Times New Roman" w:hAnsi="Times New Roman" w:cs="Times New Roman"/>
          <w:color w:val="000000"/>
        </w:rPr>
        <w:t xml:space="preserve"> investment in Target's assets that it is purchasing in the Acquisition.</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b/>
          <w:bCs/>
          <w:color w:val="000000"/>
        </w:rPr>
        <w:t>NOW, THEREFORE</w:t>
      </w:r>
      <w:r w:rsidRPr="006A4F83">
        <w:rPr>
          <w:rFonts w:ascii="Times New Roman" w:eastAsia="Times New Roman" w:hAnsi="Times New Roman" w:cs="Times New Roman"/>
          <w:color w:val="000000"/>
        </w:rPr>
        <w:t xml:space="preserve">, in consideration of the mutual promises made in this Agreement and the consideration to be received by Inducer in connection with the Acquisition and for other good and valuable consideration, the simultaneous receipt and adequacy of which are hereby acknowledged, the Inducer and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(collectively referred to as the "</w:t>
      </w:r>
      <w:r w:rsidRPr="006A4F83">
        <w:rPr>
          <w:rFonts w:ascii="Times New Roman" w:eastAsia="Times New Roman" w:hAnsi="Times New Roman" w:cs="Times New Roman"/>
          <w:b/>
          <w:bCs/>
          <w:i/>
          <w:iCs/>
          <w:color w:val="000000"/>
        </w:rPr>
        <w:t>Parties</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hereby agree as follows:</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2226A0" w:rsidP="006A4F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5" style="width:468pt;height:2.25pt" o:hrstd="t" o:hrnoshade="t" o:hr="t" fillcolor="#010101" stroked="f"/>
        </w:pict>
      </w:r>
    </w:p>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color w:val="000000"/>
        </w:rPr>
        <w:br w:type="textWrapping" w:clear="all"/>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1.         </w:t>
      </w:r>
      <w:r w:rsidRPr="006A4F83">
        <w:rPr>
          <w:rFonts w:ascii="Times New Roman" w:eastAsia="Times New Roman" w:hAnsi="Times New Roman" w:cs="Times New Roman"/>
          <w:color w:val="000000"/>
          <w:u w:val="single"/>
        </w:rPr>
        <w:t>Non-Competition; Non-Solicitation</w:t>
      </w:r>
      <w:r w:rsidRPr="006A4F83">
        <w:rPr>
          <w:rFonts w:ascii="Times New Roman" w:eastAsia="Times New Roman" w:hAnsi="Times New Roman" w:cs="Times New Roman"/>
          <w:color w:val="000000"/>
        </w:rPr>
        <w:t>. Inducer agrees that for a period (the "</w:t>
      </w:r>
      <w:r w:rsidRPr="006A4F83">
        <w:rPr>
          <w:rFonts w:ascii="Times New Roman" w:eastAsia="Times New Roman" w:hAnsi="Times New Roman" w:cs="Times New Roman"/>
          <w:b/>
          <w:bCs/>
          <w:i/>
          <w:iCs/>
          <w:color w:val="000000"/>
        </w:rPr>
        <w:t>Restricted Period</w:t>
      </w:r>
      <w:r w:rsidRPr="006A4F83">
        <w:rPr>
          <w:rFonts w:ascii="Times New Roman" w:eastAsia="Times New Roman" w:hAnsi="Times New Roman" w:cs="Times New Roman"/>
          <w:color w:val="000000"/>
        </w:rPr>
        <w:t>"</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xml:space="preserve"> commencing from the Effective Time until the six (6) year anniversary of the date hereof, </w:t>
      </w:r>
      <w:r w:rsidRPr="006A4F83">
        <w:rPr>
          <w:rFonts w:ascii="Times New Roman" w:eastAsia="Times New Roman" w:hAnsi="Times New Roman" w:cs="Times New Roman"/>
          <w:color w:val="000000"/>
        </w:rPr>
        <w:lastRenderedPageBreak/>
        <w:t xml:space="preserve">Inducer will not directly or indirectly, whether as an owner, partner, stockholder, joint </w:t>
      </w:r>
      <w:proofErr w:type="spellStart"/>
      <w:r w:rsidRPr="006A4F83">
        <w:rPr>
          <w:rFonts w:ascii="Times New Roman" w:eastAsia="Times New Roman" w:hAnsi="Times New Roman" w:cs="Times New Roman"/>
          <w:color w:val="000000"/>
        </w:rPr>
        <w:t>venturer</w:t>
      </w:r>
      <w:proofErr w:type="spellEnd"/>
      <w:r w:rsidRPr="006A4F83">
        <w:rPr>
          <w:rFonts w:ascii="Times New Roman" w:eastAsia="Times New Roman" w:hAnsi="Times New Roman" w:cs="Times New Roman"/>
          <w:color w:val="000000"/>
        </w:rPr>
        <w:t xml:space="preserve">, corporate officer, director, employee, consultant, principal, trustee, lender or licensor, or in any other similar capacity whatsoever, of or for any person, firm, partnership, company or corporation (other than for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of its affiliates): (a) engage, own, manage, operate, sell, finance, control or participate in the engagement, ownership, management, operation, sales, finance or control of, or be connected in any manner with, any business that competes with the Business; (b) approach or solicit in connection with a competing business purpose, or divert, interfere with or take away, or attempt to approach or solicit in connection with a competing business purpose, or divert, interfere or take away, the business or patronage of any of the clients, customers or suppliers of the Target or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which are presently existing or identified as prospective clients, customers or suppliers; or (c) recruit or solicit any person who is or was employed by Target,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of their respective affiliates, or induce or attempt to induce or take any action which is intended to induce any employee of Target,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of their respective affiliates to terminate his or her employment with, or otherwise cease his or her relationship with,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of its affiliates, or interfere in any manner with the contractual or employment relationship between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of its affiliates and any employee of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of its affiliates; provided however, the restriction in Paragraph I(c) shall terminate upon (</w:t>
      </w:r>
      <w:proofErr w:type="spellStart"/>
      <w:r w:rsidRPr="006A4F83">
        <w:rPr>
          <w:rFonts w:ascii="Times New Roman" w:eastAsia="Times New Roman" w:hAnsi="Times New Roman" w:cs="Times New Roman"/>
          <w:color w:val="000000"/>
        </w:rPr>
        <w:t>i</w:t>
      </w:r>
      <w:proofErr w:type="spellEnd"/>
      <w:r w:rsidRPr="006A4F83">
        <w:rPr>
          <w:rFonts w:ascii="Times New Roman" w:eastAsia="Times New Roman" w:hAnsi="Times New Roman" w:cs="Times New Roman"/>
          <w:color w:val="000000"/>
        </w:rPr>
        <w:t>) termination of the employee's employment by Acquirer or its affiliate, as applicable; or (ii) sale of Target, whether by sale of stock, sale of assets, merger, or otherwise. In addition, notwithstanding any restriction in this Paragraph 1, Inducer is permitted to own, as a passive investor, up to a 1% interest in any publicly-traded entity. The restrictions set forth in this Paragraph 1 shall be effective within all cities, counties, states, provinces or other similar designated regions of the Geographic Area.</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2.         </w:t>
      </w:r>
      <w:r w:rsidRPr="006A4F83">
        <w:rPr>
          <w:rFonts w:ascii="Times New Roman" w:eastAsia="Times New Roman" w:hAnsi="Times New Roman" w:cs="Times New Roman"/>
          <w:color w:val="000000"/>
          <w:u w:val="single"/>
        </w:rPr>
        <w:t>Confidentiality</w:t>
      </w:r>
      <w:r w:rsidRPr="006A4F83">
        <w:rPr>
          <w:rFonts w:ascii="Times New Roman" w:eastAsia="Times New Roman" w:hAnsi="Times New Roman" w:cs="Times New Roman"/>
          <w:color w:val="000000"/>
        </w:rPr>
        <w:t>. Inducer possesses certain information related to Target's products, services, research, development, marketing and selling, business plans, budgets and unpublished financial statements, licenses, prices and costs, suppliers, customer lists and customers, substantial portions of which are non-public, confidential and /or proprietary in nature. All such information, whether written or oral and whether furnished before or after the date hereof which are based on or contain or otherwise related to such information are collectively referred to as the "</w:t>
      </w:r>
      <w:r w:rsidRPr="006A4F83">
        <w:rPr>
          <w:rFonts w:ascii="Times New Roman" w:eastAsia="Times New Roman" w:hAnsi="Times New Roman" w:cs="Times New Roman"/>
          <w:b/>
          <w:bCs/>
          <w:i/>
          <w:iCs/>
          <w:color w:val="000000"/>
        </w:rPr>
        <w:t>Confidential Information</w:t>
      </w:r>
      <w:r w:rsidRPr="006A4F83">
        <w:rPr>
          <w:rFonts w:ascii="Times New Roman" w:eastAsia="Times New Roman" w:hAnsi="Times New Roman" w:cs="Times New Roman"/>
          <w:i/>
          <w:iCs/>
          <w:color w:val="000000"/>
        </w:rPr>
        <w:t>.</w:t>
      </w:r>
      <w:r w:rsidRPr="006A4F83">
        <w:rPr>
          <w:rFonts w:ascii="Times New Roman" w:eastAsia="Times New Roman" w:hAnsi="Times New Roman" w:cs="Times New Roman"/>
          <w:color w:val="000000"/>
        </w:rPr>
        <w:t>" The term "person" shall be broadly interpreted to include, without limitation, any governmental entity, corporation, partnership, company or individual. Inducer agrees to (</w:t>
      </w:r>
      <w:proofErr w:type="spellStart"/>
      <w:r w:rsidRPr="006A4F83">
        <w:rPr>
          <w:rFonts w:ascii="Times New Roman" w:eastAsia="Times New Roman" w:hAnsi="Times New Roman" w:cs="Times New Roman"/>
          <w:color w:val="000000"/>
        </w:rPr>
        <w:t>i</w:t>
      </w:r>
      <w:proofErr w:type="spellEnd"/>
      <w:r w:rsidRPr="006A4F83">
        <w:rPr>
          <w:rFonts w:ascii="Times New Roman" w:eastAsia="Times New Roman" w:hAnsi="Times New Roman" w:cs="Times New Roman"/>
          <w:color w:val="000000"/>
        </w:rPr>
        <w:t>) hold all Confidential Information in strict confidence and use all reasonable care to maintain the confidentiality of all Confidential Information and (ii) not disclose Confidential Information to any person; provided, however, that the foregoing obligations regarding confidentiality shall not apply to any Confidential Information that (</w:t>
      </w:r>
      <w:proofErr w:type="spellStart"/>
      <w:r w:rsidRPr="006A4F83">
        <w:rPr>
          <w:rFonts w:ascii="Times New Roman" w:eastAsia="Times New Roman" w:hAnsi="Times New Roman" w:cs="Times New Roman"/>
          <w:color w:val="000000"/>
        </w:rPr>
        <w:t>i</w:t>
      </w:r>
      <w:proofErr w:type="spellEnd"/>
      <w:r w:rsidRPr="006A4F83">
        <w:rPr>
          <w:rFonts w:ascii="Times New Roman" w:eastAsia="Times New Roman" w:hAnsi="Times New Roman" w:cs="Times New Roman"/>
          <w:color w:val="000000"/>
        </w:rPr>
        <w:t xml:space="preserve">) is or becomes generally available to or known by the public other than as a result of a disclosure made by Inducer, or (ii) is or was disclosed to Inducer on a non-confidential basis from a source other than Target or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their predecessors) provided that Inducer is not aware that such source is or was then bound by a confidentiality agreement with Target or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otherwise prohibited from transmitting the information to Inducer. Further, Inducer acknowledges the assignment to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of any rights Inducer may have in any Confidential Information and recognizes that all Confidential Information shall be the sole property of the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and its assigns and that the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and its assigns shall be the sole owner of all patent rights, copyrights, trade secret rights, and all other rights throughout the world. Notwithstanding the foregoing, Smith may use his know-how in other activities so long in so doing he does not disclose or use the Confidential Information in violation of his obligations hereunder or under any other agreement between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affiliate of the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and Smith.</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2</w:t>
      </w:r>
    </w:p>
    <w:p w:rsidR="006A4F83" w:rsidRPr="006A4F83" w:rsidRDefault="002226A0" w:rsidP="006A4F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6" style="width:468pt;height:2.25pt" o:hrstd="t" o:hrnoshade="t" o:hr="t" fillcolor="#010101" stroked="f"/>
        </w:pict>
      </w:r>
    </w:p>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color w:val="000000"/>
        </w:rPr>
        <w:br w:type="textWrapping" w:clear="all"/>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lastRenderedPageBreak/>
        <w:t>3.         </w:t>
      </w:r>
      <w:r w:rsidRPr="006A4F83">
        <w:rPr>
          <w:rFonts w:ascii="Times New Roman" w:eastAsia="Times New Roman" w:hAnsi="Times New Roman" w:cs="Times New Roman"/>
          <w:color w:val="000000"/>
          <w:u w:val="single"/>
        </w:rPr>
        <w:t>Condition of Acquisition; Consideration</w:t>
      </w:r>
      <w:r w:rsidRPr="006A4F83">
        <w:rPr>
          <w:rFonts w:ascii="Times New Roman" w:eastAsia="Times New Roman" w:hAnsi="Times New Roman" w:cs="Times New Roman"/>
          <w:color w:val="000000"/>
        </w:rPr>
        <w:t xml:space="preserve">. Inducer agrees and acknowledges that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is entering into the Purchase Agreement in order, in part, to acquire the Target Business for expansion into worldwide markets. Inducer further agrees that the covenants provided for in Paragraphs 1 and 2, including, without limitation, the term of the Restricted Period and the scope of the Geographic Area encompassed in such covenants, are necessary and reasonable in order to protect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in the conduct of the Business and the utilization of its assets, tangible and intangible, including goodwill, and to preserve and protect the tangible and intangible assets purchased in the Acquisition,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and its affiliates, including their goodwill, and the customers and trade secrets of which Inducer has and will have knowledge. Both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and Inducer agree that the execution, delivery and performance of this Agreement is in consideration of, and a condition precedent to, the consummation of the Acquisition, and the Parties do not ascribe and cannot ascribe a separate consideration or value to the covenants provided in this Agreement.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4.         </w:t>
      </w:r>
      <w:r w:rsidRPr="006A4F83">
        <w:rPr>
          <w:rFonts w:ascii="Times New Roman" w:eastAsia="Times New Roman" w:hAnsi="Times New Roman" w:cs="Times New Roman"/>
          <w:color w:val="000000"/>
          <w:u w:val="single"/>
        </w:rPr>
        <w:t>Severability</w:t>
      </w:r>
      <w:r w:rsidRPr="006A4F83">
        <w:rPr>
          <w:rFonts w:ascii="Times New Roman" w:eastAsia="Times New Roman" w:hAnsi="Times New Roman" w:cs="Times New Roman"/>
          <w:color w:val="000000"/>
        </w:rPr>
        <w:t>. The covenants contained in this Agreement shall be construed as a series of separate covenants, one for each of the cities, counties and states of the United States of America, and one for each other country, city and any region, if any, analogous to states or counties in the United States of America in the Geographic Area. It is the desire and intent of the Parties that these covenants shall be enforced to the fullest extent permissible under applicable law. If any portion of this Agreement is held to be invalid or unenforceable due to the unreasonableness of time or geographical restrictions, such covenants and restrictions shall be effective for the greatest period of time and for the greatest geographical area as may be determined to be reasonable by a court of competent jurisdiction and shall be enforced accordingly. If any other portion of this Agreement is held to be invalid or unenforceable for reasons unrelated to the unreasonableness of time or geographical restrictions, such provisions shall be severed from this Agreement and the remaining covenants and restrictions or portions thereof shall remain in full force and effect.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5.         </w:t>
      </w:r>
      <w:r w:rsidRPr="006A4F83">
        <w:rPr>
          <w:rFonts w:ascii="Times New Roman" w:eastAsia="Times New Roman" w:hAnsi="Times New Roman" w:cs="Times New Roman"/>
          <w:color w:val="000000"/>
          <w:u w:val="single"/>
        </w:rPr>
        <w:t>Waiver</w:t>
      </w:r>
      <w:r w:rsidRPr="006A4F83">
        <w:rPr>
          <w:rFonts w:ascii="Times New Roman" w:eastAsia="Times New Roman" w:hAnsi="Times New Roman" w:cs="Times New Roman"/>
          <w:color w:val="000000"/>
        </w:rPr>
        <w:t xml:space="preserve">. No provision of this Agreement shall be modified, waived or discharged unless the modification, waiver or discharge is agreed to in writing, specifying such modification, waiver or discharge, and signed by Inducer and by an authorized officer of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(other than Inducer). No waiver by any party of any breach of, or compliance with, any condition or provision of this Agreement by another party shall be considered a waiver of any other condition or provision or of the same condition or provision at another time.</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6.         </w:t>
      </w:r>
      <w:r w:rsidRPr="006A4F83">
        <w:rPr>
          <w:rFonts w:ascii="Times New Roman" w:eastAsia="Times New Roman" w:hAnsi="Times New Roman" w:cs="Times New Roman"/>
          <w:color w:val="000000"/>
          <w:u w:val="single"/>
        </w:rPr>
        <w:t>Injunctive Relief</w:t>
      </w:r>
      <w:r w:rsidRPr="006A4F83">
        <w:rPr>
          <w:rFonts w:ascii="Times New Roman" w:eastAsia="Times New Roman" w:hAnsi="Times New Roman" w:cs="Times New Roman"/>
          <w:color w:val="000000"/>
        </w:rPr>
        <w:t xml:space="preserve">. It is expressly agreed between the Parties that monetary damages would be inadequate to compensate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for any breach by Inducer of the covenants and obligations set forth in this Agreement. Accordingly, Inducer agrees and acknowledges that any such breach or threatened breach will cause irreparable injury to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and that, in addition to any other remedies at law or in equity which may be available,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shall be entitled to obtain preliminary and permanent injunctive relief against any breach or threatened breach of this Agreement or the continuation of any such breach by Inducer, without the necessity of proving actual damages.</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7.         </w:t>
      </w:r>
      <w:r w:rsidRPr="006A4F83">
        <w:rPr>
          <w:rFonts w:ascii="Times New Roman" w:eastAsia="Times New Roman" w:hAnsi="Times New Roman" w:cs="Times New Roman"/>
          <w:color w:val="000000"/>
          <w:u w:val="single"/>
        </w:rPr>
        <w:t>Assignability</w:t>
      </w:r>
      <w:r w:rsidRPr="006A4F83">
        <w:rPr>
          <w:rFonts w:ascii="Times New Roman" w:eastAsia="Times New Roman" w:hAnsi="Times New Roman" w:cs="Times New Roman"/>
          <w:color w:val="000000"/>
        </w:rPr>
        <w:t xml:space="preserve">. Inducer's obligations under this Agreement are personal in nature and may not be assigned or transferred; provided, however, that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may assign this Agreement to any affiliate or other corporation or entity which acquires (whether by purchase, merger, consolidation or otherwise) all or substantially all of the business and/or assets of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In the event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shall transfer or assign this Agreement to a third party, such transferee or assignee shall be entitled to enforce this Agreement in full, including, without limitation, the noncompetition provisions contained herein.</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3</w:t>
      </w:r>
    </w:p>
    <w:p w:rsidR="006A4F83" w:rsidRPr="006A4F83" w:rsidRDefault="002226A0" w:rsidP="006A4F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7" style="width:468pt;height:2.25pt" o:hrstd="t" o:hrnoshade="t" o:hr="t" fillcolor="#010101" stroked="f"/>
        </w:pict>
      </w:r>
    </w:p>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color w:val="000000"/>
        </w:rPr>
        <w:lastRenderedPageBreak/>
        <w:br w:type="textWrapping" w:clear="all"/>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8.         </w:t>
      </w:r>
      <w:r w:rsidRPr="006A4F83">
        <w:rPr>
          <w:rFonts w:ascii="Times New Roman" w:eastAsia="Times New Roman" w:hAnsi="Times New Roman" w:cs="Times New Roman"/>
          <w:color w:val="000000"/>
          <w:u w:val="single"/>
        </w:rPr>
        <w:t>Governing Law; Jurisdiction</w:t>
      </w:r>
      <w:r w:rsidRPr="006A4F83">
        <w:rPr>
          <w:rFonts w:ascii="Times New Roman" w:eastAsia="Times New Roman" w:hAnsi="Times New Roman" w:cs="Times New Roman"/>
          <w:color w:val="000000"/>
        </w:rPr>
        <w:t>. This Agreement shall be governed, construed and enforced in accordance with the laws of the State of Texas.</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9.         </w:t>
      </w:r>
      <w:r w:rsidRPr="006A4F83">
        <w:rPr>
          <w:rFonts w:ascii="Times New Roman" w:eastAsia="Times New Roman" w:hAnsi="Times New Roman" w:cs="Times New Roman"/>
          <w:color w:val="000000"/>
          <w:u w:val="single"/>
        </w:rPr>
        <w:t>Notice</w:t>
      </w:r>
      <w:r w:rsidRPr="006A4F83">
        <w:rPr>
          <w:rFonts w:ascii="Times New Roman" w:eastAsia="Times New Roman" w:hAnsi="Times New Roman" w:cs="Times New Roman"/>
          <w:color w:val="000000"/>
        </w:rPr>
        <w:t>. All notices and other communications hereunder shall be in writing and shall be deemed duly delivered: (</w:t>
      </w:r>
      <w:proofErr w:type="spellStart"/>
      <w:r w:rsidRPr="006A4F83">
        <w:rPr>
          <w:rFonts w:ascii="Times New Roman" w:eastAsia="Times New Roman" w:hAnsi="Times New Roman" w:cs="Times New Roman"/>
          <w:color w:val="000000"/>
        </w:rPr>
        <w:t>i</w:t>
      </w:r>
      <w:proofErr w:type="spellEnd"/>
      <w:r w:rsidRPr="006A4F83">
        <w:rPr>
          <w:rFonts w:ascii="Times New Roman" w:eastAsia="Times New Roman" w:hAnsi="Times New Roman" w:cs="Times New Roman"/>
          <w:color w:val="000000"/>
        </w:rPr>
        <w:t>) upon receipt if delivered personally; (ii) five (5) business days after being mailed by registered or certified mail, postage prepaid, return receipt requested; (iii) one (1) business day after being sent by commercial overnight courier service; or (iv) one (1) business day after transmission, if sent via facsimile with confirmation of receipt to the Parties at the addresses following their signatures to this Agreement (or at such other address for a party as shall be specified upon like notice). Any party to this Agreement may give any notice or other communication hereunder using any other means (including personal delivery, messenger service, telecopy, ordinary mail or electronic mail), but no such notice or other communication shall be deemed to have been duly given unless and until it actually is received by the party for whom it is intended; provided, however, that if such receipt is on a day that is not a business day, such notice or other communication shall be deemed to have been duly given on the next business day following such receipt.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10.       </w:t>
      </w:r>
      <w:r w:rsidRPr="006A4F83">
        <w:rPr>
          <w:rFonts w:ascii="Times New Roman" w:eastAsia="Times New Roman" w:hAnsi="Times New Roman" w:cs="Times New Roman"/>
          <w:color w:val="000000"/>
          <w:u w:val="single"/>
        </w:rPr>
        <w:t>Entire Agreement</w:t>
      </w:r>
      <w:r w:rsidRPr="006A4F83">
        <w:rPr>
          <w:rFonts w:ascii="Times New Roman" w:eastAsia="Times New Roman" w:hAnsi="Times New Roman" w:cs="Times New Roman"/>
          <w:color w:val="000000"/>
        </w:rPr>
        <w:t xml:space="preserve">. This Agreement and the Purchase Agreement constitute the entire agreement between the Parties concerning the matters set forth in this Agreement, and no representations, warranties or inducements, express or implied, have been made by either party to the other except as set forth in this Agreement and the Purchase Agreement. This Agreement may not be amended, modified, altered or supplemented, other than by means of a written instrument, specifying such amendment, modification, alternation or supplement, duly executed and delivered on behalf of Inducer and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(or any permitted successors or assigns).</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11.       </w:t>
      </w:r>
      <w:r w:rsidRPr="006A4F83">
        <w:rPr>
          <w:rFonts w:ascii="Times New Roman" w:eastAsia="Times New Roman" w:hAnsi="Times New Roman" w:cs="Times New Roman"/>
          <w:color w:val="000000"/>
          <w:u w:val="single"/>
        </w:rPr>
        <w:t>Counterparts</w:t>
      </w:r>
      <w:r w:rsidRPr="006A4F83">
        <w:rPr>
          <w:rFonts w:ascii="Times New Roman" w:eastAsia="Times New Roman" w:hAnsi="Times New Roman" w:cs="Times New Roman"/>
          <w:color w:val="000000"/>
        </w:rPr>
        <w:t>. This Agreement may be executed by facsimile and in counterpart copies, all of which when taken together shall be deemed to constitute one and the same instrument.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12.       </w:t>
      </w:r>
      <w:proofErr w:type="spellStart"/>
      <w:r w:rsidRPr="006A4F83">
        <w:rPr>
          <w:rFonts w:ascii="Times New Roman" w:eastAsia="Times New Roman" w:hAnsi="Times New Roman" w:cs="Times New Roman"/>
          <w:color w:val="000000"/>
          <w:u w:val="single"/>
        </w:rPr>
        <w:t>Nonexclusivity</w:t>
      </w:r>
      <w:proofErr w:type="spellEnd"/>
      <w:r w:rsidRPr="006A4F83">
        <w:rPr>
          <w:rFonts w:ascii="Times New Roman" w:eastAsia="Times New Roman" w:hAnsi="Times New Roman" w:cs="Times New Roman"/>
          <w:color w:val="000000"/>
        </w:rPr>
        <w:t xml:space="preserve">. The rights and remedies of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hereunder are not exclusive of, or limited by, any other rights or remedies which it may have, whether at law, in equity, by contract or otherwise, all of which shall be cumulative (and not alternative). Without limiting the generality of the foregoing, the rights and remedies of </w:t>
      </w:r>
      <w:proofErr w:type="spellStart"/>
      <w:r w:rsidRPr="006A4F83">
        <w:rPr>
          <w:rFonts w:ascii="Times New Roman" w:eastAsia="Times New Roman" w:hAnsi="Times New Roman" w:cs="Times New Roman"/>
          <w:color w:val="000000"/>
        </w:rPr>
        <w:t>Acquiror</w:t>
      </w:r>
      <w:proofErr w:type="spellEnd"/>
      <w:r w:rsidRPr="006A4F83">
        <w:rPr>
          <w:rFonts w:ascii="Times New Roman" w:eastAsia="Times New Roman" w:hAnsi="Times New Roman" w:cs="Times New Roman"/>
          <w:color w:val="000000"/>
        </w:rPr>
        <w:t xml:space="preserve"> hereunder, and the obligations and liabilities of Inducer hereunder, are in addition to their respective rights, remedies, obligations and liabilities under the laws of unfair competition, laws relating to misappropriation of trade secrets, other laws and common law requirements and all related rules and regulations, in each case to the extent applicable to any action or inaction of Inducer hereunder.</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13.       </w:t>
      </w:r>
      <w:r w:rsidRPr="006A4F83">
        <w:rPr>
          <w:rFonts w:ascii="Times New Roman" w:eastAsia="Times New Roman" w:hAnsi="Times New Roman" w:cs="Times New Roman"/>
          <w:color w:val="000000"/>
          <w:u w:val="single"/>
        </w:rPr>
        <w:t>Construction.</w:t>
      </w:r>
      <w:r w:rsidRPr="006A4F83">
        <w:rPr>
          <w:rFonts w:ascii="Times New Roman" w:eastAsia="Times New Roman" w:hAnsi="Times New Roman" w:cs="Times New Roman"/>
          <w:color w:val="000000"/>
        </w:rPr>
        <w:t> The Parties hereto agree that any rule of construction to the effect that ambiguities are to be resolved against the drafting party shall not be applied in the construction or interpretation of this Agreement.</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b/>
          <w:bCs/>
          <w:i/>
          <w:iCs/>
          <w:color w:val="000000"/>
        </w:rPr>
        <w:t>Signature page follows.</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4</w:t>
      </w:r>
    </w:p>
    <w:p w:rsidR="006A4F83" w:rsidRPr="006A4F83" w:rsidRDefault="002226A0" w:rsidP="006A4F8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pict>
          <v:rect id="_x0000_i1028" style="width:468pt;height:2.25pt" o:hrstd="t" o:hrnoshade="t" o:hr="t" fillcolor="#010101" stroked="f"/>
        </w:pict>
      </w:r>
    </w:p>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color w:val="000000"/>
        </w:rPr>
        <w:br w:type="textWrapping" w:clear="all"/>
      </w:r>
    </w:p>
    <w:p w:rsidR="006A4F83" w:rsidRPr="006A4F83" w:rsidRDefault="006A4F83" w:rsidP="006A4F83">
      <w:pPr>
        <w:spacing w:after="0" w:line="240" w:lineRule="auto"/>
        <w:jc w:val="center"/>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rPr>
          <w:rFonts w:ascii="Times New Roman" w:eastAsia="Times New Roman" w:hAnsi="Times New Roman" w:cs="Times New Roman"/>
          <w:color w:val="000000"/>
        </w:rPr>
      </w:pPr>
      <w:r w:rsidRPr="006A4F83">
        <w:rPr>
          <w:rFonts w:ascii="Times New Roman" w:eastAsia="Times New Roman" w:hAnsi="Times New Roman" w:cs="Times New Roman"/>
          <w:color w:val="000000"/>
        </w:rPr>
        <w:lastRenderedPageBreak/>
        <w:t>INDUCER ACKNOWLEDGES THAT HE OR SHE HAS CAREFULLY READ THIS AGREEMENT AND UNDERSTANDS AND AGREES TO ALL OF THE PROVISIONS IN THIS AGREEMENT.</w:t>
      </w:r>
    </w:p>
    <w:p w:rsidR="006A4F83" w:rsidRPr="006A4F83" w:rsidRDefault="006A4F83" w:rsidP="006A4F83">
      <w:pPr>
        <w:spacing w:after="0" w:line="240" w:lineRule="auto"/>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IN WITNESS WHEREOF, the Parties have executed this Agreement as of the day and year first above written.</w:t>
      </w:r>
    </w:p>
    <w:p w:rsidR="006A4F83" w:rsidRPr="006A4F83" w:rsidRDefault="006A4F83" w:rsidP="006A4F83">
      <w:pPr>
        <w:spacing w:after="0" w:line="240" w:lineRule="auto"/>
        <w:ind w:firstLine="518"/>
        <w:rPr>
          <w:rFonts w:ascii="Times New Roman" w:eastAsia="Times New Roman" w:hAnsi="Times New Roman" w:cs="Times New Roman"/>
          <w:color w:val="000000"/>
        </w:rPr>
      </w:pPr>
      <w:r w:rsidRPr="006A4F83">
        <w:rPr>
          <w:rFonts w:ascii="Times New Roman" w:eastAsia="Times New Roman" w:hAnsi="Times New Roman" w:cs="Times New Roman"/>
          <w:color w:val="000000"/>
        </w:rPr>
        <w:t> </w:t>
      </w:r>
    </w:p>
    <w:tbl>
      <w:tblPr>
        <w:tblW w:w="5000" w:type="pct"/>
        <w:tblCellMar>
          <w:left w:w="0" w:type="dxa"/>
          <w:right w:w="0" w:type="dxa"/>
        </w:tblCellMar>
        <w:tblLook w:val="04A0" w:firstRow="1" w:lastRow="0" w:firstColumn="1" w:lastColumn="0" w:noHBand="0" w:noVBand="1"/>
      </w:tblPr>
      <w:tblGrid>
        <w:gridCol w:w="4466"/>
        <w:gridCol w:w="454"/>
        <w:gridCol w:w="427"/>
        <w:gridCol w:w="427"/>
        <w:gridCol w:w="2749"/>
        <w:gridCol w:w="837"/>
      </w:tblGrid>
      <w:tr w:rsidR="006A4F83" w:rsidRPr="006A4F83" w:rsidTr="002226A0">
        <w:tc>
          <w:tcPr>
            <w:tcW w:w="23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b/>
                <w:bCs/>
                <w:sz w:val="24"/>
                <w:szCs w:val="24"/>
              </w:rPr>
              <w:t> </w:t>
            </w:r>
          </w:p>
        </w:tc>
        <w:tc>
          <w:tcPr>
            <w:tcW w:w="2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b/>
                <w:bCs/>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b/>
                <w:bCs/>
                <w:sz w:val="24"/>
                <w:szCs w:val="24"/>
              </w:rPr>
              <w:t> </w:t>
            </w:r>
          </w:p>
        </w:tc>
        <w:tc>
          <w:tcPr>
            <w:tcW w:w="2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b/>
                <w:bCs/>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0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650" w:type="pct"/>
            <w:gridSpan w:val="2"/>
            <w:tcBorders>
              <w:top w:val="nil"/>
              <w:left w:val="nil"/>
              <w:bottom w:val="single" w:sz="8" w:space="0" w:color="auto"/>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0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2100" w:type="pct"/>
            <w:gridSpan w:val="3"/>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0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2100" w:type="pct"/>
            <w:gridSpan w:val="3"/>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0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2100" w:type="pct"/>
            <w:gridSpan w:val="3"/>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0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2100" w:type="pct"/>
            <w:gridSpan w:val="3"/>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1850" w:type="pct"/>
            <w:gridSpan w:val="3"/>
            <w:tcBorders>
              <w:top w:val="nil"/>
              <w:left w:val="nil"/>
              <w:bottom w:val="single" w:sz="8" w:space="0" w:color="auto"/>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85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00" w:type="pct"/>
            <w:tcBorders>
              <w:top w:val="nil"/>
              <w:left w:val="nil"/>
              <w:bottom w:val="single" w:sz="8" w:space="0" w:color="auto"/>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00" w:type="pct"/>
            <w:tcBorders>
              <w:top w:val="nil"/>
              <w:left w:val="nil"/>
              <w:bottom w:val="single" w:sz="8" w:space="0" w:color="auto"/>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00" w:type="pct"/>
            <w:tcBorders>
              <w:top w:val="nil"/>
              <w:left w:val="nil"/>
              <w:bottom w:val="single" w:sz="8" w:space="0" w:color="auto"/>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00" w:type="pct"/>
            <w:tcBorders>
              <w:top w:val="nil"/>
              <w:left w:val="nil"/>
              <w:bottom w:val="nil"/>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300" w:type="pct"/>
            <w:gridSpan w:val="4"/>
            <w:vAlign w:val="bottom"/>
          </w:tcPr>
          <w:p w:rsidR="006A4F83" w:rsidRPr="006A4F83" w:rsidRDefault="006A4F83" w:rsidP="006A4F83">
            <w:pPr>
              <w:spacing w:after="0" w:line="240" w:lineRule="auto"/>
              <w:rPr>
                <w:rFonts w:ascii="Times New Roman" w:eastAsia="Times New Roman" w:hAnsi="Times New Roman" w:cs="Times New Roman"/>
                <w:sz w:val="24"/>
                <w:szCs w:val="24"/>
              </w:rPr>
            </w:pPr>
            <w:bookmarkStart w:id="0" w:name="_GoBack"/>
            <w:bookmarkEnd w:id="0"/>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9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00" w:type="pct"/>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2050" w:type="pct"/>
            <w:gridSpan w:val="3"/>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00" w:type="pct"/>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2050" w:type="pct"/>
            <w:gridSpan w:val="3"/>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jc w:val="right"/>
              <w:rPr>
                <w:rFonts w:ascii="Times New Roman" w:eastAsia="Times New Roman" w:hAnsi="Times New Roman" w:cs="Times New Roman"/>
                <w:sz w:val="24"/>
                <w:szCs w:val="24"/>
              </w:rPr>
            </w:pPr>
          </w:p>
        </w:tc>
        <w:tc>
          <w:tcPr>
            <w:tcW w:w="1450" w:type="pct"/>
            <w:tcBorders>
              <w:top w:val="nil"/>
              <w:left w:val="nil"/>
              <w:bottom w:val="single" w:sz="8" w:space="0" w:color="auto"/>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50" w:type="pct"/>
            <w:tcBorders>
              <w:top w:val="nil"/>
              <w:left w:val="nil"/>
              <w:bottom w:val="nil"/>
              <w:right w:val="nil"/>
            </w:tcBorders>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r w:rsidR="006A4F83" w:rsidRPr="006A4F83" w:rsidTr="002226A0">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1450" w:type="pct"/>
            <w:vAlign w:val="bottom"/>
          </w:tcPr>
          <w:p w:rsidR="006A4F83" w:rsidRPr="006A4F83" w:rsidRDefault="006A4F83" w:rsidP="006A4F83">
            <w:pPr>
              <w:spacing w:after="0" w:line="240" w:lineRule="auto"/>
              <w:rPr>
                <w:rFonts w:ascii="Times New Roman" w:eastAsia="Times New Roman" w:hAnsi="Times New Roman" w:cs="Times New Roman"/>
                <w:sz w:val="24"/>
                <w:szCs w:val="24"/>
              </w:rPr>
            </w:pP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r w:rsidR="006A4F83" w:rsidRPr="006A4F83" w:rsidTr="006A4F83">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Address:</w:t>
            </w:r>
          </w:p>
        </w:tc>
        <w:tc>
          <w:tcPr>
            <w:tcW w:w="1450" w:type="pct"/>
            <w:tcBorders>
              <w:top w:val="nil"/>
              <w:left w:val="nil"/>
              <w:bottom w:val="single" w:sz="8" w:space="0" w:color="auto"/>
              <w:right w:val="nil"/>
            </w:tcBorders>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r w:rsidR="006A4F83" w:rsidRPr="006A4F83" w:rsidTr="006A4F83">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1450" w:type="pct"/>
            <w:tcBorders>
              <w:top w:val="nil"/>
              <w:left w:val="nil"/>
              <w:bottom w:val="single" w:sz="8" w:space="0" w:color="auto"/>
              <w:right w:val="nil"/>
            </w:tcBorders>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r w:rsidR="006A4F83" w:rsidRPr="006A4F83" w:rsidTr="006A4F83">
        <w:tc>
          <w:tcPr>
            <w:tcW w:w="23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250" w:type="pct"/>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00" w:type="pct"/>
            <w:gridSpan w:val="2"/>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1450" w:type="pct"/>
            <w:tcBorders>
              <w:top w:val="nil"/>
              <w:left w:val="nil"/>
              <w:bottom w:val="single" w:sz="8" w:space="0" w:color="auto"/>
              <w:right w:val="nil"/>
            </w:tcBorders>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c>
          <w:tcPr>
            <w:tcW w:w="450" w:type="pct"/>
            <w:vAlign w:val="bottom"/>
            <w:hideMark/>
          </w:tcPr>
          <w:p w:rsidR="006A4F83" w:rsidRPr="006A4F83" w:rsidRDefault="006A4F83" w:rsidP="006A4F83">
            <w:pPr>
              <w:spacing w:after="0" w:line="240" w:lineRule="auto"/>
              <w:rPr>
                <w:rFonts w:ascii="Times New Roman" w:eastAsia="Times New Roman" w:hAnsi="Times New Roman" w:cs="Times New Roman"/>
                <w:sz w:val="24"/>
                <w:szCs w:val="24"/>
              </w:rPr>
            </w:pPr>
            <w:r w:rsidRPr="006A4F83">
              <w:rPr>
                <w:rFonts w:ascii="Times New Roman" w:eastAsia="Times New Roman" w:hAnsi="Times New Roman" w:cs="Times New Roman"/>
                <w:sz w:val="24"/>
                <w:szCs w:val="24"/>
              </w:rPr>
              <w:t> </w:t>
            </w:r>
          </w:p>
        </w:tc>
      </w:tr>
    </w:tbl>
    <w:p w:rsidR="00595048" w:rsidRDefault="002226A0"/>
    <w:sectPr w:rsidR="005950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F83"/>
    <w:rsid w:val="002226A0"/>
    <w:rsid w:val="00370576"/>
    <w:rsid w:val="005A74EA"/>
    <w:rsid w:val="006A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3B0DD1-FCBF-4394-A857-FF186A31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4F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A4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647089">
      <w:bodyDiv w:val="1"/>
      <w:marLeft w:val="0"/>
      <w:marRight w:val="0"/>
      <w:marTop w:val="0"/>
      <w:marBottom w:val="0"/>
      <w:divBdr>
        <w:top w:val="none" w:sz="0" w:space="0" w:color="auto"/>
        <w:left w:val="none" w:sz="0" w:space="0" w:color="auto"/>
        <w:bottom w:val="none" w:sz="0" w:space="0" w:color="auto"/>
        <w:right w:val="none" w:sz="0" w:space="0" w:color="auto"/>
      </w:divBdr>
      <w:divsChild>
        <w:div w:id="1312365307">
          <w:marLeft w:val="0"/>
          <w:marRight w:val="0"/>
          <w:marTop w:val="0"/>
          <w:marBottom w:val="0"/>
          <w:divBdr>
            <w:top w:val="none" w:sz="0" w:space="0" w:color="auto"/>
            <w:left w:val="none" w:sz="0" w:space="0" w:color="auto"/>
            <w:bottom w:val="none" w:sz="0" w:space="0" w:color="auto"/>
            <w:right w:val="none" w:sz="0" w:space="0" w:color="auto"/>
          </w:divBdr>
          <w:divsChild>
            <w:div w:id="999230620">
              <w:marLeft w:val="0"/>
              <w:marRight w:val="0"/>
              <w:marTop w:val="0"/>
              <w:marBottom w:val="0"/>
              <w:divBdr>
                <w:top w:val="none" w:sz="0" w:space="0" w:color="auto"/>
                <w:left w:val="none" w:sz="0" w:space="0" w:color="auto"/>
                <w:bottom w:val="none" w:sz="0" w:space="0" w:color="auto"/>
                <w:right w:val="none" w:sz="0" w:space="0" w:color="auto"/>
              </w:divBdr>
            </w:div>
          </w:divsChild>
        </w:div>
        <w:div w:id="681856044">
          <w:marLeft w:val="0"/>
          <w:marRight w:val="0"/>
          <w:marTop w:val="0"/>
          <w:marBottom w:val="0"/>
          <w:divBdr>
            <w:top w:val="none" w:sz="0" w:space="0" w:color="auto"/>
            <w:left w:val="none" w:sz="0" w:space="0" w:color="auto"/>
            <w:bottom w:val="none" w:sz="0" w:space="0" w:color="auto"/>
            <w:right w:val="none" w:sz="0" w:space="0" w:color="auto"/>
          </w:divBdr>
          <w:divsChild>
            <w:div w:id="759251904">
              <w:marLeft w:val="0"/>
              <w:marRight w:val="0"/>
              <w:marTop w:val="0"/>
              <w:marBottom w:val="0"/>
              <w:divBdr>
                <w:top w:val="none" w:sz="0" w:space="0" w:color="auto"/>
                <w:left w:val="none" w:sz="0" w:space="0" w:color="auto"/>
                <w:bottom w:val="none" w:sz="0" w:space="0" w:color="auto"/>
                <w:right w:val="none" w:sz="0" w:space="0" w:color="auto"/>
              </w:divBdr>
            </w:div>
          </w:divsChild>
        </w:div>
        <w:div w:id="1131629049">
          <w:marLeft w:val="0"/>
          <w:marRight w:val="0"/>
          <w:marTop w:val="0"/>
          <w:marBottom w:val="0"/>
          <w:divBdr>
            <w:top w:val="none" w:sz="0" w:space="0" w:color="auto"/>
            <w:left w:val="none" w:sz="0" w:space="0" w:color="auto"/>
            <w:bottom w:val="none" w:sz="0" w:space="0" w:color="auto"/>
            <w:right w:val="none" w:sz="0" w:space="0" w:color="auto"/>
          </w:divBdr>
          <w:divsChild>
            <w:div w:id="1314023213">
              <w:marLeft w:val="0"/>
              <w:marRight w:val="0"/>
              <w:marTop w:val="0"/>
              <w:marBottom w:val="0"/>
              <w:divBdr>
                <w:top w:val="none" w:sz="0" w:space="0" w:color="auto"/>
                <w:left w:val="none" w:sz="0" w:space="0" w:color="auto"/>
                <w:bottom w:val="none" w:sz="0" w:space="0" w:color="auto"/>
                <w:right w:val="none" w:sz="0" w:space="0" w:color="auto"/>
              </w:divBdr>
            </w:div>
          </w:divsChild>
        </w:div>
        <w:div w:id="583682968">
          <w:marLeft w:val="0"/>
          <w:marRight w:val="0"/>
          <w:marTop w:val="0"/>
          <w:marBottom w:val="0"/>
          <w:divBdr>
            <w:top w:val="none" w:sz="0" w:space="0" w:color="auto"/>
            <w:left w:val="none" w:sz="0" w:space="0" w:color="auto"/>
            <w:bottom w:val="none" w:sz="0" w:space="0" w:color="auto"/>
            <w:right w:val="none" w:sz="0" w:space="0" w:color="auto"/>
          </w:divBdr>
          <w:divsChild>
            <w:div w:id="1896163295">
              <w:marLeft w:val="0"/>
              <w:marRight w:val="0"/>
              <w:marTop w:val="0"/>
              <w:marBottom w:val="0"/>
              <w:divBdr>
                <w:top w:val="none" w:sz="0" w:space="0" w:color="auto"/>
                <w:left w:val="none" w:sz="0" w:space="0" w:color="auto"/>
                <w:bottom w:val="none" w:sz="0" w:space="0" w:color="auto"/>
                <w:right w:val="none" w:sz="0" w:space="0" w:color="auto"/>
              </w:divBdr>
            </w:div>
          </w:divsChild>
        </w:div>
        <w:div w:id="638996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5</Pages>
  <Words>2333</Words>
  <Characters>13304</Characters>
  <DocSecurity>0</DocSecurity>
  <Lines>110</Lines>
  <Paragraphs>31</Paragraphs>
  <ScaleCrop>false</ScaleCrop>
  <Company/>
  <LinksUpToDate>false</LinksUpToDate>
  <CharactersWithSpaces>15606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