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
        <w:rPr>
          <w:sz w:val="26"/>
        </w:rPr>
      </w:pPr>
    </w:p>
    <w:p>
      <w:pPr>
        <w:pStyle w:val="Title"/>
      </w:pPr>
      <w:r>
        <w:rPr>
          <w:color w:val="2E2E2E"/>
        </w:rPr>
        <w:t>PAINTING CONTRACT</w:t>
      </w:r>
    </w:p>
    <w:p>
      <w:pPr>
        <w:pStyle w:val="BodyText"/>
        <w:spacing w:before="5"/>
        <w:rPr>
          <w:b/>
          <w:sz w:val="26"/>
        </w:rPr>
      </w:pPr>
    </w:p>
    <w:p>
      <w:pPr>
        <w:tabs>
          <w:tab w:pos="3779" w:val="left" w:leader="none"/>
          <w:tab w:pos="5878" w:val="left" w:leader="none"/>
          <w:tab w:pos="7388" w:val="left" w:leader="none"/>
        </w:tabs>
        <w:spacing w:line="249" w:lineRule="auto" w:before="1"/>
        <w:ind w:left="240" w:right="103" w:firstLine="720"/>
        <w:jc w:val="both"/>
        <w:rPr>
          <w:sz w:val="22"/>
        </w:rPr>
      </w:pPr>
      <w:r>
        <w:rPr>
          <w:sz w:val="22"/>
        </w:rPr>
        <w:t>This Painting Contract (“Contract”) is made this</w:t>
      </w:r>
      <w:r>
        <w:rPr>
          <w:sz w:val="22"/>
          <w:u w:val="single"/>
        </w:rPr>
        <w:t>        </w:t>
      </w:r>
      <w:r>
        <w:rPr>
          <w:spacing w:val="42"/>
          <w:sz w:val="22"/>
          <w:u w:val="single"/>
        </w:rPr>
        <w:t> </w:t>
      </w:r>
      <w:r>
        <w:rPr>
          <w:sz w:val="22"/>
        </w:rPr>
        <w:t>day</w:t>
      </w:r>
      <w:r>
        <w:rPr>
          <w:spacing w:val="-3"/>
          <w:sz w:val="22"/>
        </w:rPr>
        <w:t> </w:t>
      </w:r>
      <w:r>
        <w:rPr>
          <w:sz w:val="22"/>
        </w:rPr>
        <w:t>of</w:t>
      </w:r>
      <w:r>
        <w:rPr>
          <w:sz w:val="22"/>
          <w:u w:val="single"/>
        </w:rPr>
        <w:t> </w:t>
        <w:tab/>
      </w:r>
      <w:r>
        <w:rPr>
          <w:sz w:val="22"/>
        </w:rPr>
        <w:t>, 2019 (“E</w:t>
      </w:r>
      <w:r>
        <w:rPr>
          <w:rFonts w:ascii="Calibri" w:hAnsi="Calibri"/>
          <w:sz w:val="22"/>
        </w:rPr>
        <w:t>ﬀ</w:t>
      </w:r>
      <w:r>
        <w:rPr>
          <w:sz w:val="22"/>
        </w:rPr>
        <w:t>ective Date”) by</w:t>
      </w:r>
      <w:r>
        <w:rPr>
          <w:spacing w:val="26"/>
          <w:sz w:val="22"/>
        </w:rPr>
        <w:t> </w:t>
      </w:r>
      <w:r>
        <w:rPr>
          <w:sz w:val="22"/>
        </w:rPr>
        <w:t>and</w:t>
      </w:r>
      <w:r>
        <w:rPr>
          <w:spacing w:val="26"/>
          <w:sz w:val="22"/>
        </w:rPr>
        <w:t> </w:t>
      </w:r>
      <w:r>
        <w:rPr>
          <w:sz w:val="22"/>
        </w:rPr>
        <w:t>between</w:t>
      </w:r>
      <w:r>
        <w:rPr>
          <w:sz w:val="22"/>
          <w:u w:val="single"/>
        </w:rPr>
        <w:t> </w:t>
        <w:tab/>
      </w:r>
      <w:r>
        <w:rPr>
          <w:sz w:val="22"/>
        </w:rPr>
        <w:t>(jointly and severally if more than one, hereinafter referred to as the   </w:t>
      </w:r>
      <w:r>
        <w:rPr>
          <w:spacing w:val="52"/>
          <w:sz w:val="22"/>
        </w:rPr>
        <w:t> </w:t>
      </w:r>
      <w:r>
        <w:rPr>
          <w:sz w:val="22"/>
        </w:rPr>
        <w:t>“Homeowner”)   </w:t>
      </w:r>
      <w:r>
        <w:rPr>
          <w:spacing w:val="53"/>
          <w:sz w:val="22"/>
        </w:rPr>
        <w:t> </w:t>
      </w:r>
      <w:r>
        <w:rPr>
          <w:sz w:val="22"/>
        </w:rPr>
        <w:t>and</w:t>
      </w:r>
      <w:r>
        <w:rPr>
          <w:sz w:val="22"/>
          <w:u w:val="single"/>
        </w:rPr>
        <w:t> </w:t>
        <w:tab/>
        <w:tab/>
      </w:r>
      <w:r>
        <w:rPr>
          <w:sz w:val="22"/>
        </w:rPr>
        <w:t>, having a business address</w:t>
      </w:r>
      <w:r>
        <w:rPr>
          <w:spacing w:val="27"/>
          <w:sz w:val="22"/>
        </w:rPr>
        <w:t> </w:t>
      </w:r>
      <w:r>
        <w:rPr>
          <w:sz w:val="22"/>
        </w:rPr>
        <w:t>of</w:t>
      </w:r>
    </w:p>
    <w:p>
      <w:pPr>
        <w:tabs>
          <w:tab w:pos="6336" w:val="left" w:leader="none"/>
        </w:tabs>
        <w:spacing w:line="256" w:lineRule="auto" w:before="8"/>
        <w:ind w:left="240" w:right="104" w:firstLine="0"/>
        <w:jc w:val="both"/>
        <w:rPr>
          <w:sz w:val="22"/>
        </w:rPr>
      </w:pPr>
      <w:r>
        <w:rPr>
          <w:sz w:val="22"/>
          <w:u w:val="single"/>
        </w:rPr>
        <w:t> </w:t>
        <w:tab/>
      </w:r>
      <w:r>
        <w:rPr>
          <w:sz w:val="22"/>
        </w:rPr>
        <w:t>  </w:t>
      </w:r>
      <w:r>
        <w:rPr>
          <w:spacing w:val="-12"/>
          <w:sz w:val="22"/>
        </w:rPr>
        <w:t> </w:t>
      </w:r>
      <w:r>
        <w:rPr>
          <w:sz w:val="22"/>
        </w:rPr>
        <w:t>(hereinafter referred to as the “Painter”). The covenants and conditions stated in this Contract shall bind both the Homeowner and the Painter, jointly and</w:t>
      </w:r>
      <w:r>
        <w:rPr>
          <w:spacing w:val="-4"/>
          <w:sz w:val="22"/>
        </w:rPr>
        <w:t> </w:t>
      </w:r>
      <w:r>
        <w:rPr>
          <w:spacing w:val="-3"/>
          <w:sz w:val="22"/>
        </w:rPr>
        <w:t>severally.</w:t>
      </w:r>
    </w:p>
    <w:p>
      <w:pPr>
        <w:pStyle w:val="BodyText"/>
        <w:spacing w:before="4"/>
        <w:rPr>
          <w:sz w:val="23"/>
        </w:rPr>
      </w:pPr>
    </w:p>
    <w:p>
      <w:pPr>
        <w:pStyle w:val="ListParagraph"/>
        <w:numPr>
          <w:ilvl w:val="0"/>
          <w:numId w:val="1"/>
        </w:numPr>
        <w:tabs>
          <w:tab w:pos="960" w:val="left" w:leader="none"/>
        </w:tabs>
        <w:spacing w:line="247" w:lineRule="auto" w:before="0" w:after="0"/>
        <w:ind w:left="960" w:right="111" w:hanging="360"/>
        <w:jc w:val="left"/>
        <w:rPr>
          <w:color w:val="333333"/>
          <w:sz w:val="24"/>
        </w:rPr>
      </w:pPr>
      <w:r>
        <w:rPr>
          <w:color w:val="2E2E2E"/>
          <w:spacing w:val="-60"/>
          <w:sz w:val="24"/>
          <w:u w:val="thick" w:color="2E2E2E"/>
        </w:rPr>
        <w:t> </w:t>
      </w:r>
      <w:r>
        <w:rPr>
          <w:b/>
          <w:color w:val="2E2E2E"/>
          <w:sz w:val="24"/>
          <w:u w:val="thick" w:color="2E2E2E"/>
        </w:rPr>
        <w:t>Scope of </w:t>
      </w:r>
      <w:r>
        <w:rPr>
          <w:b/>
          <w:color w:val="2E2E2E"/>
          <w:spacing w:val="-3"/>
          <w:sz w:val="24"/>
          <w:u w:val="thick" w:color="2E2E2E"/>
        </w:rPr>
        <w:t>Work</w:t>
      </w:r>
      <w:r>
        <w:rPr>
          <w:spacing w:val="-3"/>
          <w:sz w:val="22"/>
        </w:rPr>
        <w:t>. </w:t>
      </w:r>
      <w:r>
        <w:rPr>
          <w:color w:val="333333"/>
          <w:sz w:val="24"/>
        </w:rPr>
        <w:t>The Painter will provide the following services via this </w:t>
      </w:r>
      <w:r>
        <w:rPr>
          <w:color w:val="333333"/>
          <w:spacing w:val="-3"/>
          <w:sz w:val="24"/>
        </w:rPr>
        <w:t>painting  </w:t>
      </w:r>
      <w:r>
        <w:rPr>
          <w:color w:val="333333"/>
          <w:sz w:val="24"/>
        </w:rPr>
        <w:t>contract:</w:t>
      </w:r>
    </w:p>
    <w:p>
      <w:pPr>
        <w:pStyle w:val="BodyText"/>
        <w:spacing w:before="10"/>
        <w:rPr>
          <w:sz w:val="17"/>
        </w:rPr>
      </w:pPr>
      <w:r>
        <w:rPr/>
        <w:pict>
          <v:shape style="position:absolute;margin-left:72pt;margin-top:12.492584pt;width:390.25pt;height:.1pt;mso-position-horizontal-relative:page;mso-position-vertical-relative:paragraph;z-index:-15728640;mso-wrap-distance-left:0;mso-wrap-distance-right:0" coordorigin="1440,250" coordsize="7805,0" path="m1440,250l9245,250e" filled="false" stroked="true" strokeweight=".44pt" strokecolor="#000000">
            <v:path arrowok="t"/>
            <v:stroke dashstyle="solid"/>
            <w10:wrap type="topAndBottom"/>
          </v:shape>
        </w:pict>
      </w:r>
      <w:r>
        <w:rPr/>
        <w:pict>
          <v:shape style="position:absolute;margin-left:72pt;margin-top:25.992584pt;width:390.25pt;height:.1pt;mso-position-horizontal-relative:page;mso-position-vertical-relative:paragraph;z-index:-15728128;mso-wrap-distance-left:0;mso-wrap-distance-right:0" coordorigin="1440,520" coordsize="7805,0" path="m1440,520l9245,520e" filled="false" stroked="true" strokeweight=".44pt" strokecolor="#000000">
            <v:path arrowok="t"/>
            <v:stroke dashstyle="solid"/>
            <w10:wrap type="topAndBottom"/>
          </v:shape>
        </w:pict>
      </w:r>
      <w:r>
        <w:rPr/>
        <w:pict>
          <v:shape style="position:absolute;margin-left:72pt;margin-top:40.648575pt;width:426pt;height:.1pt;mso-position-horizontal-relative:page;mso-position-vertical-relative:paragraph;z-index:-15727616;mso-wrap-distance-left:0;mso-wrap-distance-right:0" coordorigin="1440,813" coordsize="8520,0" path="m1440,813l9960,813e" filled="false" stroked="true" strokeweight=".48pt" strokecolor="#323232">
            <v:path arrowok="t"/>
            <v:stroke dashstyle="solid"/>
            <w10:wrap type="topAndBottom"/>
          </v:shape>
        </w:pict>
      </w:r>
    </w:p>
    <w:p>
      <w:pPr>
        <w:pStyle w:val="BodyText"/>
        <w:spacing w:before="8"/>
        <w:rPr>
          <w:sz w:val="16"/>
        </w:rPr>
      </w:pPr>
    </w:p>
    <w:p>
      <w:pPr>
        <w:pStyle w:val="BodyText"/>
        <w:spacing w:before="8"/>
        <w:rPr>
          <w:sz w:val="18"/>
        </w:rPr>
      </w:pPr>
    </w:p>
    <w:p>
      <w:pPr>
        <w:pStyle w:val="BodyText"/>
        <w:spacing w:line="256" w:lineRule="exact"/>
        <w:ind w:left="240"/>
        <w:jc w:val="both"/>
      </w:pPr>
      <w:r>
        <w:rPr>
          <w:color w:val="333333"/>
        </w:rPr>
        <w:t>Please note that any additional services or changes to the scope listed here will require a change</w:t>
      </w:r>
    </w:p>
    <w:p>
      <w:pPr>
        <w:pStyle w:val="BodyText"/>
        <w:spacing w:before="9"/>
        <w:ind w:left="240"/>
        <w:jc w:val="both"/>
      </w:pPr>
      <w:r>
        <w:rPr>
          <w:color w:val="333333"/>
        </w:rPr>
        <w:t>order, which may include additional fees not outlined in this painting contract’s pricing section.</w:t>
      </w:r>
    </w:p>
    <w:p>
      <w:pPr>
        <w:pStyle w:val="BodyText"/>
        <w:rPr>
          <w:sz w:val="26"/>
        </w:rPr>
      </w:pPr>
    </w:p>
    <w:p>
      <w:pPr>
        <w:pStyle w:val="ListParagraph"/>
        <w:numPr>
          <w:ilvl w:val="0"/>
          <w:numId w:val="1"/>
        </w:numPr>
        <w:tabs>
          <w:tab w:pos="960" w:val="left" w:leader="none"/>
          <w:tab w:pos="6907" w:val="left" w:leader="none"/>
        </w:tabs>
        <w:spacing w:line="247" w:lineRule="auto" w:before="160" w:after="0"/>
        <w:ind w:left="240" w:right="104" w:firstLine="360"/>
        <w:jc w:val="both"/>
        <w:rPr>
          <w:color w:val="2E2E2E"/>
          <w:sz w:val="24"/>
        </w:rPr>
      </w:pPr>
      <w:r>
        <w:rPr>
          <w:color w:val="2E2E2E"/>
          <w:spacing w:val="-60"/>
          <w:sz w:val="24"/>
          <w:u w:val="thick" w:color="2E2E2E"/>
        </w:rPr>
        <w:t> </w:t>
      </w:r>
      <w:r>
        <w:rPr>
          <w:b/>
          <w:color w:val="2E2E2E"/>
          <w:sz w:val="24"/>
          <w:u w:val="thick" w:color="2E2E2E"/>
        </w:rPr>
        <w:t>Project Location &amp; Schedule</w:t>
      </w:r>
      <w:r>
        <w:rPr>
          <w:color w:val="2E2E2E"/>
          <w:sz w:val="24"/>
        </w:rPr>
        <w:t>. </w:t>
      </w:r>
      <w:r>
        <w:rPr>
          <w:color w:val="333333"/>
          <w:sz w:val="24"/>
        </w:rPr>
        <w:t>The project described in this painting contract’s scope of work shall be</w:t>
      </w:r>
      <w:r>
        <w:rPr>
          <w:color w:val="333333"/>
          <w:spacing w:val="45"/>
          <w:sz w:val="24"/>
        </w:rPr>
        <w:t> </w:t>
      </w:r>
      <w:r>
        <w:rPr>
          <w:color w:val="333333"/>
          <w:sz w:val="24"/>
        </w:rPr>
        <w:t>conducted</w:t>
      </w:r>
      <w:r>
        <w:rPr>
          <w:color w:val="333333"/>
          <w:spacing w:val="15"/>
          <w:sz w:val="24"/>
        </w:rPr>
        <w:t> </w:t>
      </w:r>
      <w:r>
        <w:rPr>
          <w:color w:val="333333"/>
          <w:sz w:val="24"/>
        </w:rPr>
        <w:t>at</w:t>
      </w:r>
      <w:r>
        <w:rPr>
          <w:color w:val="333333"/>
          <w:sz w:val="24"/>
          <w:u w:val="single" w:color="323232"/>
        </w:rPr>
        <w:t> </w:t>
        <w:tab/>
      </w:r>
      <w:r>
        <w:rPr>
          <w:color w:val="333333"/>
          <w:sz w:val="24"/>
        </w:rPr>
        <w:t>. The estimated start </w:t>
      </w:r>
      <w:r>
        <w:rPr>
          <w:color w:val="333333"/>
          <w:spacing w:val="1"/>
          <w:sz w:val="24"/>
        </w:rPr>
        <w:t> </w:t>
      </w:r>
      <w:r>
        <w:rPr>
          <w:color w:val="333333"/>
          <w:sz w:val="24"/>
        </w:rPr>
        <w:t>date </w:t>
      </w:r>
      <w:r>
        <w:rPr>
          <w:color w:val="333333"/>
          <w:spacing w:val="-9"/>
          <w:sz w:val="24"/>
        </w:rPr>
        <w:t>is</w:t>
      </w:r>
    </w:p>
    <w:p>
      <w:pPr>
        <w:pStyle w:val="BodyText"/>
        <w:tabs>
          <w:tab w:pos="4199" w:val="left" w:leader="none"/>
        </w:tabs>
        <w:spacing w:before="1"/>
        <w:ind w:left="240"/>
        <w:jc w:val="both"/>
      </w:pPr>
      <w:r>
        <w:rPr>
          <w:color w:val="333333"/>
          <w:u w:val="single" w:color="323232"/>
        </w:rPr>
        <w:t> </w:t>
        <w:tab/>
      </w:r>
      <w:r>
        <w:rPr>
          <w:color w:val="333333"/>
        </w:rPr>
        <w:t>.     The     project’s     estimated    completion    date  </w:t>
      </w:r>
      <w:r>
        <w:rPr>
          <w:color w:val="333333"/>
          <w:spacing w:val="1"/>
        </w:rPr>
        <w:t> </w:t>
      </w:r>
      <w:r>
        <w:rPr>
          <w:color w:val="333333"/>
        </w:rPr>
        <w:t>is</w:t>
      </w:r>
    </w:p>
    <w:p>
      <w:pPr>
        <w:pStyle w:val="BodyText"/>
        <w:tabs>
          <w:tab w:pos="3359" w:val="left" w:leader="none"/>
        </w:tabs>
        <w:spacing w:line="247" w:lineRule="auto" w:before="9"/>
        <w:ind w:left="240" w:right="100"/>
        <w:jc w:val="both"/>
      </w:pPr>
      <w:r>
        <w:rPr>
          <w:color w:val="333333"/>
          <w:u w:val="single" w:color="323232"/>
        </w:rPr>
        <w:t> </w:t>
        <w:tab/>
      </w:r>
      <w:r>
        <w:rPr>
          <w:color w:val="333333"/>
        </w:rPr>
        <w:t>. While the Painter agrees to make every reasonable effort </w:t>
      </w:r>
      <w:r>
        <w:rPr>
          <w:color w:val="333333"/>
          <w:spacing w:val="-6"/>
        </w:rPr>
        <w:t>to </w:t>
      </w:r>
      <w:r>
        <w:rPr>
          <w:color w:val="333333"/>
        </w:rPr>
        <w:t>start and complete the project by the dates listed above, the Client acknowledges that delays are common and possible due to interfering schedules, inclement weather, availability of materials, or other circumstances beyond either party’s</w:t>
      </w:r>
      <w:r>
        <w:rPr>
          <w:color w:val="333333"/>
          <w:spacing w:val="-2"/>
        </w:rPr>
        <w:t> </w:t>
      </w:r>
      <w:r>
        <w:rPr>
          <w:color w:val="333333"/>
        </w:rPr>
        <w:t>control.</w:t>
      </w:r>
    </w:p>
    <w:p>
      <w:pPr>
        <w:pStyle w:val="BodyText"/>
        <w:spacing w:before="1"/>
        <w:rPr>
          <w:sz w:val="25"/>
        </w:rPr>
      </w:pPr>
    </w:p>
    <w:p>
      <w:pPr>
        <w:pStyle w:val="ListParagraph"/>
        <w:numPr>
          <w:ilvl w:val="0"/>
          <w:numId w:val="1"/>
        </w:numPr>
        <w:tabs>
          <w:tab w:pos="960" w:val="left" w:leader="none"/>
        </w:tabs>
        <w:spacing w:line="247" w:lineRule="auto" w:before="0" w:after="0"/>
        <w:ind w:left="240" w:right="101" w:firstLine="360"/>
        <w:jc w:val="both"/>
        <w:rPr>
          <w:color w:val="333333"/>
          <w:sz w:val="24"/>
        </w:rPr>
      </w:pPr>
      <w:r>
        <w:rPr>
          <w:color w:val="2E2E2E"/>
          <w:spacing w:val="-60"/>
          <w:sz w:val="24"/>
          <w:u w:val="thick" w:color="2E2E2E"/>
        </w:rPr>
        <w:t> </w:t>
      </w:r>
      <w:r>
        <w:rPr>
          <w:b/>
          <w:color w:val="2E2E2E"/>
          <w:sz w:val="24"/>
          <w:u w:val="thick" w:color="2E2E2E"/>
        </w:rPr>
        <w:t>Payment</w:t>
      </w:r>
      <w:r>
        <w:rPr>
          <w:color w:val="2E2E2E"/>
          <w:sz w:val="24"/>
        </w:rPr>
        <w:t>. </w:t>
      </w:r>
      <w:r>
        <w:rPr>
          <w:color w:val="333333"/>
          <w:sz w:val="24"/>
        </w:rPr>
        <w:t>All fees associated with this painted contract are detailed in the pricing table </w:t>
      </w:r>
      <w:r>
        <w:rPr>
          <w:color w:val="333333"/>
          <w:spacing w:val="-3"/>
          <w:sz w:val="24"/>
        </w:rPr>
        <w:t>below. </w:t>
      </w:r>
      <w:r>
        <w:rPr>
          <w:color w:val="333333"/>
          <w:sz w:val="24"/>
        </w:rPr>
        <w:t>Payment for the services rendered under this painting contract are due in full within </w:t>
      </w:r>
      <w:r>
        <w:rPr>
          <w:color w:val="333333"/>
          <w:spacing w:val="-7"/>
          <w:sz w:val="24"/>
        </w:rPr>
        <w:t>30 </w:t>
      </w:r>
      <w:r>
        <w:rPr>
          <w:color w:val="333333"/>
          <w:sz w:val="24"/>
        </w:rPr>
        <w:t>days of the project’s completion. The Painter agrees not to hold the Client liable for </w:t>
      </w:r>
      <w:r>
        <w:rPr>
          <w:color w:val="333333"/>
          <w:spacing w:val="-5"/>
          <w:sz w:val="24"/>
        </w:rPr>
        <w:t>any </w:t>
      </w:r>
      <w:r>
        <w:rPr>
          <w:color w:val="333333"/>
          <w:sz w:val="24"/>
        </w:rPr>
        <w:t>additional time or materials not listed in the pricing table below unless prior approval from </w:t>
      </w:r>
      <w:r>
        <w:rPr>
          <w:color w:val="333333"/>
          <w:spacing w:val="-6"/>
          <w:sz w:val="24"/>
        </w:rPr>
        <w:t>the </w:t>
      </w:r>
      <w:r>
        <w:rPr>
          <w:color w:val="333333"/>
          <w:sz w:val="24"/>
        </w:rPr>
        <w:t>Client is given in written form.</w:t>
      </w:r>
    </w:p>
    <w:p>
      <w:pPr>
        <w:pStyle w:val="BodyText"/>
        <w:spacing w:before="8"/>
        <w:rPr>
          <w:sz w:val="23"/>
        </w:rPr>
      </w:pPr>
    </w:p>
    <w:tbl>
      <w:tblPr>
        <w:tblW w:w="0" w:type="auto"/>
        <w:jc w:val="left"/>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120"/>
        <w:gridCol w:w="3120"/>
        <w:gridCol w:w="3120"/>
      </w:tblGrid>
      <w:tr>
        <w:trPr>
          <w:trHeight w:val="270" w:hRule="atLeast"/>
        </w:trPr>
        <w:tc>
          <w:tcPr>
            <w:tcW w:w="3120" w:type="dxa"/>
          </w:tcPr>
          <w:p>
            <w:pPr>
              <w:pStyle w:val="TableParagraph"/>
              <w:spacing w:line="244" w:lineRule="exact" w:before="6"/>
              <w:ind w:left="105"/>
              <w:rPr>
                <w:sz w:val="24"/>
              </w:rPr>
            </w:pPr>
            <w:r>
              <w:rPr>
                <w:color w:val="333333"/>
                <w:sz w:val="24"/>
              </w:rPr>
              <w:t>SCOPE OF WORK</w:t>
            </w:r>
          </w:p>
        </w:tc>
        <w:tc>
          <w:tcPr>
            <w:tcW w:w="3120" w:type="dxa"/>
          </w:tcPr>
          <w:p>
            <w:pPr>
              <w:pStyle w:val="TableParagraph"/>
              <w:spacing w:line="244" w:lineRule="exact" w:before="6"/>
              <w:ind w:left="105"/>
              <w:rPr>
                <w:sz w:val="24"/>
              </w:rPr>
            </w:pPr>
            <w:r>
              <w:rPr>
                <w:color w:val="333333"/>
                <w:sz w:val="24"/>
              </w:rPr>
              <w:t>HOURLY RATE</w:t>
            </w:r>
          </w:p>
        </w:tc>
        <w:tc>
          <w:tcPr>
            <w:tcW w:w="3120" w:type="dxa"/>
          </w:tcPr>
          <w:p>
            <w:pPr>
              <w:pStyle w:val="TableParagraph"/>
              <w:spacing w:line="244" w:lineRule="exact" w:before="6"/>
              <w:ind w:left="105"/>
              <w:rPr>
                <w:sz w:val="24"/>
              </w:rPr>
            </w:pPr>
            <w:r>
              <w:rPr>
                <w:color w:val="333333"/>
                <w:sz w:val="24"/>
              </w:rPr>
              <w:t>PROJECT CAP</w:t>
            </w:r>
          </w:p>
        </w:tc>
      </w:tr>
      <w:tr>
        <w:trPr>
          <w:trHeight w:val="270" w:hRule="atLeast"/>
        </w:trPr>
        <w:tc>
          <w:tcPr>
            <w:tcW w:w="3120" w:type="dxa"/>
          </w:tcPr>
          <w:p>
            <w:pPr>
              <w:pStyle w:val="TableParagraph"/>
              <w:rPr>
                <w:sz w:val="20"/>
              </w:rPr>
            </w:pPr>
          </w:p>
        </w:tc>
        <w:tc>
          <w:tcPr>
            <w:tcW w:w="3120" w:type="dxa"/>
          </w:tcPr>
          <w:p>
            <w:pPr>
              <w:pStyle w:val="TableParagraph"/>
              <w:rPr>
                <w:sz w:val="20"/>
              </w:rPr>
            </w:pPr>
          </w:p>
        </w:tc>
        <w:tc>
          <w:tcPr>
            <w:tcW w:w="3120" w:type="dxa"/>
          </w:tcPr>
          <w:p>
            <w:pPr>
              <w:pStyle w:val="TableParagraph"/>
              <w:rPr>
                <w:sz w:val="20"/>
              </w:rPr>
            </w:pPr>
          </w:p>
        </w:tc>
      </w:tr>
      <w:tr>
        <w:trPr>
          <w:trHeight w:val="270" w:hRule="atLeast"/>
        </w:trPr>
        <w:tc>
          <w:tcPr>
            <w:tcW w:w="3120" w:type="dxa"/>
          </w:tcPr>
          <w:p>
            <w:pPr>
              <w:pStyle w:val="TableParagraph"/>
              <w:rPr>
                <w:sz w:val="20"/>
              </w:rPr>
            </w:pPr>
          </w:p>
        </w:tc>
        <w:tc>
          <w:tcPr>
            <w:tcW w:w="3120" w:type="dxa"/>
          </w:tcPr>
          <w:p>
            <w:pPr>
              <w:pStyle w:val="TableParagraph"/>
              <w:rPr>
                <w:sz w:val="20"/>
              </w:rPr>
            </w:pPr>
          </w:p>
        </w:tc>
        <w:tc>
          <w:tcPr>
            <w:tcW w:w="3120" w:type="dxa"/>
          </w:tcPr>
          <w:p>
            <w:pPr>
              <w:pStyle w:val="TableParagraph"/>
              <w:rPr>
                <w:sz w:val="20"/>
              </w:rPr>
            </w:pPr>
          </w:p>
        </w:tc>
      </w:tr>
      <w:tr>
        <w:trPr>
          <w:trHeight w:val="270" w:hRule="atLeast"/>
        </w:trPr>
        <w:tc>
          <w:tcPr>
            <w:tcW w:w="3120" w:type="dxa"/>
          </w:tcPr>
          <w:p>
            <w:pPr>
              <w:pStyle w:val="TableParagraph"/>
              <w:rPr>
                <w:sz w:val="20"/>
              </w:rPr>
            </w:pPr>
          </w:p>
        </w:tc>
        <w:tc>
          <w:tcPr>
            <w:tcW w:w="3120" w:type="dxa"/>
          </w:tcPr>
          <w:p>
            <w:pPr>
              <w:pStyle w:val="TableParagraph"/>
              <w:rPr>
                <w:sz w:val="20"/>
              </w:rPr>
            </w:pPr>
          </w:p>
        </w:tc>
        <w:tc>
          <w:tcPr>
            <w:tcW w:w="3120" w:type="dxa"/>
          </w:tcPr>
          <w:p>
            <w:pPr>
              <w:pStyle w:val="TableParagraph"/>
              <w:rPr>
                <w:sz w:val="20"/>
              </w:rPr>
            </w:pPr>
          </w:p>
        </w:tc>
      </w:tr>
      <w:tr>
        <w:trPr>
          <w:trHeight w:val="270" w:hRule="atLeast"/>
        </w:trPr>
        <w:tc>
          <w:tcPr>
            <w:tcW w:w="3120" w:type="dxa"/>
          </w:tcPr>
          <w:p>
            <w:pPr>
              <w:pStyle w:val="TableParagraph"/>
              <w:rPr>
                <w:sz w:val="20"/>
              </w:rPr>
            </w:pPr>
          </w:p>
        </w:tc>
        <w:tc>
          <w:tcPr>
            <w:tcW w:w="3120" w:type="dxa"/>
          </w:tcPr>
          <w:p>
            <w:pPr>
              <w:pStyle w:val="TableParagraph"/>
              <w:rPr>
                <w:sz w:val="20"/>
              </w:rPr>
            </w:pPr>
          </w:p>
        </w:tc>
        <w:tc>
          <w:tcPr>
            <w:tcW w:w="3120" w:type="dxa"/>
          </w:tcPr>
          <w:p>
            <w:pPr>
              <w:pStyle w:val="TableParagraph"/>
              <w:rPr>
                <w:sz w:val="20"/>
              </w:rPr>
            </w:pPr>
          </w:p>
        </w:tc>
      </w:tr>
    </w:tbl>
    <w:p>
      <w:pPr>
        <w:pStyle w:val="BodyText"/>
        <w:spacing w:before="8"/>
        <w:rPr>
          <w:sz w:val="25"/>
        </w:rPr>
      </w:pPr>
    </w:p>
    <w:p>
      <w:pPr>
        <w:pStyle w:val="ListParagraph"/>
        <w:numPr>
          <w:ilvl w:val="0"/>
          <w:numId w:val="1"/>
        </w:numPr>
        <w:tabs>
          <w:tab w:pos="960" w:val="left" w:leader="none"/>
        </w:tabs>
        <w:spacing w:line="247" w:lineRule="auto" w:before="1" w:after="0"/>
        <w:ind w:left="240" w:right="110" w:firstLine="360"/>
        <w:jc w:val="both"/>
        <w:rPr>
          <w:color w:val="2E2E2E"/>
          <w:sz w:val="24"/>
        </w:rPr>
      </w:pPr>
      <w:r>
        <w:rPr>
          <w:color w:val="2E2E2E"/>
          <w:spacing w:val="-60"/>
          <w:sz w:val="24"/>
          <w:u w:val="thick" w:color="2E2E2E"/>
        </w:rPr>
        <w:t> </w:t>
      </w:r>
      <w:r>
        <w:rPr>
          <w:b/>
          <w:color w:val="2E2E2E"/>
          <w:sz w:val="24"/>
          <w:u w:val="thick" w:color="2E2E2E"/>
        </w:rPr>
        <w:t>Acceptance</w:t>
      </w:r>
      <w:r>
        <w:rPr>
          <w:color w:val="2E2E2E"/>
          <w:sz w:val="24"/>
        </w:rPr>
        <w:t>. </w:t>
      </w:r>
      <w:r>
        <w:rPr>
          <w:color w:val="333333"/>
          <w:sz w:val="24"/>
        </w:rPr>
        <w:t>Both parties agree to the scope of work, terms, and pricing outlined in </w:t>
      </w:r>
      <w:r>
        <w:rPr>
          <w:color w:val="333333"/>
          <w:spacing w:val="-5"/>
          <w:sz w:val="24"/>
        </w:rPr>
        <w:t>this </w:t>
      </w:r>
      <w:r>
        <w:rPr>
          <w:color w:val="333333"/>
          <w:sz w:val="24"/>
        </w:rPr>
        <w:t>painting contract by applying their signatures in the fields </w:t>
      </w:r>
      <w:r>
        <w:rPr>
          <w:color w:val="333333"/>
          <w:spacing w:val="-3"/>
          <w:sz w:val="24"/>
        </w:rPr>
        <w:t>below.</w:t>
      </w:r>
    </w:p>
    <w:p>
      <w:pPr>
        <w:pStyle w:val="BodyText"/>
        <w:spacing w:before="10"/>
      </w:pPr>
    </w:p>
    <w:p>
      <w:pPr>
        <w:pStyle w:val="ListParagraph"/>
        <w:numPr>
          <w:ilvl w:val="0"/>
          <w:numId w:val="1"/>
        </w:numPr>
        <w:tabs>
          <w:tab w:pos="960" w:val="left" w:leader="none"/>
        </w:tabs>
        <w:spacing w:line="247" w:lineRule="auto" w:before="0" w:after="0"/>
        <w:ind w:left="240" w:right="99" w:firstLine="360"/>
        <w:jc w:val="both"/>
        <w:rPr>
          <w:sz w:val="24"/>
        </w:rPr>
      </w:pPr>
      <w:r>
        <w:rPr>
          <w:spacing w:val="-60"/>
          <w:sz w:val="24"/>
          <w:u w:val="thick"/>
        </w:rPr>
        <w:t> </w:t>
      </w:r>
      <w:r>
        <w:rPr>
          <w:b/>
          <w:sz w:val="24"/>
          <w:u w:val="thick"/>
        </w:rPr>
        <w:t>Independent Contractor Status</w:t>
      </w:r>
      <w:r>
        <w:rPr>
          <w:sz w:val="24"/>
        </w:rPr>
        <w:t>. Homeowner and Painter agree that Painter is serving </w:t>
      </w:r>
      <w:r>
        <w:rPr>
          <w:spacing w:val="-9"/>
          <w:sz w:val="24"/>
        </w:rPr>
        <w:t>as </w:t>
      </w:r>
      <w:r>
        <w:rPr>
          <w:sz w:val="24"/>
        </w:rPr>
        <w:t>an</w:t>
      </w:r>
      <w:r>
        <w:rPr>
          <w:spacing w:val="15"/>
          <w:sz w:val="24"/>
        </w:rPr>
        <w:t> </w:t>
      </w:r>
      <w:r>
        <w:rPr>
          <w:sz w:val="24"/>
        </w:rPr>
        <w:t>independent</w:t>
      </w:r>
      <w:r>
        <w:rPr>
          <w:spacing w:val="15"/>
          <w:sz w:val="24"/>
        </w:rPr>
        <w:t> </w:t>
      </w:r>
      <w:r>
        <w:rPr>
          <w:sz w:val="24"/>
        </w:rPr>
        <w:t>contractor</w:t>
      </w:r>
      <w:r>
        <w:rPr>
          <w:spacing w:val="15"/>
          <w:sz w:val="24"/>
        </w:rPr>
        <w:t> </w:t>
      </w:r>
      <w:r>
        <w:rPr>
          <w:sz w:val="24"/>
        </w:rPr>
        <w:t>under</w:t>
      </w:r>
      <w:r>
        <w:rPr>
          <w:spacing w:val="15"/>
          <w:sz w:val="24"/>
        </w:rPr>
        <w:t> </w:t>
      </w:r>
      <w:r>
        <w:rPr>
          <w:sz w:val="24"/>
        </w:rPr>
        <w:t>this</w:t>
      </w:r>
      <w:r>
        <w:rPr>
          <w:spacing w:val="15"/>
          <w:sz w:val="24"/>
        </w:rPr>
        <w:t> </w:t>
      </w:r>
      <w:r>
        <w:rPr>
          <w:sz w:val="24"/>
        </w:rPr>
        <w:t>Contract and that all employees, laborers, </w:t>
      </w:r>
      <w:r>
        <w:rPr>
          <w:spacing w:val="-6"/>
          <w:sz w:val="24"/>
        </w:rPr>
        <w:t>and</w:t>
      </w:r>
    </w:p>
    <w:p>
      <w:pPr>
        <w:spacing w:after="0" w:line="247" w:lineRule="auto"/>
        <w:jc w:val="both"/>
        <w:rPr>
          <w:sz w:val="24"/>
        </w:rPr>
        <w:sectPr>
          <w:type w:val="continuous"/>
          <w:pgSz w:w="12240" w:h="15840"/>
          <w:pgMar w:top="1500" w:bottom="280" w:left="1200" w:right="1340"/>
        </w:sectPr>
      </w:pPr>
    </w:p>
    <w:p>
      <w:pPr>
        <w:pStyle w:val="BodyText"/>
        <w:spacing w:line="247" w:lineRule="auto" w:before="66"/>
        <w:ind w:left="240" w:right="176"/>
      </w:pPr>
      <w:r>
        <w:rPr/>
        <w:t>subcontractors employed by Painter in connection with performing the work shall be the employees or agents of and the responsibility of Painter.</w:t>
      </w:r>
    </w:p>
    <w:p>
      <w:pPr>
        <w:pStyle w:val="BodyText"/>
        <w:spacing w:before="10"/>
      </w:pPr>
    </w:p>
    <w:p>
      <w:pPr>
        <w:pStyle w:val="ListParagraph"/>
        <w:numPr>
          <w:ilvl w:val="0"/>
          <w:numId w:val="1"/>
        </w:numPr>
        <w:tabs>
          <w:tab w:pos="960" w:val="left" w:leader="none"/>
        </w:tabs>
        <w:spacing w:line="247" w:lineRule="auto" w:before="1" w:after="0"/>
        <w:ind w:left="240" w:right="102" w:firstLine="360"/>
        <w:jc w:val="both"/>
        <w:rPr>
          <w:sz w:val="24"/>
        </w:rPr>
      </w:pPr>
      <w:r>
        <w:rPr>
          <w:spacing w:val="-60"/>
          <w:sz w:val="24"/>
          <w:u w:val="thick"/>
        </w:rPr>
        <w:t> </w:t>
      </w:r>
      <w:r>
        <w:rPr>
          <w:b/>
          <w:sz w:val="24"/>
          <w:u w:val="thick"/>
        </w:rPr>
        <w:t>Permits and Approvals</w:t>
      </w:r>
      <w:r>
        <w:rPr>
          <w:sz w:val="24"/>
        </w:rPr>
        <w:t>. Painter shall be responsible for determining which permits are necessary and for obtaining the permits. Painter shall be responsible to comply with </w:t>
      </w:r>
      <w:r>
        <w:rPr>
          <w:spacing w:val="-4"/>
          <w:sz w:val="24"/>
        </w:rPr>
        <w:t>all </w:t>
      </w:r>
      <w:r>
        <w:rPr>
          <w:sz w:val="24"/>
        </w:rPr>
        <w:t>governmental, state, county and/ or local laws, rules and regulations pertaining to improvements to residential structures either internally or externally. Painter shall comply with all state </w:t>
      </w:r>
      <w:r>
        <w:rPr>
          <w:spacing w:val="-6"/>
          <w:sz w:val="24"/>
        </w:rPr>
        <w:t>and </w:t>
      </w:r>
      <w:r>
        <w:rPr>
          <w:sz w:val="24"/>
        </w:rPr>
        <w:t>local licensing and registration requirements for type of work involved</w:t>
      </w:r>
    </w:p>
    <w:p>
      <w:pPr>
        <w:pStyle w:val="BodyText"/>
        <w:spacing w:before="1"/>
        <w:rPr>
          <w:sz w:val="25"/>
        </w:rPr>
      </w:pPr>
    </w:p>
    <w:p>
      <w:pPr>
        <w:pStyle w:val="ListParagraph"/>
        <w:numPr>
          <w:ilvl w:val="0"/>
          <w:numId w:val="1"/>
        </w:numPr>
        <w:tabs>
          <w:tab w:pos="960" w:val="left" w:leader="none"/>
        </w:tabs>
        <w:spacing w:line="247" w:lineRule="auto" w:before="0" w:after="0"/>
        <w:ind w:left="240" w:right="98" w:firstLine="360"/>
        <w:jc w:val="both"/>
        <w:rPr>
          <w:sz w:val="24"/>
        </w:rPr>
      </w:pPr>
      <w:r>
        <w:rPr>
          <w:spacing w:val="-60"/>
          <w:sz w:val="24"/>
          <w:u w:val="thick"/>
        </w:rPr>
        <w:t> </w:t>
      </w:r>
      <w:r>
        <w:rPr>
          <w:b/>
          <w:sz w:val="24"/>
          <w:u w:val="thick"/>
        </w:rPr>
        <w:t>Insurance</w:t>
      </w:r>
      <w:r>
        <w:rPr>
          <w:sz w:val="24"/>
        </w:rPr>
        <w:t>. Painter shall obtain and maintain general liability insurance of not less </w:t>
      </w:r>
      <w:r>
        <w:rPr>
          <w:spacing w:val="-3"/>
          <w:sz w:val="24"/>
        </w:rPr>
        <w:t>than </w:t>
      </w:r>
      <w:r>
        <w:rPr>
          <w:sz w:val="24"/>
        </w:rPr>
        <w:t>Two-Hundred and Fifty Thousand Dollars ($250,000.00), as required or appropriate. A copy of the Painter’s Certificate of Insurance showing such general liability coverage shall be provided </w:t>
      </w:r>
      <w:r>
        <w:rPr>
          <w:spacing w:val="-8"/>
          <w:sz w:val="24"/>
        </w:rPr>
        <w:t>to </w:t>
      </w:r>
      <w:r>
        <w:rPr>
          <w:sz w:val="24"/>
        </w:rPr>
        <w:t>the Homeowner prior to the beginning of any improvements or repairs to the Premises. The Painter’s cost of obtaining and maintaining the above-described insurance coverage shall be </w:t>
      </w:r>
      <w:r>
        <w:rPr>
          <w:spacing w:val="-6"/>
          <w:sz w:val="24"/>
        </w:rPr>
        <w:t>the </w:t>
      </w:r>
      <w:r>
        <w:rPr>
          <w:sz w:val="24"/>
        </w:rPr>
        <w:t>sole responsibility of</w:t>
      </w:r>
      <w:r>
        <w:rPr>
          <w:spacing w:val="-1"/>
          <w:sz w:val="24"/>
        </w:rPr>
        <w:t> </w:t>
      </w:r>
      <w:r>
        <w:rPr>
          <w:sz w:val="24"/>
        </w:rPr>
        <w:t>Painter.</w:t>
      </w:r>
    </w:p>
    <w:p>
      <w:pPr>
        <w:pStyle w:val="BodyText"/>
        <w:spacing w:before="2"/>
        <w:rPr>
          <w:sz w:val="25"/>
        </w:rPr>
      </w:pPr>
    </w:p>
    <w:p>
      <w:pPr>
        <w:pStyle w:val="ListParagraph"/>
        <w:numPr>
          <w:ilvl w:val="0"/>
          <w:numId w:val="1"/>
        </w:numPr>
        <w:tabs>
          <w:tab w:pos="960" w:val="left" w:leader="none"/>
        </w:tabs>
        <w:spacing w:line="247" w:lineRule="auto" w:before="0" w:after="0"/>
        <w:ind w:left="240" w:right="99" w:firstLine="360"/>
        <w:jc w:val="both"/>
        <w:rPr>
          <w:sz w:val="24"/>
        </w:rPr>
      </w:pPr>
      <w:r>
        <w:rPr>
          <w:spacing w:val="-60"/>
          <w:sz w:val="24"/>
          <w:u w:val="thick"/>
        </w:rPr>
        <w:t> </w:t>
      </w:r>
      <w:r>
        <w:rPr>
          <w:b/>
          <w:sz w:val="24"/>
          <w:u w:val="thick"/>
        </w:rPr>
        <w:t>Arbitration in the Case of Disputes</w:t>
      </w:r>
      <w:r>
        <w:rPr>
          <w:sz w:val="24"/>
        </w:rPr>
        <w:t>. In the event after completion of such </w:t>
      </w:r>
      <w:r>
        <w:rPr>
          <w:spacing w:val="-2"/>
          <w:sz w:val="24"/>
        </w:rPr>
        <w:t>investigation </w:t>
      </w:r>
      <w:r>
        <w:rPr>
          <w:sz w:val="24"/>
        </w:rPr>
        <w:t>and review by Painter, and after the Homeowner has fully cooperated and provided Painter </w:t>
      </w:r>
      <w:r>
        <w:rPr>
          <w:spacing w:val="-4"/>
          <w:sz w:val="24"/>
        </w:rPr>
        <w:t>with</w:t>
      </w:r>
      <w:r>
        <w:rPr>
          <w:spacing w:val="52"/>
          <w:sz w:val="24"/>
        </w:rPr>
        <w:t> </w:t>
      </w:r>
      <w:r>
        <w:rPr>
          <w:sz w:val="24"/>
        </w:rPr>
        <w:t>the right to cure and/or elect remedies as required herein or the under the Limited </w:t>
      </w:r>
      <w:r>
        <w:rPr>
          <w:spacing w:val="-4"/>
          <w:sz w:val="24"/>
        </w:rPr>
        <w:t>Warranty, </w:t>
      </w:r>
      <w:r>
        <w:rPr>
          <w:spacing w:val="-3"/>
          <w:sz w:val="24"/>
        </w:rPr>
        <w:t>there </w:t>
      </w:r>
      <w:r>
        <w:rPr>
          <w:sz w:val="24"/>
        </w:rPr>
        <w:t>remains a claim(s), dispute(s) or other matter in question over which Painter and Homeowner cannot agree to a resolution thereof, or in the event Homeowner and Painter cannot agree to </w:t>
      </w:r>
      <w:r>
        <w:rPr>
          <w:spacing w:val="-6"/>
          <w:sz w:val="24"/>
        </w:rPr>
        <w:t>the </w:t>
      </w:r>
      <w:r>
        <w:rPr>
          <w:sz w:val="24"/>
        </w:rPr>
        <w:t>resolution of any other dispute arising under the terms of this Contract, Homeowner and Painter agree that a decision as to the disputed item(s) shall be reached through binding arbitration </w:t>
      </w:r>
      <w:r>
        <w:rPr>
          <w:spacing w:val="-3"/>
          <w:sz w:val="24"/>
        </w:rPr>
        <w:t>based </w:t>
      </w:r>
      <w:r>
        <w:rPr>
          <w:sz w:val="24"/>
        </w:rPr>
        <w:t>upon the rules (the “Rules”) promulgated by the local Bar Association, or other mutually agreeable arbitration rules, which shall be conducted in a prompt and expeditious</w:t>
      </w:r>
      <w:r>
        <w:rPr>
          <w:spacing w:val="-7"/>
          <w:sz w:val="24"/>
        </w:rPr>
        <w:t> </w:t>
      </w:r>
      <w:r>
        <w:rPr>
          <w:sz w:val="24"/>
        </w:rPr>
        <w:t>manner.</w:t>
      </w:r>
    </w:p>
    <w:p>
      <w:pPr>
        <w:pStyle w:val="BodyText"/>
        <w:spacing w:before="4"/>
        <w:rPr>
          <w:sz w:val="25"/>
        </w:rPr>
      </w:pPr>
    </w:p>
    <w:p>
      <w:pPr>
        <w:pStyle w:val="ListParagraph"/>
        <w:numPr>
          <w:ilvl w:val="0"/>
          <w:numId w:val="1"/>
        </w:numPr>
        <w:tabs>
          <w:tab w:pos="960" w:val="left" w:leader="none"/>
        </w:tabs>
        <w:spacing w:line="247" w:lineRule="auto" w:before="0" w:after="0"/>
        <w:ind w:left="240" w:right="219" w:firstLine="360"/>
        <w:jc w:val="both"/>
        <w:rPr>
          <w:sz w:val="24"/>
        </w:rPr>
      </w:pPr>
      <w:r>
        <w:rPr>
          <w:spacing w:val="-60"/>
          <w:sz w:val="24"/>
          <w:u w:val="thick"/>
        </w:rPr>
        <w:t> </w:t>
      </w:r>
      <w:r>
        <w:rPr>
          <w:b/>
          <w:sz w:val="24"/>
          <w:u w:val="thick"/>
        </w:rPr>
        <w:t>Entire Contract</w:t>
      </w:r>
      <w:r>
        <w:rPr>
          <w:sz w:val="24"/>
        </w:rPr>
        <w:t>. This Contract constitutes the entire understanding between the parties with respect to the subject matter hereof and may not be altered or amended except in </w:t>
      </w:r>
      <w:r>
        <w:rPr>
          <w:spacing w:val="-3"/>
          <w:sz w:val="24"/>
        </w:rPr>
        <w:t>writing </w:t>
      </w:r>
      <w:r>
        <w:rPr>
          <w:sz w:val="24"/>
        </w:rPr>
        <w:t>signed by both parties.</w:t>
      </w:r>
    </w:p>
    <w:p>
      <w:pPr>
        <w:pStyle w:val="BodyText"/>
        <w:rPr>
          <w:sz w:val="25"/>
        </w:rPr>
      </w:pPr>
    </w:p>
    <w:p>
      <w:pPr>
        <w:pStyle w:val="ListParagraph"/>
        <w:numPr>
          <w:ilvl w:val="0"/>
          <w:numId w:val="1"/>
        </w:numPr>
        <w:tabs>
          <w:tab w:pos="960" w:val="left" w:leader="none"/>
        </w:tabs>
        <w:spacing w:line="247" w:lineRule="auto" w:before="0" w:after="0"/>
        <w:ind w:left="240" w:right="218" w:firstLine="360"/>
        <w:jc w:val="both"/>
        <w:rPr>
          <w:sz w:val="24"/>
        </w:rPr>
      </w:pPr>
      <w:r>
        <w:rPr>
          <w:spacing w:val="-60"/>
          <w:sz w:val="24"/>
          <w:u w:val="thick"/>
        </w:rPr>
        <w:t> </w:t>
      </w:r>
      <w:r>
        <w:rPr>
          <w:b/>
          <w:sz w:val="24"/>
          <w:u w:val="thick"/>
        </w:rPr>
        <w:t>Governing Law</w:t>
      </w:r>
      <w:r>
        <w:rPr>
          <w:sz w:val="24"/>
        </w:rPr>
        <w:t>. This Contract and performance hereunder shall be governed by </w:t>
      </w:r>
      <w:r>
        <w:rPr>
          <w:spacing w:val="-6"/>
          <w:sz w:val="24"/>
        </w:rPr>
        <w:t>the </w:t>
      </w:r>
      <w:r>
        <w:rPr>
          <w:sz w:val="24"/>
        </w:rPr>
        <w:t>laws of the State of </w:t>
      </w:r>
      <w:r>
        <w:rPr>
          <w:b/>
          <w:spacing w:val="-5"/>
          <w:sz w:val="24"/>
        </w:rPr>
        <w:t>[STATE]</w:t>
      </w:r>
      <w:r>
        <w:rPr>
          <w:spacing w:val="-5"/>
          <w:sz w:val="24"/>
        </w:rPr>
        <w:t>, </w:t>
      </w:r>
      <w:r>
        <w:rPr>
          <w:sz w:val="24"/>
        </w:rPr>
        <w:t>without regard to conflicts of laws. Any action or proceeding based on this Contract shall be brought only in the state or federal courts located in the </w:t>
      </w:r>
      <w:r>
        <w:rPr>
          <w:spacing w:val="-3"/>
          <w:sz w:val="24"/>
        </w:rPr>
        <w:t>County </w:t>
      </w:r>
      <w:r>
        <w:rPr>
          <w:sz w:val="24"/>
        </w:rPr>
        <w:t>of </w:t>
      </w:r>
      <w:r>
        <w:rPr>
          <w:b/>
          <w:sz w:val="24"/>
        </w:rPr>
        <w:t>[COUNTY]</w:t>
      </w:r>
      <w:r>
        <w:rPr>
          <w:sz w:val="24"/>
        </w:rPr>
        <w:t>, State of </w:t>
      </w:r>
      <w:r>
        <w:rPr>
          <w:b/>
          <w:spacing w:val="-5"/>
          <w:sz w:val="24"/>
        </w:rPr>
        <w:t>[STATE]</w:t>
      </w:r>
      <w:r>
        <w:rPr>
          <w:spacing w:val="-5"/>
          <w:sz w:val="24"/>
        </w:rPr>
        <w:t>, </w:t>
      </w:r>
      <w:r>
        <w:rPr>
          <w:sz w:val="24"/>
        </w:rPr>
        <w:t>and both parties agree to submit to the exclusive personal jurisdiction of such courts. Process in any such action or proceeding may be served on </w:t>
      </w:r>
      <w:r>
        <w:rPr>
          <w:spacing w:val="-3"/>
          <w:sz w:val="24"/>
        </w:rPr>
        <w:t>either</w:t>
      </w:r>
      <w:r>
        <w:rPr>
          <w:spacing w:val="54"/>
          <w:sz w:val="24"/>
        </w:rPr>
        <w:t> </w:t>
      </w:r>
      <w:r>
        <w:rPr>
          <w:sz w:val="24"/>
        </w:rPr>
        <w:t>party anywhere in the world. Painter and Homeowner agree that the prevailing party in any such action or proceeding shall be entitled to recover the reasonable attorneys’ fees and costs incurred by such party in the course of prosecuting or defending any lawsuit brought under this Contract.</w:t>
      </w:r>
    </w:p>
    <w:p>
      <w:pPr>
        <w:pStyle w:val="BodyText"/>
        <w:spacing w:before="4"/>
        <w:rPr>
          <w:sz w:val="25"/>
        </w:rPr>
      </w:pPr>
    </w:p>
    <w:p>
      <w:pPr>
        <w:pStyle w:val="ListParagraph"/>
        <w:numPr>
          <w:ilvl w:val="0"/>
          <w:numId w:val="1"/>
        </w:numPr>
        <w:tabs>
          <w:tab w:pos="960" w:val="left" w:leader="none"/>
        </w:tabs>
        <w:spacing w:line="247" w:lineRule="auto" w:before="0" w:after="0"/>
        <w:ind w:left="240" w:right="222" w:firstLine="360"/>
        <w:jc w:val="both"/>
        <w:rPr>
          <w:sz w:val="24"/>
        </w:rPr>
      </w:pPr>
      <w:r>
        <w:rPr>
          <w:spacing w:val="-60"/>
          <w:sz w:val="24"/>
          <w:u w:val="thick"/>
        </w:rPr>
        <w:t> </w:t>
      </w:r>
      <w:r>
        <w:rPr>
          <w:b/>
          <w:sz w:val="24"/>
          <w:u w:val="thick"/>
        </w:rPr>
        <w:t>Severability.</w:t>
      </w:r>
      <w:r>
        <w:rPr>
          <w:b/>
          <w:sz w:val="24"/>
        </w:rPr>
        <w:t> </w:t>
      </w:r>
      <w:r>
        <w:rPr>
          <w:sz w:val="24"/>
        </w:rPr>
        <w:t>In the event any provision of this Contract is deemed invalid or unenforceable, in whole or in part, that part shall be severed from the remainder of the Contract and all other provisions should continue in full force and effect as valid and</w:t>
      </w:r>
      <w:r>
        <w:rPr>
          <w:spacing w:val="-3"/>
          <w:sz w:val="24"/>
        </w:rPr>
        <w:t> </w:t>
      </w:r>
      <w:r>
        <w:rPr>
          <w:sz w:val="24"/>
        </w:rPr>
        <w:t>enforceable.</w:t>
      </w:r>
    </w:p>
    <w:p>
      <w:pPr>
        <w:pStyle w:val="BodyText"/>
        <w:rPr>
          <w:sz w:val="25"/>
        </w:rPr>
      </w:pPr>
    </w:p>
    <w:p>
      <w:pPr>
        <w:pStyle w:val="ListParagraph"/>
        <w:numPr>
          <w:ilvl w:val="0"/>
          <w:numId w:val="1"/>
        </w:numPr>
        <w:tabs>
          <w:tab w:pos="960" w:val="left" w:leader="none"/>
        </w:tabs>
        <w:spacing w:line="240" w:lineRule="auto" w:before="0" w:after="0"/>
        <w:ind w:left="960" w:right="0" w:hanging="360"/>
        <w:jc w:val="left"/>
        <w:rPr>
          <w:sz w:val="24"/>
        </w:rPr>
      </w:pPr>
      <w:r>
        <w:rPr>
          <w:spacing w:val="-60"/>
          <w:sz w:val="24"/>
          <w:u w:val="thick"/>
        </w:rPr>
        <w:t> </w:t>
      </w:r>
      <w:r>
        <w:rPr>
          <w:b/>
          <w:sz w:val="24"/>
          <w:u w:val="thick"/>
        </w:rPr>
        <w:t>Survival</w:t>
      </w:r>
      <w:r>
        <w:rPr>
          <w:sz w:val="24"/>
          <w:u w:val="thick"/>
        </w:rPr>
        <w:t>.</w:t>
      </w:r>
      <w:r>
        <w:rPr>
          <w:spacing w:val="30"/>
          <w:sz w:val="24"/>
        </w:rPr>
        <w:t> </w:t>
      </w:r>
      <w:r>
        <w:rPr>
          <w:sz w:val="24"/>
        </w:rPr>
        <w:t>The</w:t>
      </w:r>
      <w:r>
        <w:rPr>
          <w:spacing w:val="30"/>
          <w:sz w:val="24"/>
        </w:rPr>
        <w:t> </w:t>
      </w:r>
      <w:r>
        <w:rPr>
          <w:sz w:val="24"/>
        </w:rPr>
        <w:t>terms</w:t>
      </w:r>
      <w:r>
        <w:rPr>
          <w:spacing w:val="30"/>
          <w:sz w:val="24"/>
        </w:rPr>
        <w:t> </w:t>
      </w:r>
      <w:r>
        <w:rPr>
          <w:sz w:val="24"/>
        </w:rPr>
        <w:t>of</w:t>
      </w:r>
      <w:r>
        <w:rPr>
          <w:spacing w:val="30"/>
          <w:sz w:val="24"/>
        </w:rPr>
        <w:t> </w:t>
      </w:r>
      <w:r>
        <w:rPr>
          <w:sz w:val="24"/>
        </w:rPr>
        <w:t>this</w:t>
      </w:r>
      <w:r>
        <w:rPr>
          <w:spacing w:val="30"/>
          <w:sz w:val="24"/>
        </w:rPr>
        <w:t> </w:t>
      </w:r>
      <w:r>
        <w:rPr>
          <w:sz w:val="24"/>
        </w:rPr>
        <w:t>Contract</w:t>
      </w:r>
      <w:r>
        <w:rPr>
          <w:spacing w:val="30"/>
          <w:sz w:val="24"/>
        </w:rPr>
        <w:t> </w:t>
      </w:r>
      <w:r>
        <w:rPr>
          <w:sz w:val="24"/>
        </w:rPr>
        <w:t>shall</w:t>
      </w:r>
      <w:r>
        <w:rPr>
          <w:spacing w:val="30"/>
          <w:sz w:val="24"/>
        </w:rPr>
        <w:t> </w:t>
      </w:r>
      <w:r>
        <w:rPr>
          <w:sz w:val="24"/>
        </w:rPr>
        <w:t>survive</w:t>
      </w:r>
      <w:r>
        <w:rPr>
          <w:spacing w:val="30"/>
          <w:sz w:val="24"/>
        </w:rPr>
        <w:t> </w:t>
      </w:r>
      <w:r>
        <w:rPr>
          <w:sz w:val="24"/>
        </w:rPr>
        <w:t>the</w:t>
      </w:r>
      <w:r>
        <w:rPr>
          <w:spacing w:val="30"/>
          <w:sz w:val="24"/>
        </w:rPr>
        <w:t> </w:t>
      </w:r>
      <w:r>
        <w:rPr>
          <w:sz w:val="24"/>
        </w:rPr>
        <w:t>term</w:t>
      </w:r>
      <w:r>
        <w:rPr>
          <w:spacing w:val="30"/>
          <w:sz w:val="24"/>
        </w:rPr>
        <w:t> </w:t>
      </w:r>
      <w:r>
        <w:rPr>
          <w:sz w:val="24"/>
        </w:rPr>
        <w:t>of</w:t>
      </w:r>
      <w:r>
        <w:rPr>
          <w:spacing w:val="30"/>
          <w:sz w:val="24"/>
        </w:rPr>
        <w:t> </w:t>
      </w:r>
      <w:r>
        <w:rPr>
          <w:sz w:val="24"/>
        </w:rPr>
        <w:t>this</w:t>
      </w:r>
      <w:r>
        <w:rPr>
          <w:spacing w:val="30"/>
          <w:sz w:val="24"/>
        </w:rPr>
        <w:t> </w:t>
      </w:r>
      <w:r>
        <w:rPr>
          <w:sz w:val="24"/>
        </w:rPr>
        <w:t>Contract</w:t>
      </w:r>
      <w:r>
        <w:rPr>
          <w:spacing w:val="30"/>
          <w:sz w:val="24"/>
        </w:rPr>
        <w:t> </w:t>
      </w:r>
      <w:r>
        <w:rPr>
          <w:sz w:val="24"/>
        </w:rPr>
        <w:t>and</w:t>
      </w:r>
      <w:r>
        <w:rPr>
          <w:spacing w:val="15"/>
          <w:sz w:val="24"/>
        </w:rPr>
        <w:t> </w:t>
      </w:r>
      <w:r>
        <w:rPr>
          <w:sz w:val="24"/>
        </w:rPr>
        <w:t>shall</w:t>
      </w:r>
    </w:p>
    <w:p>
      <w:pPr>
        <w:spacing w:after="0" w:line="240" w:lineRule="auto"/>
        <w:jc w:val="left"/>
        <w:rPr>
          <w:sz w:val="24"/>
        </w:rPr>
        <w:sectPr>
          <w:pgSz w:w="12240" w:h="15840"/>
          <w:pgMar w:top="1380" w:bottom="280" w:left="1200" w:right="1340"/>
        </w:sectPr>
      </w:pPr>
    </w:p>
    <w:p>
      <w:pPr>
        <w:pStyle w:val="BodyText"/>
        <w:spacing w:line="247" w:lineRule="auto" w:before="66"/>
        <w:ind w:left="240" w:right="176"/>
      </w:pPr>
      <w:r>
        <w:rPr/>
        <w:t>bind and inure to the benefit of the successors, assigns, personal representatives, heirs and legates of all parties.</w:t>
      </w:r>
    </w:p>
    <w:p>
      <w:pPr>
        <w:pStyle w:val="BodyText"/>
        <w:spacing w:before="10"/>
      </w:pPr>
    </w:p>
    <w:p>
      <w:pPr>
        <w:pStyle w:val="ListParagraph"/>
        <w:numPr>
          <w:ilvl w:val="0"/>
          <w:numId w:val="1"/>
        </w:numPr>
        <w:tabs>
          <w:tab w:pos="960" w:val="left" w:leader="none"/>
        </w:tabs>
        <w:spacing w:line="247" w:lineRule="auto" w:before="1" w:after="0"/>
        <w:ind w:left="240" w:right="218" w:firstLine="360"/>
        <w:jc w:val="both"/>
        <w:rPr>
          <w:sz w:val="24"/>
        </w:rPr>
      </w:pPr>
      <w:r>
        <w:rPr>
          <w:spacing w:val="-60"/>
          <w:sz w:val="24"/>
          <w:u w:val="thick"/>
        </w:rPr>
        <w:t> </w:t>
      </w:r>
      <w:r>
        <w:rPr>
          <w:b/>
          <w:sz w:val="24"/>
          <w:u w:val="thick"/>
        </w:rPr>
        <w:t>Counterparts</w:t>
      </w:r>
      <w:r>
        <w:rPr>
          <w:sz w:val="24"/>
        </w:rPr>
        <w:t>. This Contract may be executed in one or more counterparts, each </w:t>
      </w:r>
      <w:r>
        <w:rPr>
          <w:spacing w:val="-9"/>
          <w:sz w:val="24"/>
        </w:rPr>
        <w:t>of </w:t>
      </w:r>
      <w:r>
        <w:rPr>
          <w:sz w:val="24"/>
        </w:rPr>
        <w:t>which shall be deemed an original and all of which, when taken together, shall constitute one and the same instrument.</w:t>
      </w:r>
    </w:p>
    <w:p>
      <w:pPr>
        <w:pStyle w:val="BodyText"/>
        <w:spacing w:before="7"/>
        <w:rPr>
          <w:sz w:val="23"/>
        </w:rPr>
      </w:pPr>
    </w:p>
    <w:p>
      <w:pPr>
        <w:spacing w:line="256" w:lineRule="auto" w:before="0"/>
        <w:ind w:left="240" w:right="176" w:firstLine="360"/>
        <w:jc w:val="left"/>
        <w:rPr>
          <w:sz w:val="22"/>
        </w:rPr>
      </w:pPr>
      <w:r>
        <w:rPr>
          <w:b/>
          <w:sz w:val="22"/>
        </w:rPr>
        <w:t>IN WITNESS WHEREOF</w:t>
      </w:r>
      <w:r>
        <w:rPr>
          <w:sz w:val="22"/>
        </w:rPr>
        <w:t>, each of the parties hereto has caused the Contract to be executed by its duly authorized representative on the date set forth above.</w:t>
      </w:r>
    </w:p>
    <w:p>
      <w:pPr>
        <w:pStyle w:val="BodyText"/>
        <w:spacing w:before="5"/>
        <w:rPr>
          <w:sz w:val="15"/>
        </w:rPr>
      </w:pPr>
    </w:p>
    <w:p>
      <w:pPr>
        <w:spacing w:after="0"/>
        <w:rPr>
          <w:sz w:val="15"/>
        </w:rPr>
        <w:sectPr>
          <w:pgSz w:w="12240" w:h="15840"/>
          <w:pgMar w:top="1380" w:bottom="280" w:left="1200" w:right="1340"/>
        </w:sectPr>
      </w:pPr>
    </w:p>
    <w:p>
      <w:pPr>
        <w:spacing w:line="511" w:lineRule="auto" w:before="91"/>
        <w:ind w:left="600" w:right="886" w:firstLine="0"/>
        <w:jc w:val="left"/>
        <w:rPr>
          <w:b/>
          <w:sz w:val="22"/>
        </w:rPr>
      </w:pPr>
      <w:r>
        <w:rPr>
          <w:b/>
          <w:sz w:val="22"/>
        </w:rPr>
        <w:t>PAINTER: [PAINTER]</w:t>
      </w:r>
    </w:p>
    <w:p>
      <w:pPr>
        <w:tabs>
          <w:tab w:pos="3497" w:val="left" w:leader="none"/>
        </w:tabs>
        <w:spacing w:line="256" w:lineRule="auto" w:before="2"/>
        <w:ind w:left="874" w:right="38" w:hanging="275"/>
        <w:jc w:val="left"/>
        <w:rPr>
          <w:sz w:val="22"/>
        </w:rPr>
      </w:pPr>
      <w:r>
        <w:rPr>
          <w:sz w:val="22"/>
        </w:rPr>
        <w:t>By:</w:t>
      </w:r>
      <w:r>
        <w:rPr>
          <w:sz w:val="22"/>
          <w:u w:val="single"/>
        </w:rPr>
        <w:tab/>
      </w:r>
      <w:r>
        <w:rPr>
          <w:sz w:val="22"/>
        </w:rPr>
        <w:t> [Signatory]</w:t>
      </w:r>
    </w:p>
    <w:p>
      <w:pPr>
        <w:spacing w:line="256" w:lineRule="auto" w:before="0"/>
        <w:ind w:left="600" w:right="886" w:firstLine="0"/>
        <w:jc w:val="left"/>
        <w:rPr>
          <w:sz w:val="22"/>
        </w:rPr>
      </w:pPr>
      <w:r>
        <w:rPr>
          <w:sz w:val="22"/>
        </w:rPr>
        <w:t>[Painter Address] [Painter Address] [Painter Phone] [Painter Email]</w:t>
      </w:r>
    </w:p>
    <w:p>
      <w:pPr>
        <w:spacing w:before="91"/>
        <w:ind w:left="600" w:right="0" w:firstLine="0"/>
        <w:jc w:val="left"/>
        <w:rPr>
          <w:b/>
          <w:sz w:val="22"/>
        </w:rPr>
      </w:pPr>
      <w:r>
        <w:rPr/>
        <w:br w:type="column"/>
      </w:r>
      <w:r>
        <w:rPr>
          <w:b/>
          <w:sz w:val="22"/>
        </w:rPr>
        <w:t>HOMEOWNER:</w:t>
      </w:r>
    </w:p>
    <w:p>
      <w:pPr>
        <w:pStyle w:val="BodyText"/>
        <w:rPr>
          <w:b/>
          <w:sz w:val="20"/>
        </w:rPr>
      </w:pPr>
    </w:p>
    <w:p>
      <w:pPr>
        <w:pStyle w:val="BodyText"/>
        <w:spacing w:before="8"/>
        <w:rPr>
          <w:b/>
          <w:sz w:val="22"/>
        </w:rPr>
      </w:pPr>
      <w:r>
        <w:rPr/>
        <w:pict>
          <v:shape style="position:absolute;margin-left:324pt;margin-top:15.28841pt;width:142.950pt;height:.1pt;mso-position-horizontal-relative:page;mso-position-vertical-relative:paragraph;z-index:-15727104;mso-wrap-distance-left:0;mso-wrap-distance-right:0" coordorigin="6480,306" coordsize="2859,0" path="m6480,306l9338,306e" filled="false" stroked="true" strokeweight=".44pt" strokecolor="#000000">
            <v:path arrowok="t"/>
            <v:stroke dashstyle="solid"/>
            <w10:wrap type="topAndBottom"/>
          </v:shape>
        </w:pict>
      </w:r>
    </w:p>
    <w:p>
      <w:pPr>
        <w:spacing w:before="0"/>
        <w:ind w:left="600" w:right="0" w:firstLine="0"/>
        <w:jc w:val="left"/>
        <w:rPr>
          <w:sz w:val="22"/>
        </w:rPr>
      </w:pPr>
      <w:r>
        <w:rPr>
          <w:sz w:val="22"/>
        </w:rPr>
        <w:t>[HOMEOWNER]</w:t>
      </w:r>
    </w:p>
    <w:p>
      <w:pPr>
        <w:pStyle w:val="BodyText"/>
        <w:rPr>
          <w:sz w:val="20"/>
        </w:rPr>
      </w:pPr>
    </w:p>
    <w:p>
      <w:pPr>
        <w:pStyle w:val="BodyText"/>
        <w:spacing w:before="8"/>
        <w:rPr>
          <w:sz w:val="22"/>
        </w:rPr>
      </w:pPr>
      <w:r>
        <w:rPr/>
        <w:pict>
          <v:shape style="position:absolute;margin-left:324pt;margin-top:15.277582pt;width:142.950pt;height:.1pt;mso-position-horizontal-relative:page;mso-position-vertical-relative:paragraph;z-index:-15726592;mso-wrap-distance-left:0;mso-wrap-distance-right:0" coordorigin="6480,306" coordsize="2859,0" path="m6480,306l9338,306e" filled="false" stroked="true" strokeweight=".44pt" strokecolor="#000000">
            <v:path arrowok="t"/>
            <v:stroke dashstyle="solid"/>
            <w10:wrap type="topAndBottom"/>
          </v:shape>
        </w:pict>
      </w:r>
    </w:p>
    <w:p>
      <w:pPr>
        <w:spacing w:before="0"/>
        <w:ind w:left="600" w:right="0" w:firstLine="0"/>
        <w:jc w:val="left"/>
        <w:rPr>
          <w:sz w:val="22"/>
        </w:rPr>
      </w:pPr>
      <w:r>
        <w:rPr>
          <w:sz w:val="22"/>
        </w:rPr>
        <w:t>[HOMEOWNER]</w:t>
      </w:r>
    </w:p>
    <w:sectPr>
      <w:type w:val="continuous"/>
      <w:pgSz w:w="12240" w:h="15840"/>
      <w:pgMar w:top="1500" w:bottom="280" w:left="1200" w:right="1340"/>
      <w:cols w:num="2" w:equalWidth="0">
        <w:col w:w="3538" w:space="1142"/>
        <w:col w:w="502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60" w:hanging="360"/>
        <w:jc w:val="left"/>
      </w:pPr>
      <w:rPr>
        <w:rFonts w:hint="default"/>
        <w:w w:val="100"/>
      </w:rPr>
    </w:lvl>
    <w:lvl w:ilvl="1">
      <w:start w:val="0"/>
      <w:numFmt w:val="bullet"/>
      <w:lvlText w:val="•"/>
      <w:lvlJc w:val="left"/>
      <w:pPr>
        <w:ind w:left="1834" w:hanging="360"/>
      </w:pPr>
      <w:rPr>
        <w:rFonts w:hint="default"/>
      </w:rPr>
    </w:lvl>
    <w:lvl w:ilvl="2">
      <w:start w:val="0"/>
      <w:numFmt w:val="bullet"/>
      <w:lvlText w:val="•"/>
      <w:lvlJc w:val="left"/>
      <w:pPr>
        <w:ind w:left="2708" w:hanging="360"/>
      </w:pPr>
      <w:rPr>
        <w:rFonts w:hint="default"/>
      </w:rPr>
    </w:lvl>
    <w:lvl w:ilvl="3">
      <w:start w:val="0"/>
      <w:numFmt w:val="bullet"/>
      <w:lvlText w:val="•"/>
      <w:lvlJc w:val="left"/>
      <w:pPr>
        <w:ind w:left="3582" w:hanging="360"/>
      </w:pPr>
      <w:rPr>
        <w:rFonts w:hint="default"/>
      </w:rPr>
    </w:lvl>
    <w:lvl w:ilvl="4">
      <w:start w:val="0"/>
      <w:numFmt w:val="bullet"/>
      <w:lvlText w:val="•"/>
      <w:lvlJc w:val="left"/>
      <w:pPr>
        <w:ind w:left="4456" w:hanging="360"/>
      </w:pPr>
      <w:rPr>
        <w:rFonts w:hint="default"/>
      </w:rPr>
    </w:lvl>
    <w:lvl w:ilvl="5">
      <w:start w:val="0"/>
      <w:numFmt w:val="bullet"/>
      <w:lvlText w:val="•"/>
      <w:lvlJc w:val="left"/>
      <w:pPr>
        <w:ind w:left="5330" w:hanging="360"/>
      </w:pPr>
      <w:rPr>
        <w:rFonts w:hint="default"/>
      </w:rPr>
    </w:lvl>
    <w:lvl w:ilvl="6">
      <w:start w:val="0"/>
      <w:numFmt w:val="bullet"/>
      <w:lvlText w:val="•"/>
      <w:lvlJc w:val="left"/>
      <w:pPr>
        <w:ind w:left="6204" w:hanging="360"/>
      </w:pPr>
      <w:rPr>
        <w:rFonts w:hint="default"/>
      </w:rPr>
    </w:lvl>
    <w:lvl w:ilvl="7">
      <w:start w:val="0"/>
      <w:numFmt w:val="bullet"/>
      <w:lvlText w:val="•"/>
      <w:lvlJc w:val="left"/>
      <w:pPr>
        <w:ind w:left="7078" w:hanging="360"/>
      </w:pPr>
      <w:rPr>
        <w:rFonts w:hint="default"/>
      </w:rPr>
    </w:lvl>
    <w:lvl w:ilvl="8">
      <w:start w:val="0"/>
      <w:numFmt w:val="bullet"/>
      <w:lvlText w:val="•"/>
      <w:lvlJc w:val="left"/>
      <w:pPr>
        <w:ind w:left="7952"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Title" w:type="paragraph">
    <w:name w:val="Title"/>
    <w:basedOn w:val="Normal"/>
    <w:uiPriority w:val="1"/>
    <w:qFormat/>
    <w:pPr>
      <w:spacing w:before="90"/>
      <w:ind w:left="3583" w:right="3443"/>
      <w:jc w:val="center"/>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240" w:right="99" w:firstLine="360"/>
      <w:jc w:val="both"/>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