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73A9" w14:textId="77777777" w:rsidR="001C7106" w:rsidRDefault="001C7106">
      <w:pPr>
        <w:pStyle w:val="BodyText"/>
        <w:rPr>
          <w:sz w:val="20"/>
        </w:rPr>
      </w:pPr>
    </w:p>
    <w:p w14:paraId="7C55E877" w14:textId="77777777" w:rsidR="001C7106" w:rsidRDefault="001C7106">
      <w:pPr>
        <w:pStyle w:val="BodyText"/>
        <w:spacing w:before="8"/>
        <w:rPr>
          <w:sz w:val="18"/>
        </w:rPr>
      </w:pPr>
    </w:p>
    <w:p w14:paraId="06C427C7" w14:textId="11C97BAA" w:rsidR="001C7106" w:rsidRDefault="004A5BC7" w:rsidP="004A5BC7">
      <w:pPr>
        <w:spacing w:before="89"/>
        <w:ind w:left="2610" w:right="1710" w:hanging="630"/>
        <w:rPr>
          <w:b/>
          <w:sz w:val="28"/>
        </w:rPr>
      </w:pPr>
      <w:r>
        <w:rPr>
          <w:b/>
          <w:sz w:val="28"/>
        </w:rPr>
        <w:t>PAINTING SERVICE</w:t>
      </w:r>
      <w:r w:rsidR="00000000">
        <w:rPr>
          <w:b/>
          <w:sz w:val="28"/>
        </w:rPr>
        <w:t xml:space="preserve"> AGREEMENT WITH </w:t>
      </w:r>
      <w:r>
        <w:rPr>
          <w:b/>
          <w:sz w:val="28"/>
        </w:rPr>
        <w:t xml:space="preserve">  </w:t>
      </w:r>
      <w:r w:rsidR="00000000">
        <w:rPr>
          <w:b/>
          <w:sz w:val="28"/>
        </w:rPr>
        <w:t>INDEPENDENT CONTRACTOR</w:t>
      </w:r>
    </w:p>
    <w:p w14:paraId="2E36AB3A" w14:textId="77777777" w:rsidR="001C7106" w:rsidRDefault="001C7106">
      <w:pPr>
        <w:pStyle w:val="BodyText"/>
        <w:rPr>
          <w:b/>
          <w:sz w:val="20"/>
        </w:rPr>
      </w:pPr>
    </w:p>
    <w:p w14:paraId="025390D0" w14:textId="77777777" w:rsidR="001C7106" w:rsidRDefault="001C7106">
      <w:pPr>
        <w:pStyle w:val="BodyText"/>
        <w:spacing w:before="7"/>
        <w:rPr>
          <w:b/>
          <w:sz w:val="19"/>
        </w:rPr>
      </w:pPr>
    </w:p>
    <w:p w14:paraId="5AE72CA4" w14:textId="77777777" w:rsidR="001C7106" w:rsidRDefault="00000000">
      <w:pPr>
        <w:pStyle w:val="BodyText"/>
        <w:tabs>
          <w:tab w:val="left" w:pos="4255"/>
          <w:tab w:val="left" w:pos="5886"/>
        </w:tabs>
        <w:spacing w:before="90"/>
        <w:ind w:left="420" w:right="138" w:firstLine="360"/>
      </w:pPr>
      <w:r>
        <w:t>This Agreement is</w:t>
      </w:r>
      <w:r>
        <w:rPr>
          <w:spacing w:val="-3"/>
        </w:rPr>
        <w:t xml:space="preserve"> </w:t>
      </w:r>
      <w:r>
        <w:t>made this</w:t>
      </w:r>
      <w:r>
        <w:rPr>
          <w:u w:val="thick"/>
        </w:rPr>
        <w:t xml:space="preserve"> </w:t>
      </w:r>
      <w:r>
        <w:rPr>
          <w:u w:val="thick"/>
        </w:rPr>
        <w:tab/>
      </w:r>
      <w:r>
        <w:t>day</w:t>
      </w:r>
      <w:r>
        <w:rPr>
          <w:spacing w:val="-5"/>
        </w:rPr>
        <w:t xml:space="preserve"> </w:t>
      </w:r>
      <w:r>
        <w:t>of</w:t>
      </w:r>
      <w:r>
        <w:rPr>
          <w:u w:val="single"/>
        </w:rPr>
        <w:t xml:space="preserve"> </w:t>
      </w:r>
      <w:r>
        <w:rPr>
          <w:u w:val="single"/>
        </w:rPr>
        <w:tab/>
      </w:r>
      <w:r>
        <w:t xml:space="preserve">, 2018, by and between </w:t>
      </w:r>
      <w:r>
        <w:rPr>
          <w:spacing w:val="-3"/>
        </w:rPr>
        <w:t>S</w:t>
      </w:r>
      <w:r>
        <w:rPr>
          <w:b/>
          <w:i/>
          <w:spacing w:val="-3"/>
        </w:rPr>
        <w:t xml:space="preserve">PRINGVILLE </w:t>
      </w:r>
      <w:r>
        <w:rPr>
          <w:b/>
          <w:i/>
        </w:rPr>
        <w:t>CITY</w:t>
      </w:r>
      <w:r>
        <w:t>, 110 S Main, Springville, Utah (hereinafter referred to as the “City”),</w:t>
      </w:r>
      <w:r>
        <w:rPr>
          <w:spacing w:val="-4"/>
        </w:rPr>
        <w:t xml:space="preserve"> </w:t>
      </w:r>
      <w:r>
        <w:t>and</w:t>
      </w:r>
    </w:p>
    <w:p w14:paraId="71A86871" w14:textId="77777777" w:rsidR="001C7106" w:rsidRDefault="00000000">
      <w:pPr>
        <w:pStyle w:val="BodyText"/>
        <w:tabs>
          <w:tab w:val="left" w:pos="4140"/>
          <w:tab w:val="left" w:pos="7435"/>
        </w:tabs>
        <w:ind w:left="420" w:right="276"/>
      </w:pPr>
      <w:r>
        <w:rPr>
          <w:i/>
          <w:u w:val="single"/>
        </w:rPr>
        <w:t xml:space="preserve"> </w:t>
      </w:r>
      <w:r>
        <w:rPr>
          <w:i/>
          <w:u w:val="single"/>
        </w:rPr>
        <w:tab/>
      </w:r>
      <w:r>
        <w:rPr>
          <w:i/>
        </w:rPr>
        <w:t>,</w:t>
      </w:r>
      <w:r>
        <w:rPr>
          <w:i/>
          <w:u w:val="single"/>
        </w:rPr>
        <w:t xml:space="preserve"> </w:t>
      </w:r>
      <w:r>
        <w:rPr>
          <w:i/>
          <w:u w:val="single"/>
        </w:rPr>
        <w:tab/>
      </w:r>
      <w:r>
        <w:t>(hereinafter referred to as the</w:t>
      </w:r>
      <w:r>
        <w:rPr>
          <w:spacing w:val="-2"/>
        </w:rPr>
        <w:t xml:space="preserve"> </w:t>
      </w:r>
      <w:r>
        <w:t>“Contractor”).</w:t>
      </w:r>
    </w:p>
    <w:p w14:paraId="64BBB83A" w14:textId="77777777" w:rsidR="001C7106" w:rsidRDefault="001C7106">
      <w:pPr>
        <w:pStyle w:val="BodyText"/>
        <w:rPr>
          <w:sz w:val="26"/>
        </w:rPr>
      </w:pPr>
    </w:p>
    <w:p w14:paraId="1097689B" w14:textId="77777777" w:rsidR="001C7106" w:rsidRDefault="00000000">
      <w:pPr>
        <w:spacing w:before="212"/>
        <w:ind w:left="4376" w:right="4076"/>
        <w:jc w:val="center"/>
        <w:rPr>
          <w:b/>
          <w:sz w:val="24"/>
        </w:rPr>
      </w:pPr>
      <w:r>
        <w:rPr>
          <w:b/>
          <w:sz w:val="24"/>
        </w:rPr>
        <w:t>RECITALS</w:t>
      </w:r>
    </w:p>
    <w:p w14:paraId="1B94CC7D" w14:textId="77777777" w:rsidR="001C7106" w:rsidRDefault="001C7106">
      <w:pPr>
        <w:pStyle w:val="BodyText"/>
        <w:spacing w:before="7"/>
        <w:rPr>
          <w:b/>
          <w:sz w:val="23"/>
        </w:rPr>
      </w:pPr>
    </w:p>
    <w:p w14:paraId="3675AA82" w14:textId="77777777" w:rsidR="001C7106" w:rsidRDefault="00000000">
      <w:pPr>
        <w:pStyle w:val="ListParagraph"/>
        <w:numPr>
          <w:ilvl w:val="0"/>
          <w:numId w:val="2"/>
        </w:numPr>
        <w:tabs>
          <w:tab w:val="left" w:pos="1141"/>
        </w:tabs>
        <w:spacing w:line="242" w:lineRule="auto"/>
        <w:ind w:right="303" w:firstLine="360"/>
        <w:rPr>
          <w:b/>
          <w:i/>
          <w:sz w:val="24"/>
        </w:rPr>
      </w:pPr>
      <w:r>
        <w:rPr>
          <w:sz w:val="24"/>
        </w:rPr>
        <w:t xml:space="preserve">Contractor owns and operates a </w:t>
      </w:r>
      <w:r>
        <w:rPr>
          <w:b/>
          <w:i/>
          <w:sz w:val="24"/>
        </w:rPr>
        <w:t xml:space="preserve">Paint Striping </w:t>
      </w:r>
      <w:r>
        <w:rPr>
          <w:sz w:val="24"/>
        </w:rPr>
        <w:t xml:space="preserve">business at the address set forth above, and owner desires to have the following services performed within Springville City: </w:t>
      </w:r>
      <w:r>
        <w:rPr>
          <w:b/>
          <w:i/>
          <w:sz w:val="24"/>
        </w:rPr>
        <w:t>Centerline striping and bike path lines on specified roads within the</w:t>
      </w:r>
      <w:r>
        <w:rPr>
          <w:b/>
          <w:i/>
          <w:spacing w:val="-5"/>
          <w:sz w:val="24"/>
        </w:rPr>
        <w:t xml:space="preserve"> </w:t>
      </w:r>
      <w:r>
        <w:rPr>
          <w:b/>
          <w:i/>
          <w:sz w:val="24"/>
        </w:rPr>
        <w:t>City.</w:t>
      </w:r>
    </w:p>
    <w:p w14:paraId="5B1B018F" w14:textId="77777777" w:rsidR="001C7106" w:rsidRDefault="001C7106">
      <w:pPr>
        <w:pStyle w:val="BodyText"/>
        <w:spacing w:before="4"/>
        <w:rPr>
          <w:b/>
          <w:i/>
          <w:sz w:val="23"/>
        </w:rPr>
      </w:pPr>
    </w:p>
    <w:p w14:paraId="3617BDF7" w14:textId="77777777" w:rsidR="001C7106" w:rsidRDefault="00000000">
      <w:pPr>
        <w:pStyle w:val="ListParagraph"/>
        <w:numPr>
          <w:ilvl w:val="0"/>
          <w:numId w:val="2"/>
        </w:numPr>
        <w:tabs>
          <w:tab w:val="left" w:pos="1059"/>
        </w:tabs>
        <w:ind w:right="330" w:firstLine="360"/>
        <w:rPr>
          <w:sz w:val="24"/>
        </w:rPr>
      </w:pPr>
      <w:r>
        <w:rPr>
          <w:sz w:val="24"/>
        </w:rPr>
        <w:t>Contractor agrees to perform these services for owner under the terms and conditions</w:t>
      </w:r>
      <w:r>
        <w:rPr>
          <w:spacing w:val="-16"/>
          <w:sz w:val="24"/>
        </w:rPr>
        <w:t xml:space="preserve"> </w:t>
      </w:r>
      <w:r>
        <w:rPr>
          <w:sz w:val="24"/>
        </w:rPr>
        <w:t>set forth in this</w:t>
      </w:r>
      <w:r>
        <w:rPr>
          <w:spacing w:val="-1"/>
          <w:sz w:val="24"/>
        </w:rPr>
        <w:t xml:space="preserve"> </w:t>
      </w:r>
      <w:r>
        <w:rPr>
          <w:sz w:val="24"/>
        </w:rPr>
        <w:t>contract.</w:t>
      </w:r>
    </w:p>
    <w:p w14:paraId="47DF7F9A" w14:textId="77777777" w:rsidR="001C7106" w:rsidRDefault="001C7106">
      <w:pPr>
        <w:pStyle w:val="BodyText"/>
      </w:pPr>
    </w:p>
    <w:p w14:paraId="642F0CBC" w14:textId="77777777" w:rsidR="001C7106" w:rsidRDefault="00000000">
      <w:pPr>
        <w:pStyle w:val="BodyText"/>
        <w:ind w:left="420" w:right="341" w:firstLine="360"/>
      </w:pPr>
      <w:r>
        <w:t>NOW THEREFORE, in consideration of the mutual promises set forth in this contract, it is agreed by and between the City and Contractor:</w:t>
      </w:r>
    </w:p>
    <w:p w14:paraId="7C0887AC" w14:textId="77777777" w:rsidR="001C7106" w:rsidRDefault="001C7106">
      <w:pPr>
        <w:pStyle w:val="BodyText"/>
      </w:pPr>
    </w:p>
    <w:p w14:paraId="6E49C998" w14:textId="77777777" w:rsidR="001C7106" w:rsidRDefault="00000000">
      <w:pPr>
        <w:pStyle w:val="BodyText"/>
        <w:ind w:left="420" w:right="215"/>
      </w:pPr>
      <w:r>
        <w:rPr>
          <w:b/>
          <w:u w:val="thick"/>
        </w:rPr>
        <w:t>Description of Work</w:t>
      </w:r>
      <w:r>
        <w:t>: The work to be performed by Contractor includes all services generally performed by Contractor in Contractor’s usual line of business, including those specific services listed on Exhibit “A.”</w:t>
      </w:r>
    </w:p>
    <w:p w14:paraId="1FC7ACA7" w14:textId="77777777" w:rsidR="001C7106" w:rsidRDefault="001C7106">
      <w:pPr>
        <w:pStyle w:val="BodyText"/>
      </w:pPr>
    </w:p>
    <w:p w14:paraId="4A3753D1" w14:textId="77777777" w:rsidR="001C7106" w:rsidRDefault="00000000">
      <w:pPr>
        <w:pStyle w:val="BodyText"/>
        <w:tabs>
          <w:tab w:val="left" w:pos="7520"/>
        </w:tabs>
        <w:ind w:left="420" w:right="390"/>
      </w:pPr>
      <w:r>
        <w:rPr>
          <w:b/>
          <w:u w:val="thick"/>
        </w:rPr>
        <w:t>Payment</w:t>
      </w:r>
      <w:r>
        <w:t>:  Owner will pay contractor the total sum</w:t>
      </w:r>
      <w:r>
        <w:rPr>
          <w:spacing w:val="-9"/>
        </w:rPr>
        <w:t xml:space="preserve"> </w:t>
      </w:r>
      <w:r>
        <w:t>of</w:t>
      </w:r>
      <w:r>
        <w:rPr>
          <w:spacing w:val="1"/>
        </w:rPr>
        <w:t xml:space="preserve"> </w:t>
      </w:r>
      <w:r>
        <w:rPr>
          <w:b/>
          <w:i/>
        </w:rPr>
        <w:t>$</w:t>
      </w:r>
      <w:r>
        <w:rPr>
          <w:b/>
          <w:i/>
          <w:u w:val="thick"/>
        </w:rPr>
        <w:t xml:space="preserve"> </w:t>
      </w:r>
      <w:r>
        <w:rPr>
          <w:b/>
          <w:i/>
          <w:u w:val="thick"/>
        </w:rPr>
        <w:tab/>
      </w:r>
      <w:r>
        <w:t>for the work to be performed under this contract. The unit cost amounts that make up the total sum is attached</w:t>
      </w:r>
      <w:r>
        <w:rPr>
          <w:spacing w:val="-14"/>
        </w:rPr>
        <w:t xml:space="preserve"> </w:t>
      </w:r>
      <w:r>
        <w:t>as Exhibit “B”. Payments will be made within 30 days of receipt of</w:t>
      </w:r>
      <w:r>
        <w:rPr>
          <w:spacing w:val="-6"/>
        </w:rPr>
        <w:t xml:space="preserve"> </w:t>
      </w:r>
      <w:r>
        <w:t>invoice.</w:t>
      </w:r>
    </w:p>
    <w:p w14:paraId="479747E6" w14:textId="77777777" w:rsidR="001C7106" w:rsidRDefault="001C7106">
      <w:pPr>
        <w:pStyle w:val="BodyText"/>
      </w:pPr>
    </w:p>
    <w:p w14:paraId="11AE2DA1" w14:textId="77777777" w:rsidR="001C7106" w:rsidRDefault="00000000">
      <w:pPr>
        <w:pStyle w:val="BodyText"/>
        <w:spacing w:before="1"/>
        <w:ind w:left="420" w:right="138"/>
      </w:pPr>
      <w:r>
        <w:rPr>
          <w:b/>
          <w:u w:val="thick"/>
        </w:rPr>
        <w:t>Term of the Contract:</w:t>
      </w:r>
      <w:r>
        <w:rPr>
          <w:b/>
        </w:rPr>
        <w:t xml:space="preserve"> </w:t>
      </w:r>
      <w:r>
        <w:t>The Contract shall run for a term of three consecutive years. Each year the outlined streets shall be painted before September 15</w:t>
      </w:r>
      <w:r>
        <w:rPr>
          <w:vertAlign w:val="superscript"/>
        </w:rPr>
        <w:t>th</w:t>
      </w:r>
      <w:r>
        <w:t>. In the event the parties mutually decide to extend this Agreement beyond the term outlined in this Agreement, the parties shall negotiate new terms, conditions and provisions to this Agreement. This is a multi-year contract beginning July 1, 2018 and ending on September 15, 2020.</w:t>
      </w:r>
    </w:p>
    <w:p w14:paraId="6219429E" w14:textId="77777777" w:rsidR="001C7106" w:rsidRDefault="001C7106">
      <w:pPr>
        <w:pStyle w:val="BodyText"/>
      </w:pPr>
    </w:p>
    <w:p w14:paraId="7E1D8C06" w14:textId="77777777" w:rsidR="001C7106" w:rsidRDefault="00000000">
      <w:pPr>
        <w:pStyle w:val="BodyText"/>
        <w:ind w:left="420" w:right="329"/>
      </w:pPr>
      <w:r>
        <w:rPr>
          <w:b/>
          <w:u w:val="thick"/>
        </w:rPr>
        <w:t>Default:</w:t>
      </w:r>
      <w:r>
        <w:rPr>
          <w:b/>
        </w:rPr>
        <w:t xml:space="preserve"> </w:t>
      </w:r>
      <w:r>
        <w:t>A default hereunder shall occur if either party shall default in the performance or observation of any covenant or condition of this Agreement to be performed or observed, or by breach of any duty set forth in Exhibit A hereto. If Contractor fails to complete its assigned duties as set forth herein, Contractor shall be in default.</w:t>
      </w:r>
    </w:p>
    <w:p w14:paraId="4E91C035" w14:textId="77777777" w:rsidR="001C7106" w:rsidRDefault="001C7106">
      <w:pPr>
        <w:pStyle w:val="BodyText"/>
      </w:pPr>
    </w:p>
    <w:p w14:paraId="48879F2C" w14:textId="77777777" w:rsidR="001C7106" w:rsidRDefault="00000000">
      <w:pPr>
        <w:pStyle w:val="BodyText"/>
        <w:ind w:left="420" w:right="206"/>
      </w:pPr>
      <w:r>
        <w:rPr>
          <w:b/>
          <w:u w:val="thick"/>
        </w:rPr>
        <w:t>Remedies:</w:t>
      </w:r>
      <w:r>
        <w:rPr>
          <w:b/>
        </w:rPr>
        <w:t xml:space="preserve"> </w:t>
      </w:r>
      <w:r>
        <w:t>In the event of any breach or default of this Agreement by either party hereto, as defined in the section entitled “Default,” then this Agreement may be declared terminated by the non-breaching party. This Agreement and the terms and conditions shall then expire upon receipt of the notice of termination by the breaching party. The rights and remedies afforded to the non-breaching party in the foregoing sentence shall not be exclusive, but shall be in</w:t>
      </w:r>
      <w:r>
        <w:rPr>
          <w:spacing w:val="-12"/>
        </w:rPr>
        <w:t xml:space="preserve"> </w:t>
      </w:r>
      <w:r>
        <w:t>addition</w:t>
      </w:r>
    </w:p>
    <w:p w14:paraId="15F246BC" w14:textId="77777777" w:rsidR="001C7106" w:rsidRDefault="001C7106">
      <w:pPr>
        <w:sectPr w:rsidR="001C7106">
          <w:type w:val="continuous"/>
          <w:pgSz w:w="12240" w:h="15840"/>
          <w:pgMar w:top="760" w:right="1320" w:bottom="280" w:left="1020" w:header="720" w:footer="720" w:gutter="0"/>
          <w:cols w:space="720"/>
        </w:sectPr>
      </w:pPr>
    </w:p>
    <w:p w14:paraId="0A90556B" w14:textId="77777777" w:rsidR="001C7106" w:rsidRDefault="00000000">
      <w:pPr>
        <w:pStyle w:val="BodyText"/>
        <w:spacing w:before="68"/>
        <w:ind w:left="420" w:right="138"/>
      </w:pPr>
      <w:r>
        <w:lastRenderedPageBreak/>
        <w:t>to all other legal rights and remedies. The exercise of any right or remedy by the non-breaching party shall not be to the exclusion of any other right or remedy.</w:t>
      </w:r>
    </w:p>
    <w:p w14:paraId="5E29A969" w14:textId="77777777" w:rsidR="001C7106" w:rsidRDefault="001C7106">
      <w:pPr>
        <w:pStyle w:val="BodyText"/>
      </w:pPr>
    </w:p>
    <w:p w14:paraId="7F54FC2E" w14:textId="77777777" w:rsidR="001C7106" w:rsidRDefault="00000000">
      <w:pPr>
        <w:pStyle w:val="BodyText"/>
        <w:ind w:left="420"/>
      </w:pPr>
      <w:r>
        <w:rPr>
          <w:b/>
          <w:u w:val="thick"/>
        </w:rPr>
        <w:t>Termination</w:t>
      </w:r>
      <w:r>
        <w:rPr>
          <w:u w:val="thick"/>
        </w:rPr>
        <w:t>:</w:t>
      </w:r>
      <w:r>
        <w:t xml:space="preserve"> This Agreement may be terminated at any time and for any reason or no reason by the City by the City giving a 30 days prior written notice of termination.</w:t>
      </w:r>
    </w:p>
    <w:p w14:paraId="7A5B6525" w14:textId="77777777" w:rsidR="001C7106" w:rsidRDefault="001C7106">
      <w:pPr>
        <w:pStyle w:val="BodyText"/>
      </w:pPr>
    </w:p>
    <w:p w14:paraId="1F444723" w14:textId="77777777" w:rsidR="001C7106" w:rsidRDefault="00000000">
      <w:pPr>
        <w:pStyle w:val="BodyText"/>
        <w:ind w:left="420" w:right="215"/>
      </w:pPr>
      <w:r>
        <w:rPr>
          <w:b/>
          <w:u w:val="thick"/>
        </w:rPr>
        <w:t>Independent Contractor:</w:t>
      </w:r>
      <w:r>
        <w:rPr>
          <w:b/>
        </w:rPr>
        <w:t xml:space="preserve"> </w:t>
      </w:r>
      <w:r>
        <w:t>Contractor’s relationship with City under this Agreement shall be that of an independent contractor. Contractor certifies that he has done work for others in a similar capacity. All training of Contractor’s employees, if any, shall be done by Contractor and not by the City. Contractor is exercising its own discretion in the method and manner of performing its duties, and the City will not exercise control over contractor or its employees.</w:t>
      </w:r>
    </w:p>
    <w:p w14:paraId="1969C596" w14:textId="77777777" w:rsidR="001C7106" w:rsidRDefault="001C7106">
      <w:pPr>
        <w:pStyle w:val="BodyText"/>
      </w:pPr>
    </w:p>
    <w:p w14:paraId="09CDC3FE" w14:textId="77777777" w:rsidR="001C7106" w:rsidRDefault="00000000">
      <w:pPr>
        <w:pStyle w:val="BodyText"/>
        <w:ind w:left="420" w:right="138"/>
      </w:pPr>
      <w:r>
        <w:rPr>
          <w:b/>
          <w:u w:val="thick"/>
        </w:rPr>
        <w:t>Taxes and Laws:</w:t>
      </w:r>
      <w:r>
        <w:rPr>
          <w:b/>
        </w:rPr>
        <w:t xml:space="preserve"> </w:t>
      </w:r>
      <w:r>
        <w:t>Contractor acknowledges that, as an independent contractor, Contractor is responsible for paying all state and local taxes. Contractor is responsible for workman’s compensation and other insurance required by law. Contractor certifies that Contractor has complied with all Federal, State and Local laws regarding business licenses, permits and certificates.</w:t>
      </w:r>
    </w:p>
    <w:p w14:paraId="35E4991A" w14:textId="77777777" w:rsidR="001C7106" w:rsidRDefault="001C7106">
      <w:pPr>
        <w:pStyle w:val="BodyText"/>
        <w:spacing w:before="1"/>
      </w:pPr>
    </w:p>
    <w:p w14:paraId="1DD24C45" w14:textId="77777777" w:rsidR="001C7106" w:rsidRDefault="00000000">
      <w:pPr>
        <w:tabs>
          <w:tab w:val="left" w:pos="3480"/>
        </w:tabs>
        <w:ind w:left="420"/>
        <w:rPr>
          <w:sz w:val="24"/>
        </w:rPr>
      </w:pPr>
      <w:r>
        <w:rPr>
          <w:b/>
          <w:sz w:val="24"/>
          <w:u w:val="thick"/>
        </w:rPr>
        <w:t>Time is of</w:t>
      </w:r>
      <w:r>
        <w:rPr>
          <w:b/>
          <w:spacing w:val="-2"/>
          <w:sz w:val="24"/>
          <w:u w:val="thick"/>
        </w:rPr>
        <w:t xml:space="preserve"> </w:t>
      </w:r>
      <w:r>
        <w:rPr>
          <w:b/>
          <w:sz w:val="24"/>
          <w:u w:val="thick"/>
        </w:rPr>
        <w:t>the</w:t>
      </w:r>
      <w:r>
        <w:rPr>
          <w:b/>
          <w:spacing w:val="-2"/>
          <w:sz w:val="24"/>
          <w:u w:val="thick"/>
        </w:rPr>
        <w:t xml:space="preserve"> </w:t>
      </w:r>
      <w:r>
        <w:rPr>
          <w:b/>
          <w:sz w:val="24"/>
          <w:u w:val="thick"/>
        </w:rPr>
        <w:t>Essence:</w:t>
      </w:r>
      <w:r>
        <w:rPr>
          <w:b/>
          <w:sz w:val="24"/>
        </w:rPr>
        <w:tab/>
      </w:r>
      <w:r>
        <w:rPr>
          <w:sz w:val="24"/>
        </w:rPr>
        <w:t>Both parties acknowledge that time is of the</w:t>
      </w:r>
      <w:r>
        <w:rPr>
          <w:spacing w:val="-4"/>
          <w:sz w:val="24"/>
        </w:rPr>
        <w:t xml:space="preserve"> </w:t>
      </w:r>
      <w:r>
        <w:rPr>
          <w:sz w:val="24"/>
        </w:rPr>
        <w:t>essence.</w:t>
      </w:r>
    </w:p>
    <w:p w14:paraId="27C4B408" w14:textId="77777777" w:rsidR="001C7106" w:rsidRDefault="001C7106">
      <w:pPr>
        <w:pStyle w:val="BodyText"/>
        <w:spacing w:before="2"/>
        <w:rPr>
          <w:sz w:val="16"/>
        </w:rPr>
      </w:pPr>
    </w:p>
    <w:p w14:paraId="403B5CE4" w14:textId="77777777" w:rsidR="001C7106" w:rsidRDefault="00000000">
      <w:pPr>
        <w:pStyle w:val="BodyText"/>
        <w:spacing w:before="90"/>
        <w:ind w:left="420" w:right="908"/>
      </w:pPr>
      <w:r>
        <w:rPr>
          <w:b/>
          <w:u w:val="thick"/>
        </w:rPr>
        <w:t>Liability</w:t>
      </w:r>
      <w:r>
        <w:t>: The work to be performed under this contract will be performed entirely at Contractor’s risk, and Contractor assumes all responsibility for the condition of tools and equipment used in the performance of this contract.</w:t>
      </w:r>
    </w:p>
    <w:p w14:paraId="40676355" w14:textId="77777777" w:rsidR="001C7106" w:rsidRDefault="001C7106">
      <w:pPr>
        <w:pStyle w:val="BodyText"/>
      </w:pPr>
    </w:p>
    <w:p w14:paraId="595A78D0" w14:textId="77777777" w:rsidR="001C7106" w:rsidRDefault="00000000">
      <w:pPr>
        <w:pStyle w:val="BodyText"/>
        <w:ind w:left="420" w:right="341"/>
      </w:pPr>
      <w:r>
        <w:rPr>
          <w:b/>
          <w:u w:val="thick"/>
        </w:rPr>
        <w:t>Bond</w:t>
      </w:r>
      <w:r>
        <w:t>: Contractor acknowledges and agrees that a bond is required for the Project. Contractor will furnish to Owner a Performance Bond in an amount that equals five percent (5%) of the payment by Owner to Contractor for the repairs of the improvements.</w:t>
      </w:r>
    </w:p>
    <w:p w14:paraId="7ED9A198" w14:textId="77777777" w:rsidR="001C7106" w:rsidRDefault="001C7106">
      <w:pPr>
        <w:pStyle w:val="BodyText"/>
      </w:pPr>
    </w:p>
    <w:p w14:paraId="7E1942D8" w14:textId="77777777" w:rsidR="001C7106" w:rsidRDefault="00000000">
      <w:pPr>
        <w:pStyle w:val="BodyText"/>
        <w:spacing w:before="1"/>
        <w:ind w:left="420" w:right="138"/>
      </w:pPr>
      <w:r>
        <w:rPr>
          <w:b/>
          <w:u w:val="thick"/>
        </w:rPr>
        <w:t>Insurance</w:t>
      </w:r>
      <w:r>
        <w:t>: Contractor agrees to obtain and maintain general public liability insurance and property damage insurance with the Owner named as an additional insured, at the rate of One Million Dollars ($1,000,000) for each occurrence and Three Million Dollars ($3,000,000) aggregate throughout the construction period.</w:t>
      </w:r>
    </w:p>
    <w:p w14:paraId="2A2657C6" w14:textId="77777777" w:rsidR="001C7106" w:rsidRDefault="001C7106">
      <w:pPr>
        <w:pStyle w:val="BodyText"/>
      </w:pPr>
    </w:p>
    <w:p w14:paraId="1C0211C9" w14:textId="77777777" w:rsidR="001C7106" w:rsidRDefault="00000000">
      <w:pPr>
        <w:pStyle w:val="BodyText"/>
        <w:ind w:left="420" w:right="138"/>
      </w:pPr>
      <w:r>
        <w:rPr>
          <w:b/>
          <w:u w:val="thick"/>
        </w:rPr>
        <w:t>Warranty:</w:t>
      </w:r>
      <w:r>
        <w:rPr>
          <w:b/>
        </w:rPr>
        <w:t xml:space="preserve"> </w:t>
      </w:r>
      <w:r>
        <w:t>The Contractor agrees to warrant and assume responsibility for all products it uses and services it provides to the City under this contract for a period of one year.</w:t>
      </w:r>
    </w:p>
    <w:p w14:paraId="1671111B" w14:textId="77777777" w:rsidR="001C7106" w:rsidRDefault="001C7106">
      <w:pPr>
        <w:pStyle w:val="BodyText"/>
      </w:pPr>
    </w:p>
    <w:p w14:paraId="0AA9FE6C" w14:textId="77777777" w:rsidR="001C7106" w:rsidRDefault="00000000">
      <w:pPr>
        <w:pStyle w:val="BodyText"/>
        <w:ind w:left="420" w:right="178"/>
      </w:pPr>
      <w:r>
        <w:rPr>
          <w:b/>
          <w:u w:val="thick"/>
        </w:rPr>
        <w:t>Indemnity:</w:t>
      </w:r>
      <w:r>
        <w:rPr>
          <w:b/>
        </w:rPr>
        <w:t xml:space="preserve"> </w:t>
      </w:r>
      <w:r>
        <w:t>Contractor and its successor and assigns hereby agrees to indemnify, defend (with counsel acceptable to the City) and hold the City, its elected officials, officers, employees and volunteers harmless from any and all liens, encumbrances, costs, demands, claims, judgments, injuries, employee claims and/or damage caused or arising out of (a) the acts and omissions of Contractor and its agents, servants, employees, and/or contractors and (b) any work performed by the Contractor, its agents, servants, employees, consultants and/or contractors. The terms and conditions of this provision shall remain effective after the expiration or termination of this Agreement, so long as the event for which the indemnification is needed occurred prior to such expiration or termination.</w:t>
      </w:r>
    </w:p>
    <w:p w14:paraId="36921EE5" w14:textId="77777777" w:rsidR="001C7106" w:rsidRDefault="001C7106">
      <w:pPr>
        <w:pStyle w:val="BodyText"/>
      </w:pPr>
    </w:p>
    <w:p w14:paraId="1EB810BC" w14:textId="77777777" w:rsidR="001C7106" w:rsidRDefault="00000000">
      <w:pPr>
        <w:pStyle w:val="BodyText"/>
        <w:tabs>
          <w:tab w:val="left" w:pos="2006"/>
        </w:tabs>
        <w:spacing w:before="1"/>
        <w:ind w:left="420" w:right="138"/>
      </w:pPr>
      <w:r>
        <w:rPr>
          <w:b/>
          <w:u w:val="thick"/>
        </w:rPr>
        <w:t>Other</w:t>
      </w:r>
      <w:r>
        <w:rPr>
          <w:b/>
          <w:spacing w:val="58"/>
          <w:u w:val="thick"/>
        </w:rPr>
        <w:t xml:space="preserve"> </w:t>
      </w:r>
      <w:r>
        <w:rPr>
          <w:b/>
          <w:u w:val="thick"/>
        </w:rPr>
        <w:t>Laws</w:t>
      </w:r>
      <w:r>
        <w:t>:</w:t>
      </w:r>
      <w:r>
        <w:tab/>
        <w:t>Contractor may be responsible to fulfill other federal, state and local laws, including,</w:t>
      </w:r>
      <w:r>
        <w:rPr>
          <w:spacing w:val="12"/>
        </w:rPr>
        <w:t xml:space="preserve"> </w:t>
      </w:r>
      <w:r>
        <w:t>but</w:t>
      </w:r>
      <w:r>
        <w:rPr>
          <w:spacing w:val="12"/>
        </w:rPr>
        <w:t xml:space="preserve"> </w:t>
      </w:r>
      <w:r>
        <w:t>not</w:t>
      </w:r>
      <w:r>
        <w:rPr>
          <w:spacing w:val="13"/>
        </w:rPr>
        <w:t xml:space="preserve"> </w:t>
      </w:r>
      <w:r>
        <w:t>limited</w:t>
      </w:r>
      <w:r>
        <w:rPr>
          <w:spacing w:val="12"/>
        </w:rPr>
        <w:t xml:space="preserve"> </w:t>
      </w:r>
      <w:r>
        <w:t>to</w:t>
      </w:r>
      <w:r>
        <w:rPr>
          <w:spacing w:val="13"/>
        </w:rPr>
        <w:t xml:space="preserve"> </w:t>
      </w:r>
      <w:r>
        <w:t>Workers</w:t>
      </w:r>
      <w:r>
        <w:rPr>
          <w:spacing w:val="11"/>
        </w:rPr>
        <w:t xml:space="preserve"> </w:t>
      </w:r>
      <w:r>
        <w:t>Compensation</w:t>
      </w:r>
      <w:r>
        <w:rPr>
          <w:spacing w:val="13"/>
        </w:rPr>
        <w:t xml:space="preserve"> </w:t>
      </w:r>
      <w:r>
        <w:t>and</w:t>
      </w:r>
      <w:r>
        <w:rPr>
          <w:spacing w:val="12"/>
        </w:rPr>
        <w:t xml:space="preserve"> </w:t>
      </w:r>
      <w:r>
        <w:t>Occupational</w:t>
      </w:r>
      <w:r>
        <w:rPr>
          <w:spacing w:val="13"/>
        </w:rPr>
        <w:t xml:space="preserve"> </w:t>
      </w:r>
      <w:r>
        <w:t>Safety</w:t>
      </w:r>
      <w:r>
        <w:rPr>
          <w:spacing w:val="7"/>
        </w:rPr>
        <w:t xml:space="preserve"> </w:t>
      </w:r>
      <w:r>
        <w:t>and</w:t>
      </w:r>
      <w:r>
        <w:rPr>
          <w:spacing w:val="15"/>
        </w:rPr>
        <w:t xml:space="preserve"> </w:t>
      </w:r>
      <w:r>
        <w:t>Health</w:t>
      </w:r>
    </w:p>
    <w:p w14:paraId="1666B219" w14:textId="77777777" w:rsidR="001C7106" w:rsidRDefault="001C7106">
      <w:pPr>
        <w:sectPr w:rsidR="001C7106">
          <w:pgSz w:w="12240" w:h="15840"/>
          <w:pgMar w:top="1220" w:right="1320" w:bottom="280" w:left="1020" w:header="720" w:footer="720" w:gutter="0"/>
          <w:cols w:space="720"/>
        </w:sectPr>
      </w:pPr>
    </w:p>
    <w:p w14:paraId="7CCB2C97" w14:textId="77777777" w:rsidR="001C7106" w:rsidRDefault="00000000">
      <w:pPr>
        <w:pStyle w:val="BodyText"/>
        <w:spacing w:before="68"/>
        <w:ind w:left="420" w:right="121"/>
        <w:jc w:val="both"/>
      </w:pPr>
      <w:r>
        <w:lastRenderedPageBreak/>
        <w:t>Administration regulations. Contractor agrees to comply with all laws during construction of the improvements under this contract.</w:t>
      </w:r>
    </w:p>
    <w:p w14:paraId="197A8FF3" w14:textId="77777777" w:rsidR="001C7106" w:rsidRDefault="001C7106">
      <w:pPr>
        <w:pStyle w:val="BodyText"/>
      </w:pPr>
    </w:p>
    <w:p w14:paraId="0DF110C2" w14:textId="77777777" w:rsidR="001C7106" w:rsidRDefault="00000000">
      <w:pPr>
        <w:pStyle w:val="BodyText"/>
        <w:ind w:left="420" w:right="118"/>
        <w:jc w:val="both"/>
      </w:pPr>
      <w:r>
        <w:rPr>
          <w:b/>
          <w:u w:val="thick"/>
        </w:rPr>
        <w:t>Assignment</w:t>
      </w:r>
      <w:r>
        <w:t xml:space="preserve">: Neither this Agreement nor any of the provisions, terms or conditions hereof can be assigned to any other party, individual or entity without assigning the rights as </w:t>
      </w:r>
      <w:r>
        <w:rPr>
          <w:spacing w:val="2"/>
        </w:rPr>
        <w:t xml:space="preserve">well </w:t>
      </w:r>
      <w:r>
        <w:t>as the responsibilities under this Agreement and without the prior written consent of Owner, which shall not be unreasonably</w:t>
      </w:r>
      <w:r>
        <w:rPr>
          <w:spacing w:val="-4"/>
        </w:rPr>
        <w:t xml:space="preserve"> </w:t>
      </w:r>
      <w:r>
        <w:t>withheld.</w:t>
      </w:r>
    </w:p>
    <w:p w14:paraId="741C8DC8" w14:textId="77777777" w:rsidR="001C7106" w:rsidRDefault="001C7106">
      <w:pPr>
        <w:pStyle w:val="BodyText"/>
      </w:pPr>
    </w:p>
    <w:p w14:paraId="0678316A" w14:textId="77777777" w:rsidR="001C7106" w:rsidRDefault="00000000">
      <w:pPr>
        <w:pStyle w:val="BodyText"/>
        <w:ind w:left="420" w:right="138"/>
      </w:pPr>
      <w:r>
        <w:rPr>
          <w:spacing w:val="-60"/>
          <w:u w:val="thick"/>
        </w:rPr>
        <w:t xml:space="preserve"> </w:t>
      </w:r>
      <w:r>
        <w:rPr>
          <w:b/>
          <w:u w:val="thick"/>
        </w:rPr>
        <w:t>Attorney’s Fees</w:t>
      </w:r>
      <w:r>
        <w:rPr>
          <w:b/>
        </w:rPr>
        <w:t xml:space="preserve">: </w:t>
      </w:r>
      <w:r>
        <w:t>If any party is required to retain legal counsel in order to enforce this Agreement, with or without the commencement of a formal legal action, such party shall be entitled to recover its attorney’s fees and costs from the breaching party or parties. In addition, City shall be entitled to attorney’s fees and costs for all expenses arising out of a default by the Contractor.</w:t>
      </w:r>
    </w:p>
    <w:p w14:paraId="4C0C5772" w14:textId="77777777" w:rsidR="001C7106" w:rsidRDefault="001C7106">
      <w:pPr>
        <w:pStyle w:val="BodyText"/>
        <w:spacing w:before="1"/>
      </w:pPr>
    </w:p>
    <w:p w14:paraId="10838323" w14:textId="77777777" w:rsidR="001C7106" w:rsidRDefault="00000000">
      <w:pPr>
        <w:pStyle w:val="BodyText"/>
        <w:ind w:left="420" w:right="243"/>
      </w:pPr>
      <w:r>
        <w:rPr>
          <w:b/>
          <w:u w:val="thick"/>
        </w:rPr>
        <w:t>Change Orders</w:t>
      </w:r>
      <w:r>
        <w:rPr>
          <w:b/>
        </w:rPr>
        <w:t xml:space="preserve">: </w:t>
      </w:r>
      <w:r>
        <w:t>The parties may agree to change the scope of the work contained in the Project. Change Orders must be in writing and signed by both parties. Change Orders must contain the change agreed upon and a specific cost or credit associated with the change in work.</w:t>
      </w:r>
    </w:p>
    <w:p w14:paraId="204A9D93" w14:textId="77777777" w:rsidR="001C7106" w:rsidRDefault="001C7106">
      <w:pPr>
        <w:pStyle w:val="BodyText"/>
        <w:spacing w:before="5"/>
      </w:pPr>
    </w:p>
    <w:p w14:paraId="698BCB4B" w14:textId="77777777" w:rsidR="001C7106" w:rsidRDefault="00000000">
      <w:pPr>
        <w:pStyle w:val="BodyText"/>
        <w:ind w:left="420" w:right="115"/>
        <w:jc w:val="both"/>
      </w:pPr>
      <w:r>
        <w:rPr>
          <w:b/>
          <w:u w:val="thick"/>
        </w:rPr>
        <w:t>Non-appropriation of Funds</w:t>
      </w:r>
      <w:r>
        <w:rPr>
          <w:b/>
        </w:rPr>
        <w:t xml:space="preserve">: </w:t>
      </w:r>
      <w:r>
        <w:t>The Contractor acknowledges that the City cannot contract for the payment of funds not yet appropriated by the Springville City Council. If funding to the City is reduced due to an order by the City Council, or the Mayor or designee, or is required by State law, or if federal funding (when applicable) is not provided, the City may terminate this contract or proportionately reduce the services and purchase obligations from the City upon 30 days written notice. In the case that funds are not appropriated or are reduced, the City will reimburse Contractor for products delivered or services performed through the date of cancellation or reduction, and the City will not be liable for any future commitments, penalties, or liquidated damages.</w:t>
      </w:r>
    </w:p>
    <w:p w14:paraId="3302F39C" w14:textId="77777777" w:rsidR="001C7106" w:rsidRDefault="001C7106">
      <w:pPr>
        <w:pStyle w:val="BodyText"/>
        <w:spacing w:before="3"/>
      </w:pPr>
    </w:p>
    <w:p w14:paraId="134868B6" w14:textId="77777777" w:rsidR="001C7106" w:rsidRDefault="00000000">
      <w:pPr>
        <w:pStyle w:val="BodyText"/>
        <w:ind w:left="420" w:right="123"/>
        <w:jc w:val="both"/>
      </w:pPr>
      <w:r>
        <w:rPr>
          <w:b/>
          <w:u w:val="thick"/>
        </w:rPr>
        <w:t>Quantity Estimates</w:t>
      </w:r>
      <w:r>
        <w:rPr>
          <w:b/>
        </w:rPr>
        <w:t xml:space="preserve">: </w:t>
      </w:r>
      <w:r>
        <w:t>The City does not guarantee to purchase any amount under the contract to be awarded. Estimated quantities are for proposing purposes only and are not to be construed as a guarantee to purchase any amount. The City may make an award for all or some of the items set forth in the RFP and reserves the right to reject any or all</w:t>
      </w:r>
      <w:r>
        <w:rPr>
          <w:spacing w:val="-6"/>
        </w:rPr>
        <w:t xml:space="preserve"> </w:t>
      </w:r>
      <w:r>
        <w:t>proposals.</w:t>
      </w:r>
    </w:p>
    <w:p w14:paraId="5BE5DB11" w14:textId="77777777" w:rsidR="001C7106" w:rsidRDefault="001C7106">
      <w:pPr>
        <w:pStyle w:val="BodyText"/>
        <w:spacing w:before="5"/>
      </w:pPr>
    </w:p>
    <w:p w14:paraId="1C1209EC" w14:textId="77777777" w:rsidR="001C7106" w:rsidRDefault="00000000">
      <w:pPr>
        <w:pStyle w:val="BodyText"/>
        <w:ind w:left="420" w:right="138"/>
      </w:pPr>
      <w:r>
        <w:rPr>
          <w:b/>
          <w:u w:val="thick"/>
        </w:rPr>
        <w:t>Binding Effect</w:t>
      </w:r>
      <w:r>
        <w:t>: This Agreement shall be binding on the parties and their respective heirs successors and assigns.</w:t>
      </w:r>
    </w:p>
    <w:p w14:paraId="7B13680A" w14:textId="77777777" w:rsidR="001C7106" w:rsidRDefault="001C7106">
      <w:pPr>
        <w:pStyle w:val="BodyText"/>
      </w:pPr>
    </w:p>
    <w:p w14:paraId="328B4883" w14:textId="77777777" w:rsidR="001C7106" w:rsidRDefault="00000000">
      <w:pPr>
        <w:pStyle w:val="BodyText"/>
        <w:ind w:left="420"/>
      </w:pPr>
      <w:r>
        <w:rPr>
          <w:b/>
          <w:u w:val="thick"/>
        </w:rPr>
        <w:t>Governing Law</w:t>
      </w:r>
      <w:r>
        <w:t>: This Agreement shall be governed by the laws of the State of Utah.</w:t>
      </w:r>
    </w:p>
    <w:p w14:paraId="24698D41" w14:textId="77777777" w:rsidR="001C7106" w:rsidRDefault="001C7106">
      <w:pPr>
        <w:pStyle w:val="BodyText"/>
        <w:spacing w:before="2"/>
        <w:rPr>
          <w:sz w:val="16"/>
        </w:rPr>
      </w:pPr>
    </w:p>
    <w:p w14:paraId="005CAAEB" w14:textId="77777777" w:rsidR="001C7106" w:rsidRDefault="00000000">
      <w:pPr>
        <w:pStyle w:val="BodyText"/>
        <w:spacing w:before="90"/>
        <w:ind w:left="420" w:right="138"/>
      </w:pPr>
      <w:r>
        <w:rPr>
          <w:b/>
          <w:u w:val="thick"/>
        </w:rPr>
        <w:t>Modifications</w:t>
      </w:r>
      <w:r>
        <w:t>: This Agreement shall not be amended or modified except by written document signed by the party to be charged with such amendment or modification.</w:t>
      </w:r>
    </w:p>
    <w:p w14:paraId="7E15A49A" w14:textId="77777777" w:rsidR="001C7106" w:rsidRDefault="001C7106">
      <w:pPr>
        <w:pStyle w:val="BodyText"/>
      </w:pPr>
    </w:p>
    <w:p w14:paraId="1F58A0BC" w14:textId="77777777" w:rsidR="001C7106" w:rsidRDefault="00000000">
      <w:pPr>
        <w:pStyle w:val="BodyText"/>
        <w:spacing w:before="1"/>
        <w:ind w:left="420" w:right="138"/>
      </w:pPr>
      <w:r>
        <w:rPr>
          <w:b/>
          <w:u w:val="thick"/>
        </w:rPr>
        <w:t>Notices</w:t>
      </w:r>
      <w:r>
        <w:t>: Any notice, demand, request, consent, approval or other communication (collectively, the “Notices”) required or permitted to be given by any provision of this agreement shall be in writing and sent by hand-delivery, by special courier (for example Federal Express), by United States Certified Mail (return receipt requested, postage prepaid), or by telefax, addressed to the party to be so notified. Notice pursuant to this Agreement shall be deemed given pursuant to the following rules: if hand delivered, at the time of delivery; if sent by special courier, on the third</w:t>
      </w:r>
    </w:p>
    <w:p w14:paraId="261B06AB" w14:textId="77777777" w:rsidR="001C7106" w:rsidRDefault="001C7106">
      <w:pPr>
        <w:sectPr w:rsidR="001C7106">
          <w:pgSz w:w="12240" w:h="15840"/>
          <w:pgMar w:top="1220" w:right="1320" w:bottom="280" w:left="1020" w:header="720" w:footer="720" w:gutter="0"/>
          <w:cols w:space="720"/>
        </w:sectPr>
      </w:pPr>
    </w:p>
    <w:p w14:paraId="75DB94B3" w14:textId="77777777" w:rsidR="001C7106" w:rsidRDefault="00000000">
      <w:pPr>
        <w:pStyle w:val="BodyText"/>
        <w:spacing w:before="68"/>
        <w:ind w:left="420" w:right="196"/>
        <w:jc w:val="both"/>
      </w:pPr>
      <w:r>
        <w:lastRenderedPageBreak/>
        <w:t>(3rd) day after deliver to the courier; if mailed, on the later of the date of receipt or the third day after deposit thereof in the United States Mails; and if sent by telefax, on the date that the telefax is acknowledged as received.</w:t>
      </w:r>
    </w:p>
    <w:p w14:paraId="03E49B48" w14:textId="77777777" w:rsidR="001C7106" w:rsidRDefault="001C7106">
      <w:pPr>
        <w:pStyle w:val="BodyText"/>
      </w:pPr>
    </w:p>
    <w:p w14:paraId="7425BD32" w14:textId="77777777" w:rsidR="001C7106" w:rsidRDefault="00000000">
      <w:pPr>
        <w:pStyle w:val="BodyText"/>
        <w:ind w:left="420"/>
        <w:jc w:val="both"/>
      </w:pPr>
      <w:r>
        <w:rPr>
          <w:b/>
          <w:u w:val="thick"/>
        </w:rPr>
        <w:t>Assignment</w:t>
      </w:r>
      <w:r>
        <w:t>: Contractor may not assign this Agreement without the written consent of City.</w:t>
      </w:r>
    </w:p>
    <w:p w14:paraId="66D80F2A" w14:textId="77777777" w:rsidR="001C7106" w:rsidRDefault="001C7106">
      <w:pPr>
        <w:pStyle w:val="BodyText"/>
        <w:spacing w:before="2"/>
        <w:rPr>
          <w:sz w:val="16"/>
        </w:rPr>
      </w:pPr>
    </w:p>
    <w:p w14:paraId="09CA9C99" w14:textId="77777777" w:rsidR="001C7106" w:rsidRDefault="00000000">
      <w:pPr>
        <w:pStyle w:val="BodyText"/>
        <w:spacing w:before="90"/>
        <w:ind w:left="420"/>
      </w:pPr>
      <w:r>
        <w:rPr>
          <w:b/>
          <w:u w:val="thick"/>
        </w:rPr>
        <w:t>No Waiver</w:t>
      </w:r>
      <w:r>
        <w:t>: No failure to exercise, delay in exercising or single or partial exercise of any right, power or remedy by any party hereto shall constitute a waiver thereof or shall preclude any other or further exercise of the same or any other right, power or remedy.</w:t>
      </w:r>
    </w:p>
    <w:p w14:paraId="3CE640FF" w14:textId="77777777" w:rsidR="001C7106" w:rsidRDefault="001C7106">
      <w:pPr>
        <w:pStyle w:val="BodyText"/>
      </w:pPr>
    </w:p>
    <w:p w14:paraId="68583EF1" w14:textId="77777777" w:rsidR="001C7106" w:rsidRDefault="00000000">
      <w:pPr>
        <w:pStyle w:val="BodyText"/>
        <w:ind w:left="420" w:right="341"/>
      </w:pPr>
      <w:r>
        <w:rPr>
          <w:b/>
          <w:u w:val="thick"/>
        </w:rPr>
        <w:t>Conflict of Interest</w:t>
      </w:r>
      <w:r>
        <w:rPr>
          <w:b/>
        </w:rPr>
        <w:t xml:space="preserve">: </w:t>
      </w:r>
      <w:r>
        <w:t>Contractor certifies that it has not offered or given any gift or compensation prohibited by the laws to any officer or employee of the Springville City.</w:t>
      </w:r>
    </w:p>
    <w:p w14:paraId="1C738842" w14:textId="77777777" w:rsidR="001C7106" w:rsidRDefault="001C7106">
      <w:pPr>
        <w:pStyle w:val="BodyText"/>
      </w:pPr>
    </w:p>
    <w:p w14:paraId="173F0440" w14:textId="77777777" w:rsidR="001C7106" w:rsidRDefault="00000000">
      <w:pPr>
        <w:pStyle w:val="BodyText"/>
        <w:ind w:left="420" w:right="138"/>
      </w:pPr>
      <w:r>
        <w:rPr>
          <w:b/>
          <w:u w:val="thick"/>
        </w:rPr>
        <w:t>Section Headings</w:t>
      </w:r>
      <w:r>
        <w:t>: The headings and captions contained in this Agreement are for convenience only and shall not be considered in interpreting the provisions hereof.</w:t>
      </w:r>
    </w:p>
    <w:p w14:paraId="6792CE89" w14:textId="77777777" w:rsidR="001C7106" w:rsidRDefault="001C7106">
      <w:pPr>
        <w:pStyle w:val="BodyText"/>
        <w:rPr>
          <w:sz w:val="26"/>
        </w:rPr>
      </w:pPr>
    </w:p>
    <w:p w14:paraId="060A3BF5" w14:textId="77777777" w:rsidR="001C7106" w:rsidRDefault="001C7106">
      <w:pPr>
        <w:pStyle w:val="BodyText"/>
        <w:spacing w:before="1"/>
        <w:rPr>
          <w:sz w:val="22"/>
        </w:rPr>
      </w:pPr>
    </w:p>
    <w:p w14:paraId="51AAE5D8" w14:textId="77777777" w:rsidR="001C7106" w:rsidRDefault="00000000">
      <w:pPr>
        <w:pStyle w:val="BodyText"/>
        <w:ind w:left="420" w:right="843" w:firstLine="719"/>
      </w:pPr>
      <w:r>
        <w:t>IN WITNESS WHEREOF, the parties hereto have executed this Agreement, to be effective for all purposes as of the date first written above.</w:t>
      </w:r>
    </w:p>
    <w:p w14:paraId="24406005" w14:textId="77777777" w:rsidR="001C7106" w:rsidRDefault="001C7106">
      <w:pPr>
        <w:pStyle w:val="BodyText"/>
        <w:rPr>
          <w:sz w:val="26"/>
        </w:rPr>
      </w:pPr>
    </w:p>
    <w:p w14:paraId="54B05D68" w14:textId="77777777" w:rsidR="001C7106" w:rsidRDefault="001C7106">
      <w:pPr>
        <w:pStyle w:val="BodyText"/>
        <w:rPr>
          <w:sz w:val="22"/>
        </w:rPr>
      </w:pPr>
    </w:p>
    <w:p w14:paraId="0CFC4476" w14:textId="77777777" w:rsidR="001C7106" w:rsidRDefault="00000000">
      <w:pPr>
        <w:pStyle w:val="BodyText"/>
        <w:ind w:left="4741"/>
      </w:pPr>
      <w:r>
        <w:t>SPRINGVILLE CITY</w:t>
      </w:r>
    </w:p>
    <w:p w14:paraId="44DB2900" w14:textId="77777777" w:rsidR="001C7106" w:rsidRDefault="001C7106">
      <w:pPr>
        <w:pStyle w:val="BodyText"/>
      </w:pPr>
    </w:p>
    <w:p w14:paraId="26C0BF71" w14:textId="77777777" w:rsidR="001C7106" w:rsidRDefault="00000000">
      <w:pPr>
        <w:pStyle w:val="BodyText"/>
        <w:tabs>
          <w:tab w:val="left" w:pos="8975"/>
        </w:tabs>
        <w:ind w:left="4741" w:right="914"/>
      </w:pPr>
      <w:r>
        <w:t>By:_</w:t>
      </w:r>
      <w:r>
        <w:rPr>
          <w:u w:val="single"/>
        </w:rPr>
        <w:tab/>
      </w:r>
      <w:r>
        <w:t xml:space="preserve"> Title: </w:t>
      </w:r>
      <w:r>
        <w:rPr>
          <w:u w:val="single"/>
        </w:rPr>
        <w:t xml:space="preserve"> </w:t>
      </w:r>
      <w:r>
        <w:rPr>
          <w:u w:val="single"/>
        </w:rPr>
        <w:tab/>
      </w:r>
    </w:p>
    <w:p w14:paraId="4B7D0EBE" w14:textId="77777777" w:rsidR="001C7106" w:rsidRDefault="001C7106">
      <w:pPr>
        <w:pStyle w:val="BodyText"/>
        <w:rPr>
          <w:sz w:val="20"/>
        </w:rPr>
      </w:pPr>
    </w:p>
    <w:p w14:paraId="17AB6DCF" w14:textId="77777777" w:rsidR="001C7106" w:rsidRDefault="001C7106">
      <w:pPr>
        <w:pStyle w:val="BodyText"/>
        <w:spacing w:before="3"/>
        <w:rPr>
          <w:sz w:val="20"/>
        </w:rPr>
      </w:pPr>
    </w:p>
    <w:p w14:paraId="26A06F6C" w14:textId="77777777" w:rsidR="001C7106" w:rsidRDefault="00000000">
      <w:pPr>
        <w:pStyle w:val="BodyText"/>
        <w:spacing w:before="90"/>
        <w:ind w:left="4741"/>
      </w:pPr>
      <w:r>
        <w:t>CONTRACTOR –</w:t>
      </w:r>
    </w:p>
    <w:p w14:paraId="73DF582D" w14:textId="77777777" w:rsidR="001C7106" w:rsidRDefault="001C7106">
      <w:pPr>
        <w:pStyle w:val="BodyText"/>
      </w:pPr>
    </w:p>
    <w:p w14:paraId="5A469D4C" w14:textId="77777777" w:rsidR="001C7106" w:rsidRDefault="00000000">
      <w:pPr>
        <w:pStyle w:val="BodyText"/>
        <w:tabs>
          <w:tab w:val="left" w:pos="8863"/>
          <w:tab w:val="left" w:pos="8916"/>
        </w:tabs>
        <w:ind w:left="4741" w:right="981"/>
      </w:pPr>
      <w:r>
        <w:t>By:_</w:t>
      </w:r>
      <w:r>
        <w:rPr>
          <w:u w:val="single"/>
        </w:rPr>
        <w:tab/>
      </w:r>
      <w:r>
        <w:rPr>
          <w:u w:val="single"/>
        </w:rPr>
        <w:tab/>
      </w:r>
      <w:r>
        <w:t xml:space="preserve"> Title:</w:t>
      </w:r>
      <w:r>
        <w:rPr>
          <w:u w:val="single"/>
        </w:rPr>
        <w:t xml:space="preserve"> </w:t>
      </w:r>
      <w:r>
        <w:rPr>
          <w:u w:val="single"/>
        </w:rPr>
        <w:tab/>
      </w:r>
      <w:r>
        <w:rPr>
          <w:u w:val="single"/>
        </w:rPr>
        <w:tab/>
      </w:r>
    </w:p>
    <w:p w14:paraId="620D5CA0" w14:textId="77777777" w:rsidR="001C7106" w:rsidRDefault="001C7106">
      <w:pPr>
        <w:sectPr w:rsidR="001C7106">
          <w:pgSz w:w="12240" w:h="15840"/>
          <w:pgMar w:top="1220" w:right="1320" w:bottom="280" w:left="1020" w:header="720" w:footer="720" w:gutter="0"/>
          <w:cols w:space="720"/>
        </w:sectPr>
      </w:pPr>
    </w:p>
    <w:p w14:paraId="35A7552B" w14:textId="77777777" w:rsidR="001C7106" w:rsidRDefault="00000000">
      <w:pPr>
        <w:pStyle w:val="BodyText"/>
        <w:spacing w:before="68"/>
        <w:ind w:left="4376" w:right="4076"/>
        <w:jc w:val="center"/>
      </w:pPr>
      <w:r>
        <w:lastRenderedPageBreak/>
        <w:t>EXHIBIT “A”</w:t>
      </w:r>
    </w:p>
    <w:p w14:paraId="6F7B33CD" w14:textId="77777777" w:rsidR="001C7106" w:rsidRDefault="001C7106">
      <w:pPr>
        <w:pStyle w:val="BodyText"/>
        <w:rPr>
          <w:sz w:val="26"/>
        </w:rPr>
      </w:pPr>
    </w:p>
    <w:p w14:paraId="647F2FDD" w14:textId="77777777" w:rsidR="001C7106" w:rsidRDefault="001C7106">
      <w:pPr>
        <w:pStyle w:val="BodyText"/>
        <w:rPr>
          <w:sz w:val="22"/>
        </w:rPr>
      </w:pPr>
    </w:p>
    <w:p w14:paraId="7E5C1CCE" w14:textId="77777777" w:rsidR="001C7106" w:rsidRDefault="00000000">
      <w:pPr>
        <w:pStyle w:val="ListParagraph"/>
        <w:numPr>
          <w:ilvl w:val="0"/>
          <w:numId w:val="1"/>
        </w:numPr>
        <w:tabs>
          <w:tab w:val="left" w:pos="1140"/>
          <w:tab w:val="left" w:pos="1141"/>
        </w:tabs>
        <w:ind w:right="157"/>
        <w:rPr>
          <w:sz w:val="24"/>
        </w:rPr>
      </w:pPr>
      <w:r>
        <w:rPr>
          <w:sz w:val="24"/>
        </w:rPr>
        <w:t>Furnish, place, maintain, and remove all traffic control signs and devices. Traffic control must comply with Manual on Uniform Traffic Control Devices</w:t>
      </w:r>
      <w:r>
        <w:rPr>
          <w:spacing w:val="-6"/>
          <w:sz w:val="24"/>
        </w:rPr>
        <w:t xml:space="preserve"> </w:t>
      </w:r>
      <w:r>
        <w:rPr>
          <w:sz w:val="24"/>
        </w:rPr>
        <w:t>(MUTCD).</w:t>
      </w:r>
    </w:p>
    <w:p w14:paraId="2EC9FDC7" w14:textId="77777777" w:rsidR="001C7106" w:rsidRDefault="001C7106">
      <w:pPr>
        <w:pStyle w:val="BodyText"/>
      </w:pPr>
    </w:p>
    <w:p w14:paraId="16198759" w14:textId="77777777" w:rsidR="001C7106" w:rsidRDefault="00000000">
      <w:pPr>
        <w:pStyle w:val="ListParagraph"/>
        <w:numPr>
          <w:ilvl w:val="0"/>
          <w:numId w:val="1"/>
        </w:numPr>
        <w:tabs>
          <w:tab w:val="left" w:pos="1140"/>
          <w:tab w:val="left" w:pos="1141"/>
        </w:tabs>
        <w:ind w:hanging="721"/>
        <w:rPr>
          <w:sz w:val="24"/>
        </w:rPr>
      </w:pPr>
      <w:r>
        <w:rPr>
          <w:sz w:val="24"/>
        </w:rPr>
        <w:t>Notify Public Safety if vehicles need to be</w:t>
      </w:r>
      <w:r>
        <w:rPr>
          <w:spacing w:val="-12"/>
          <w:sz w:val="24"/>
        </w:rPr>
        <w:t xml:space="preserve"> </w:t>
      </w:r>
      <w:r>
        <w:rPr>
          <w:sz w:val="24"/>
        </w:rPr>
        <w:t>moved.</w:t>
      </w:r>
    </w:p>
    <w:p w14:paraId="6C6A22D1" w14:textId="77777777" w:rsidR="001C7106" w:rsidRDefault="001C7106">
      <w:pPr>
        <w:pStyle w:val="BodyText"/>
      </w:pPr>
    </w:p>
    <w:p w14:paraId="3EC6A2B0" w14:textId="77777777" w:rsidR="001C7106" w:rsidRDefault="00000000">
      <w:pPr>
        <w:pStyle w:val="ListParagraph"/>
        <w:numPr>
          <w:ilvl w:val="0"/>
          <w:numId w:val="1"/>
        </w:numPr>
        <w:tabs>
          <w:tab w:val="left" w:pos="1140"/>
          <w:tab w:val="left" w:pos="1141"/>
        </w:tabs>
        <w:ind w:hanging="721"/>
        <w:rPr>
          <w:sz w:val="24"/>
        </w:rPr>
      </w:pPr>
      <w:r>
        <w:rPr>
          <w:sz w:val="24"/>
        </w:rPr>
        <w:t>Do not work in the direction of rush hour traffic during peak commute</w:t>
      </w:r>
      <w:r>
        <w:rPr>
          <w:spacing w:val="-8"/>
          <w:sz w:val="24"/>
        </w:rPr>
        <w:t xml:space="preserve"> </w:t>
      </w:r>
      <w:r>
        <w:rPr>
          <w:sz w:val="24"/>
        </w:rPr>
        <w:t>times.</w:t>
      </w:r>
    </w:p>
    <w:p w14:paraId="655C1007" w14:textId="77777777" w:rsidR="001C7106" w:rsidRDefault="001C7106">
      <w:pPr>
        <w:pStyle w:val="BodyText"/>
      </w:pPr>
    </w:p>
    <w:p w14:paraId="17DFD16F" w14:textId="77777777" w:rsidR="001C7106" w:rsidRDefault="00000000">
      <w:pPr>
        <w:pStyle w:val="ListParagraph"/>
        <w:numPr>
          <w:ilvl w:val="0"/>
          <w:numId w:val="1"/>
        </w:numPr>
        <w:tabs>
          <w:tab w:val="left" w:pos="1140"/>
          <w:tab w:val="left" w:pos="1141"/>
        </w:tabs>
        <w:ind w:right="237"/>
        <w:rPr>
          <w:sz w:val="24"/>
        </w:rPr>
      </w:pPr>
      <w:r>
        <w:rPr>
          <w:sz w:val="24"/>
        </w:rPr>
        <w:t>Paint streets (Refer to the attached street map) using Type “F” (Fast Dry) ready-mix AASHTO (M-248) paint and Glass Beads (M-247), according to map provided with bid. The streets shall be painted annually for a period of three</w:t>
      </w:r>
      <w:r>
        <w:rPr>
          <w:spacing w:val="-7"/>
          <w:sz w:val="24"/>
        </w:rPr>
        <w:t xml:space="preserve"> </w:t>
      </w:r>
      <w:r>
        <w:rPr>
          <w:sz w:val="24"/>
        </w:rPr>
        <w:t>years.</w:t>
      </w:r>
    </w:p>
    <w:p w14:paraId="00725097" w14:textId="77777777" w:rsidR="001C7106" w:rsidRDefault="001C7106">
      <w:pPr>
        <w:pStyle w:val="BodyText"/>
        <w:spacing w:before="1"/>
      </w:pPr>
    </w:p>
    <w:p w14:paraId="3C8A6C59" w14:textId="77777777" w:rsidR="001C7106" w:rsidRDefault="00000000">
      <w:pPr>
        <w:pStyle w:val="BodyText"/>
        <w:tabs>
          <w:tab w:val="left" w:pos="1140"/>
        </w:tabs>
        <w:ind w:left="1140" w:right="178" w:hanging="720"/>
      </w:pPr>
      <w:r>
        <w:t>E</w:t>
      </w:r>
      <w:r>
        <w:tab/>
        <w:t>Coordinate start date with Jason Riding, Street’s Superintendent, to make sure all road surface treatments have been completed. Roads will not be painted at the same time</w:t>
      </w:r>
      <w:r>
        <w:rPr>
          <w:spacing w:val="-15"/>
        </w:rPr>
        <w:t xml:space="preserve"> </w:t>
      </w:r>
      <w:r>
        <w:t>each year, depending on road construction projects. Contractor may be asked to paint some roads early summer and come back towards end of summer to finish remaining. Re- striping of certain roads may be needed throughout the year, and contractor will need to be available within a 2 week notice</w:t>
      </w:r>
      <w:r>
        <w:rPr>
          <w:spacing w:val="-3"/>
        </w:rPr>
        <w:t xml:space="preserve"> </w:t>
      </w:r>
      <w:r>
        <w:t>period.</w:t>
      </w:r>
    </w:p>
    <w:p w14:paraId="256B74B7" w14:textId="77777777" w:rsidR="001C7106" w:rsidRDefault="001C7106">
      <w:pPr>
        <w:sectPr w:rsidR="001C7106">
          <w:pgSz w:w="12240" w:h="15840"/>
          <w:pgMar w:top="1220" w:right="1320" w:bottom="280" w:left="1020" w:header="720" w:footer="720" w:gutter="0"/>
          <w:cols w:space="720"/>
        </w:sectPr>
      </w:pPr>
    </w:p>
    <w:p w14:paraId="26696261" w14:textId="77777777" w:rsidR="001C7106" w:rsidRDefault="00000000">
      <w:pPr>
        <w:spacing w:before="74" w:after="17"/>
        <w:ind w:left="3295"/>
        <w:rPr>
          <w:rFonts w:ascii="Arial"/>
          <w:sz w:val="36"/>
        </w:rPr>
      </w:pPr>
      <w:r>
        <w:rPr>
          <w:rFonts w:ascii="Arial"/>
          <w:sz w:val="36"/>
        </w:rPr>
        <w:lastRenderedPageBreak/>
        <w:t>Exhibit "B"</w:t>
      </w:r>
    </w:p>
    <w:tbl>
      <w:tblPr>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90"/>
        <w:gridCol w:w="6405"/>
        <w:gridCol w:w="1578"/>
        <w:gridCol w:w="1136"/>
        <w:gridCol w:w="1343"/>
        <w:gridCol w:w="2161"/>
      </w:tblGrid>
      <w:tr w:rsidR="001C7106" w14:paraId="361195A0" w14:textId="77777777">
        <w:trPr>
          <w:trHeight w:val="474"/>
        </w:trPr>
        <w:tc>
          <w:tcPr>
            <w:tcW w:w="790" w:type="dxa"/>
          </w:tcPr>
          <w:p w14:paraId="33EFEB2C" w14:textId="77777777" w:rsidR="001C7106" w:rsidRDefault="00000000">
            <w:pPr>
              <w:pStyle w:val="TableParagraph"/>
              <w:spacing w:line="210" w:lineRule="exact"/>
              <w:ind w:left="196"/>
              <w:rPr>
                <w:b/>
                <w:sz w:val="20"/>
              </w:rPr>
            </w:pPr>
            <w:r>
              <w:rPr>
                <w:b/>
                <w:sz w:val="20"/>
                <w:u w:val="thick"/>
              </w:rPr>
              <w:t xml:space="preserve">Map </w:t>
            </w:r>
          </w:p>
          <w:p w14:paraId="161DB8D9" w14:textId="77777777" w:rsidR="001C7106" w:rsidRDefault="00000000">
            <w:pPr>
              <w:pStyle w:val="TableParagraph"/>
              <w:spacing w:before="27" w:line="217" w:lineRule="exact"/>
              <w:ind w:left="136"/>
              <w:rPr>
                <w:b/>
                <w:sz w:val="20"/>
              </w:rPr>
            </w:pPr>
            <w:r>
              <w:rPr>
                <w:b/>
                <w:sz w:val="20"/>
                <w:u w:val="thick"/>
              </w:rPr>
              <w:t>Index</w:t>
            </w:r>
          </w:p>
        </w:tc>
        <w:tc>
          <w:tcPr>
            <w:tcW w:w="6405" w:type="dxa"/>
          </w:tcPr>
          <w:p w14:paraId="0D4929B6" w14:textId="77777777" w:rsidR="001C7106" w:rsidRDefault="001C7106">
            <w:pPr>
              <w:pStyle w:val="TableParagraph"/>
              <w:spacing w:before="9"/>
              <w:rPr>
                <w:sz w:val="20"/>
              </w:rPr>
            </w:pPr>
          </w:p>
          <w:p w14:paraId="4AD1EC87" w14:textId="77777777" w:rsidR="001C7106" w:rsidRDefault="00000000">
            <w:pPr>
              <w:pStyle w:val="TableParagraph"/>
              <w:spacing w:line="215" w:lineRule="exact"/>
              <w:ind w:left="2638" w:right="2605"/>
              <w:jc w:val="center"/>
              <w:rPr>
                <w:b/>
                <w:sz w:val="20"/>
              </w:rPr>
            </w:pPr>
            <w:r>
              <w:rPr>
                <w:b/>
                <w:sz w:val="20"/>
                <w:u w:val="thick"/>
              </w:rPr>
              <w:t>Description</w:t>
            </w:r>
          </w:p>
        </w:tc>
        <w:tc>
          <w:tcPr>
            <w:tcW w:w="1578" w:type="dxa"/>
          </w:tcPr>
          <w:p w14:paraId="726BE6D5" w14:textId="77777777" w:rsidR="001C7106" w:rsidRDefault="00000000">
            <w:pPr>
              <w:pStyle w:val="TableParagraph"/>
              <w:spacing w:line="210" w:lineRule="exact"/>
              <w:ind w:left="313"/>
              <w:rPr>
                <w:b/>
                <w:sz w:val="20"/>
              </w:rPr>
            </w:pPr>
            <w:r>
              <w:rPr>
                <w:b/>
                <w:sz w:val="20"/>
                <w:u w:val="thick"/>
              </w:rPr>
              <w:t xml:space="preserve">Estimated </w:t>
            </w:r>
          </w:p>
          <w:p w14:paraId="308379E2" w14:textId="77777777" w:rsidR="001C7106" w:rsidRDefault="00000000">
            <w:pPr>
              <w:pStyle w:val="TableParagraph"/>
              <w:spacing w:before="27" w:line="217" w:lineRule="exact"/>
              <w:ind w:left="385"/>
              <w:rPr>
                <w:b/>
                <w:sz w:val="20"/>
              </w:rPr>
            </w:pPr>
            <w:r>
              <w:rPr>
                <w:b/>
                <w:sz w:val="20"/>
                <w:u w:val="thick"/>
              </w:rPr>
              <w:t>Quantity</w:t>
            </w:r>
          </w:p>
        </w:tc>
        <w:tc>
          <w:tcPr>
            <w:tcW w:w="1136" w:type="dxa"/>
          </w:tcPr>
          <w:p w14:paraId="3EE79A5C" w14:textId="77777777" w:rsidR="001C7106" w:rsidRDefault="001C7106">
            <w:pPr>
              <w:pStyle w:val="TableParagraph"/>
              <w:spacing w:before="6"/>
              <w:rPr>
                <w:sz w:val="20"/>
              </w:rPr>
            </w:pPr>
          </w:p>
          <w:p w14:paraId="56198B4B" w14:textId="77777777" w:rsidR="001C7106" w:rsidRDefault="00000000">
            <w:pPr>
              <w:pStyle w:val="TableParagraph"/>
              <w:spacing w:before="1" w:line="217" w:lineRule="exact"/>
              <w:ind w:right="353"/>
              <w:jc w:val="right"/>
              <w:rPr>
                <w:b/>
                <w:sz w:val="20"/>
              </w:rPr>
            </w:pPr>
            <w:r>
              <w:rPr>
                <w:b/>
                <w:w w:val="95"/>
                <w:sz w:val="20"/>
                <w:u w:val="thick"/>
              </w:rPr>
              <w:t>Unit</w:t>
            </w:r>
          </w:p>
        </w:tc>
        <w:tc>
          <w:tcPr>
            <w:tcW w:w="1343" w:type="dxa"/>
          </w:tcPr>
          <w:p w14:paraId="2D01AE37" w14:textId="77777777" w:rsidR="001C7106" w:rsidRDefault="001C7106">
            <w:pPr>
              <w:pStyle w:val="TableParagraph"/>
              <w:spacing w:before="9"/>
              <w:rPr>
                <w:sz w:val="20"/>
              </w:rPr>
            </w:pPr>
          </w:p>
          <w:p w14:paraId="34853206" w14:textId="77777777" w:rsidR="001C7106" w:rsidRDefault="00000000">
            <w:pPr>
              <w:pStyle w:val="TableParagraph"/>
              <w:spacing w:line="215" w:lineRule="exact"/>
              <w:ind w:left="232"/>
              <w:rPr>
                <w:b/>
                <w:sz w:val="20"/>
              </w:rPr>
            </w:pPr>
            <w:r>
              <w:rPr>
                <w:b/>
                <w:sz w:val="20"/>
                <w:u w:val="thick"/>
              </w:rPr>
              <w:t>Unit Cost</w:t>
            </w:r>
          </w:p>
        </w:tc>
        <w:tc>
          <w:tcPr>
            <w:tcW w:w="2161" w:type="dxa"/>
          </w:tcPr>
          <w:p w14:paraId="74DCD2F0" w14:textId="77777777" w:rsidR="001C7106" w:rsidRDefault="001C7106">
            <w:pPr>
              <w:pStyle w:val="TableParagraph"/>
              <w:spacing w:before="9"/>
              <w:rPr>
                <w:sz w:val="20"/>
              </w:rPr>
            </w:pPr>
          </w:p>
          <w:p w14:paraId="56953B52" w14:textId="77777777" w:rsidR="001C7106" w:rsidRDefault="00000000">
            <w:pPr>
              <w:pStyle w:val="TableParagraph"/>
              <w:spacing w:line="215" w:lineRule="exact"/>
              <w:ind w:left="442"/>
              <w:rPr>
                <w:b/>
                <w:sz w:val="20"/>
              </w:rPr>
            </w:pPr>
            <w:r>
              <w:rPr>
                <w:b/>
                <w:sz w:val="20"/>
                <w:u w:val="thick"/>
              </w:rPr>
              <w:t>Total Amount</w:t>
            </w:r>
          </w:p>
        </w:tc>
      </w:tr>
      <w:tr w:rsidR="001C7106" w14:paraId="0993E88A" w14:textId="77777777">
        <w:trPr>
          <w:trHeight w:val="354"/>
        </w:trPr>
        <w:tc>
          <w:tcPr>
            <w:tcW w:w="790" w:type="dxa"/>
          </w:tcPr>
          <w:p w14:paraId="5BA5F6FC" w14:textId="77777777" w:rsidR="001C7106" w:rsidRDefault="00000000">
            <w:pPr>
              <w:pStyle w:val="TableParagraph"/>
              <w:spacing w:before="81" w:line="253" w:lineRule="exact"/>
              <w:ind w:left="35"/>
              <w:jc w:val="center"/>
              <w:rPr>
                <w:sz w:val="24"/>
              </w:rPr>
            </w:pPr>
            <w:r>
              <w:rPr>
                <w:w w:val="99"/>
                <w:sz w:val="24"/>
              </w:rPr>
              <w:t>1</w:t>
            </w:r>
          </w:p>
        </w:tc>
        <w:tc>
          <w:tcPr>
            <w:tcW w:w="6405" w:type="dxa"/>
          </w:tcPr>
          <w:p w14:paraId="090115EA" w14:textId="77777777" w:rsidR="001C7106" w:rsidRDefault="00000000">
            <w:pPr>
              <w:pStyle w:val="TableParagraph"/>
              <w:spacing w:before="119" w:line="215" w:lineRule="exact"/>
              <w:ind w:left="37"/>
              <w:rPr>
                <w:sz w:val="20"/>
              </w:rPr>
            </w:pPr>
            <w:r>
              <w:rPr>
                <w:sz w:val="20"/>
              </w:rPr>
              <w:t>Broken Double Yellow</w:t>
            </w:r>
          </w:p>
        </w:tc>
        <w:tc>
          <w:tcPr>
            <w:tcW w:w="1578" w:type="dxa"/>
          </w:tcPr>
          <w:p w14:paraId="09B268DC" w14:textId="77777777" w:rsidR="001C7106" w:rsidRDefault="00000000">
            <w:pPr>
              <w:pStyle w:val="TableParagraph"/>
              <w:spacing w:before="81" w:line="253" w:lineRule="exact"/>
              <w:ind w:right="25"/>
              <w:jc w:val="right"/>
              <w:rPr>
                <w:sz w:val="24"/>
              </w:rPr>
            </w:pPr>
            <w:r>
              <w:rPr>
                <w:sz w:val="24"/>
              </w:rPr>
              <w:t>14,680.00</w:t>
            </w:r>
          </w:p>
        </w:tc>
        <w:tc>
          <w:tcPr>
            <w:tcW w:w="1136" w:type="dxa"/>
          </w:tcPr>
          <w:p w14:paraId="1C6D71E7" w14:textId="77777777" w:rsidR="001C7106" w:rsidRDefault="00000000">
            <w:pPr>
              <w:pStyle w:val="TableParagraph"/>
              <w:spacing w:before="81" w:line="253" w:lineRule="exact"/>
              <w:ind w:right="332"/>
              <w:jc w:val="right"/>
              <w:rPr>
                <w:sz w:val="24"/>
              </w:rPr>
            </w:pPr>
            <w:r>
              <w:rPr>
                <w:sz w:val="24"/>
              </w:rPr>
              <w:t>L.F.</w:t>
            </w:r>
          </w:p>
        </w:tc>
        <w:tc>
          <w:tcPr>
            <w:tcW w:w="1343" w:type="dxa"/>
          </w:tcPr>
          <w:p w14:paraId="2DB76451" w14:textId="77777777" w:rsidR="001C7106" w:rsidRDefault="001C7106">
            <w:pPr>
              <w:pStyle w:val="TableParagraph"/>
              <w:rPr>
                <w:rFonts w:ascii="Times New Roman"/>
                <w:sz w:val="20"/>
              </w:rPr>
            </w:pPr>
          </w:p>
        </w:tc>
        <w:tc>
          <w:tcPr>
            <w:tcW w:w="2161" w:type="dxa"/>
          </w:tcPr>
          <w:p w14:paraId="6F903025" w14:textId="77777777" w:rsidR="001C7106" w:rsidRDefault="001C7106">
            <w:pPr>
              <w:pStyle w:val="TableParagraph"/>
              <w:rPr>
                <w:rFonts w:ascii="Times New Roman"/>
                <w:sz w:val="20"/>
              </w:rPr>
            </w:pPr>
          </w:p>
        </w:tc>
      </w:tr>
      <w:tr w:rsidR="001C7106" w14:paraId="489E7D8D" w14:textId="77777777">
        <w:trPr>
          <w:trHeight w:val="270"/>
        </w:trPr>
        <w:tc>
          <w:tcPr>
            <w:tcW w:w="790" w:type="dxa"/>
          </w:tcPr>
          <w:p w14:paraId="0A4CBB98" w14:textId="77777777" w:rsidR="001C7106" w:rsidRDefault="00000000">
            <w:pPr>
              <w:pStyle w:val="TableParagraph"/>
              <w:spacing w:line="251" w:lineRule="exact"/>
              <w:ind w:left="35"/>
              <w:jc w:val="center"/>
              <w:rPr>
                <w:sz w:val="24"/>
              </w:rPr>
            </w:pPr>
            <w:r>
              <w:rPr>
                <w:w w:val="99"/>
                <w:sz w:val="24"/>
              </w:rPr>
              <w:t>2</w:t>
            </w:r>
          </w:p>
        </w:tc>
        <w:tc>
          <w:tcPr>
            <w:tcW w:w="6405" w:type="dxa"/>
          </w:tcPr>
          <w:p w14:paraId="3CC5784E" w14:textId="77777777" w:rsidR="001C7106" w:rsidRDefault="00000000">
            <w:pPr>
              <w:pStyle w:val="TableParagraph"/>
              <w:spacing w:before="35" w:line="215" w:lineRule="exact"/>
              <w:ind w:left="37"/>
              <w:rPr>
                <w:sz w:val="20"/>
              </w:rPr>
            </w:pPr>
            <w:r>
              <w:rPr>
                <w:sz w:val="20"/>
              </w:rPr>
              <w:t>Broken Double Yellow Median</w:t>
            </w:r>
          </w:p>
        </w:tc>
        <w:tc>
          <w:tcPr>
            <w:tcW w:w="1578" w:type="dxa"/>
          </w:tcPr>
          <w:p w14:paraId="7EA52A1D" w14:textId="77777777" w:rsidR="001C7106" w:rsidRDefault="00000000">
            <w:pPr>
              <w:pStyle w:val="TableParagraph"/>
              <w:spacing w:line="251" w:lineRule="exact"/>
              <w:ind w:right="25"/>
              <w:jc w:val="right"/>
              <w:rPr>
                <w:sz w:val="24"/>
              </w:rPr>
            </w:pPr>
            <w:r>
              <w:rPr>
                <w:sz w:val="24"/>
              </w:rPr>
              <w:t>5,415.00</w:t>
            </w:r>
          </w:p>
        </w:tc>
        <w:tc>
          <w:tcPr>
            <w:tcW w:w="1136" w:type="dxa"/>
          </w:tcPr>
          <w:p w14:paraId="214D9C50" w14:textId="77777777" w:rsidR="001C7106" w:rsidRDefault="00000000">
            <w:pPr>
              <w:pStyle w:val="TableParagraph"/>
              <w:spacing w:line="251" w:lineRule="exact"/>
              <w:ind w:right="332"/>
              <w:jc w:val="right"/>
              <w:rPr>
                <w:sz w:val="24"/>
              </w:rPr>
            </w:pPr>
            <w:r>
              <w:rPr>
                <w:sz w:val="24"/>
              </w:rPr>
              <w:t>L.F.</w:t>
            </w:r>
          </w:p>
        </w:tc>
        <w:tc>
          <w:tcPr>
            <w:tcW w:w="1343" w:type="dxa"/>
          </w:tcPr>
          <w:p w14:paraId="3972739E" w14:textId="77777777" w:rsidR="001C7106" w:rsidRDefault="001C7106">
            <w:pPr>
              <w:pStyle w:val="TableParagraph"/>
              <w:rPr>
                <w:rFonts w:ascii="Times New Roman"/>
                <w:sz w:val="20"/>
              </w:rPr>
            </w:pPr>
          </w:p>
        </w:tc>
        <w:tc>
          <w:tcPr>
            <w:tcW w:w="2161" w:type="dxa"/>
          </w:tcPr>
          <w:p w14:paraId="76CA43F8" w14:textId="77777777" w:rsidR="001C7106" w:rsidRDefault="001C7106">
            <w:pPr>
              <w:pStyle w:val="TableParagraph"/>
              <w:rPr>
                <w:rFonts w:ascii="Times New Roman"/>
                <w:sz w:val="20"/>
              </w:rPr>
            </w:pPr>
          </w:p>
        </w:tc>
      </w:tr>
      <w:tr w:rsidR="001C7106" w14:paraId="5318311A" w14:textId="77777777">
        <w:trPr>
          <w:trHeight w:val="270"/>
        </w:trPr>
        <w:tc>
          <w:tcPr>
            <w:tcW w:w="790" w:type="dxa"/>
          </w:tcPr>
          <w:p w14:paraId="034358D4" w14:textId="77777777" w:rsidR="001C7106" w:rsidRDefault="00000000">
            <w:pPr>
              <w:pStyle w:val="TableParagraph"/>
              <w:spacing w:line="250" w:lineRule="exact"/>
              <w:ind w:left="35"/>
              <w:jc w:val="center"/>
              <w:rPr>
                <w:sz w:val="24"/>
              </w:rPr>
            </w:pPr>
            <w:r>
              <w:rPr>
                <w:w w:val="99"/>
                <w:sz w:val="24"/>
              </w:rPr>
              <w:t>3</w:t>
            </w:r>
          </w:p>
        </w:tc>
        <w:tc>
          <w:tcPr>
            <w:tcW w:w="6405" w:type="dxa"/>
          </w:tcPr>
          <w:p w14:paraId="49B35EE2" w14:textId="77777777" w:rsidR="001C7106" w:rsidRDefault="00000000">
            <w:pPr>
              <w:pStyle w:val="TableParagraph"/>
              <w:spacing w:before="35" w:line="215" w:lineRule="exact"/>
              <w:ind w:left="37"/>
              <w:rPr>
                <w:sz w:val="20"/>
              </w:rPr>
            </w:pPr>
            <w:r>
              <w:rPr>
                <w:sz w:val="20"/>
              </w:rPr>
              <w:t>Broken Double Yellow Median with White Lane Stripes</w:t>
            </w:r>
          </w:p>
        </w:tc>
        <w:tc>
          <w:tcPr>
            <w:tcW w:w="1578" w:type="dxa"/>
          </w:tcPr>
          <w:p w14:paraId="014BE1D8" w14:textId="77777777" w:rsidR="001C7106" w:rsidRDefault="00000000">
            <w:pPr>
              <w:pStyle w:val="TableParagraph"/>
              <w:spacing w:line="250" w:lineRule="exact"/>
              <w:ind w:right="25"/>
              <w:jc w:val="right"/>
              <w:rPr>
                <w:sz w:val="24"/>
              </w:rPr>
            </w:pPr>
            <w:r>
              <w:rPr>
                <w:sz w:val="24"/>
              </w:rPr>
              <w:t>2,251.00</w:t>
            </w:r>
          </w:p>
        </w:tc>
        <w:tc>
          <w:tcPr>
            <w:tcW w:w="1136" w:type="dxa"/>
          </w:tcPr>
          <w:p w14:paraId="5723C880" w14:textId="77777777" w:rsidR="001C7106" w:rsidRDefault="00000000">
            <w:pPr>
              <w:pStyle w:val="TableParagraph"/>
              <w:spacing w:line="250" w:lineRule="exact"/>
              <w:ind w:right="332"/>
              <w:jc w:val="right"/>
              <w:rPr>
                <w:sz w:val="24"/>
              </w:rPr>
            </w:pPr>
            <w:r>
              <w:rPr>
                <w:sz w:val="24"/>
              </w:rPr>
              <w:t>L.F.</w:t>
            </w:r>
          </w:p>
        </w:tc>
        <w:tc>
          <w:tcPr>
            <w:tcW w:w="1343" w:type="dxa"/>
          </w:tcPr>
          <w:p w14:paraId="12CFB6B6" w14:textId="77777777" w:rsidR="001C7106" w:rsidRDefault="001C7106">
            <w:pPr>
              <w:pStyle w:val="TableParagraph"/>
              <w:rPr>
                <w:rFonts w:ascii="Times New Roman"/>
                <w:sz w:val="20"/>
              </w:rPr>
            </w:pPr>
          </w:p>
        </w:tc>
        <w:tc>
          <w:tcPr>
            <w:tcW w:w="2161" w:type="dxa"/>
          </w:tcPr>
          <w:p w14:paraId="45A12BC0" w14:textId="77777777" w:rsidR="001C7106" w:rsidRDefault="001C7106">
            <w:pPr>
              <w:pStyle w:val="TableParagraph"/>
              <w:rPr>
                <w:rFonts w:ascii="Times New Roman"/>
                <w:sz w:val="20"/>
              </w:rPr>
            </w:pPr>
          </w:p>
        </w:tc>
      </w:tr>
      <w:tr w:rsidR="001C7106" w14:paraId="59B852A2" w14:textId="77777777">
        <w:trPr>
          <w:trHeight w:val="270"/>
        </w:trPr>
        <w:tc>
          <w:tcPr>
            <w:tcW w:w="790" w:type="dxa"/>
          </w:tcPr>
          <w:p w14:paraId="62208FCE" w14:textId="77777777" w:rsidR="001C7106" w:rsidRDefault="00000000">
            <w:pPr>
              <w:pStyle w:val="TableParagraph"/>
              <w:spacing w:line="250" w:lineRule="exact"/>
              <w:ind w:left="35"/>
              <w:jc w:val="center"/>
              <w:rPr>
                <w:sz w:val="24"/>
              </w:rPr>
            </w:pPr>
            <w:r>
              <w:rPr>
                <w:w w:val="99"/>
                <w:sz w:val="24"/>
              </w:rPr>
              <w:t>4</w:t>
            </w:r>
          </w:p>
        </w:tc>
        <w:tc>
          <w:tcPr>
            <w:tcW w:w="6405" w:type="dxa"/>
          </w:tcPr>
          <w:p w14:paraId="1639B81E" w14:textId="77777777" w:rsidR="001C7106" w:rsidRDefault="00000000">
            <w:pPr>
              <w:pStyle w:val="TableParagraph"/>
              <w:spacing w:before="35" w:line="215" w:lineRule="exact"/>
              <w:ind w:left="37"/>
              <w:rPr>
                <w:sz w:val="20"/>
              </w:rPr>
            </w:pPr>
            <w:r>
              <w:rPr>
                <w:sz w:val="20"/>
              </w:rPr>
              <w:t>Broken Single Yellow</w:t>
            </w:r>
          </w:p>
        </w:tc>
        <w:tc>
          <w:tcPr>
            <w:tcW w:w="1578" w:type="dxa"/>
          </w:tcPr>
          <w:p w14:paraId="3F59080D" w14:textId="77777777" w:rsidR="001C7106" w:rsidRDefault="00000000">
            <w:pPr>
              <w:pStyle w:val="TableParagraph"/>
              <w:spacing w:line="250" w:lineRule="exact"/>
              <w:ind w:right="25"/>
              <w:jc w:val="right"/>
              <w:rPr>
                <w:sz w:val="24"/>
              </w:rPr>
            </w:pPr>
            <w:r>
              <w:rPr>
                <w:sz w:val="24"/>
              </w:rPr>
              <w:t>10,719.00</w:t>
            </w:r>
          </w:p>
        </w:tc>
        <w:tc>
          <w:tcPr>
            <w:tcW w:w="1136" w:type="dxa"/>
          </w:tcPr>
          <w:p w14:paraId="5596BA8E" w14:textId="77777777" w:rsidR="001C7106" w:rsidRDefault="00000000">
            <w:pPr>
              <w:pStyle w:val="TableParagraph"/>
              <w:spacing w:line="250" w:lineRule="exact"/>
              <w:ind w:right="332"/>
              <w:jc w:val="right"/>
              <w:rPr>
                <w:sz w:val="24"/>
              </w:rPr>
            </w:pPr>
            <w:r>
              <w:rPr>
                <w:sz w:val="24"/>
              </w:rPr>
              <w:t>L.F.</w:t>
            </w:r>
          </w:p>
        </w:tc>
        <w:tc>
          <w:tcPr>
            <w:tcW w:w="1343" w:type="dxa"/>
          </w:tcPr>
          <w:p w14:paraId="127FBFA4" w14:textId="77777777" w:rsidR="001C7106" w:rsidRDefault="001C7106">
            <w:pPr>
              <w:pStyle w:val="TableParagraph"/>
              <w:rPr>
                <w:rFonts w:ascii="Times New Roman"/>
                <w:sz w:val="20"/>
              </w:rPr>
            </w:pPr>
          </w:p>
        </w:tc>
        <w:tc>
          <w:tcPr>
            <w:tcW w:w="2161" w:type="dxa"/>
          </w:tcPr>
          <w:p w14:paraId="49E7B930" w14:textId="77777777" w:rsidR="001C7106" w:rsidRDefault="001C7106">
            <w:pPr>
              <w:pStyle w:val="TableParagraph"/>
              <w:rPr>
                <w:rFonts w:ascii="Times New Roman"/>
                <w:sz w:val="20"/>
              </w:rPr>
            </w:pPr>
          </w:p>
        </w:tc>
      </w:tr>
      <w:tr w:rsidR="001C7106" w14:paraId="6A63DA63" w14:textId="77777777">
        <w:trPr>
          <w:trHeight w:val="270"/>
        </w:trPr>
        <w:tc>
          <w:tcPr>
            <w:tcW w:w="790" w:type="dxa"/>
          </w:tcPr>
          <w:p w14:paraId="0F46F5C9" w14:textId="77777777" w:rsidR="001C7106" w:rsidRDefault="00000000">
            <w:pPr>
              <w:pStyle w:val="TableParagraph"/>
              <w:spacing w:line="250" w:lineRule="exact"/>
              <w:ind w:left="35"/>
              <w:jc w:val="center"/>
              <w:rPr>
                <w:sz w:val="24"/>
              </w:rPr>
            </w:pPr>
            <w:r>
              <w:rPr>
                <w:w w:val="99"/>
                <w:sz w:val="24"/>
              </w:rPr>
              <w:t>5</w:t>
            </w:r>
          </w:p>
        </w:tc>
        <w:tc>
          <w:tcPr>
            <w:tcW w:w="6405" w:type="dxa"/>
          </w:tcPr>
          <w:p w14:paraId="304FC6D5" w14:textId="77777777" w:rsidR="001C7106" w:rsidRDefault="00000000">
            <w:pPr>
              <w:pStyle w:val="TableParagraph"/>
              <w:spacing w:before="35" w:line="215" w:lineRule="exact"/>
              <w:ind w:left="37"/>
              <w:rPr>
                <w:sz w:val="20"/>
              </w:rPr>
            </w:pPr>
            <w:r>
              <w:rPr>
                <w:sz w:val="20"/>
              </w:rPr>
              <w:t>Double Yellow</w:t>
            </w:r>
          </w:p>
        </w:tc>
        <w:tc>
          <w:tcPr>
            <w:tcW w:w="1578" w:type="dxa"/>
          </w:tcPr>
          <w:p w14:paraId="7F8BB6A9" w14:textId="77777777" w:rsidR="001C7106" w:rsidRDefault="00000000">
            <w:pPr>
              <w:pStyle w:val="TableParagraph"/>
              <w:spacing w:line="250" w:lineRule="exact"/>
              <w:ind w:right="26"/>
              <w:jc w:val="right"/>
              <w:rPr>
                <w:sz w:val="24"/>
              </w:rPr>
            </w:pPr>
            <w:r>
              <w:rPr>
                <w:sz w:val="24"/>
              </w:rPr>
              <w:t>114,774.00</w:t>
            </w:r>
          </w:p>
        </w:tc>
        <w:tc>
          <w:tcPr>
            <w:tcW w:w="1136" w:type="dxa"/>
          </w:tcPr>
          <w:p w14:paraId="2DEB7711" w14:textId="77777777" w:rsidR="001C7106" w:rsidRDefault="00000000">
            <w:pPr>
              <w:pStyle w:val="TableParagraph"/>
              <w:spacing w:line="250" w:lineRule="exact"/>
              <w:ind w:right="332"/>
              <w:jc w:val="right"/>
              <w:rPr>
                <w:sz w:val="24"/>
              </w:rPr>
            </w:pPr>
            <w:r>
              <w:rPr>
                <w:sz w:val="24"/>
              </w:rPr>
              <w:t>L.F.</w:t>
            </w:r>
          </w:p>
        </w:tc>
        <w:tc>
          <w:tcPr>
            <w:tcW w:w="1343" w:type="dxa"/>
          </w:tcPr>
          <w:p w14:paraId="3D43A2D0" w14:textId="77777777" w:rsidR="001C7106" w:rsidRDefault="001C7106">
            <w:pPr>
              <w:pStyle w:val="TableParagraph"/>
              <w:rPr>
                <w:rFonts w:ascii="Times New Roman"/>
                <w:sz w:val="20"/>
              </w:rPr>
            </w:pPr>
          </w:p>
        </w:tc>
        <w:tc>
          <w:tcPr>
            <w:tcW w:w="2161" w:type="dxa"/>
          </w:tcPr>
          <w:p w14:paraId="66C9E505" w14:textId="77777777" w:rsidR="001C7106" w:rsidRDefault="001C7106">
            <w:pPr>
              <w:pStyle w:val="TableParagraph"/>
              <w:rPr>
                <w:rFonts w:ascii="Times New Roman"/>
                <w:sz w:val="20"/>
              </w:rPr>
            </w:pPr>
          </w:p>
        </w:tc>
      </w:tr>
      <w:tr w:rsidR="001C7106" w14:paraId="23676948" w14:textId="77777777">
        <w:trPr>
          <w:trHeight w:val="270"/>
        </w:trPr>
        <w:tc>
          <w:tcPr>
            <w:tcW w:w="790" w:type="dxa"/>
          </w:tcPr>
          <w:p w14:paraId="13BE058C" w14:textId="77777777" w:rsidR="001C7106" w:rsidRDefault="00000000">
            <w:pPr>
              <w:pStyle w:val="TableParagraph"/>
              <w:spacing w:line="250" w:lineRule="exact"/>
              <w:ind w:left="35"/>
              <w:jc w:val="center"/>
              <w:rPr>
                <w:sz w:val="24"/>
              </w:rPr>
            </w:pPr>
            <w:r>
              <w:rPr>
                <w:w w:val="99"/>
                <w:sz w:val="24"/>
              </w:rPr>
              <w:t>6</w:t>
            </w:r>
          </w:p>
        </w:tc>
        <w:tc>
          <w:tcPr>
            <w:tcW w:w="6405" w:type="dxa"/>
          </w:tcPr>
          <w:p w14:paraId="7BE78FD1" w14:textId="77777777" w:rsidR="001C7106" w:rsidRDefault="00000000">
            <w:pPr>
              <w:pStyle w:val="TableParagraph"/>
              <w:spacing w:before="35" w:line="215" w:lineRule="exact"/>
              <w:ind w:left="37"/>
              <w:rPr>
                <w:sz w:val="20"/>
              </w:rPr>
            </w:pPr>
            <w:r>
              <w:rPr>
                <w:sz w:val="20"/>
              </w:rPr>
              <w:t>Double Yellow Median with White Lane Stripes and 6 inch Turn Lanes</w:t>
            </w:r>
          </w:p>
        </w:tc>
        <w:tc>
          <w:tcPr>
            <w:tcW w:w="1578" w:type="dxa"/>
          </w:tcPr>
          <w:p w14:paraId="7D853B75" w14:textId="77777777" w:rsidR="001C7106" w:rsidRDefault="00000000">
            <w:pPr>
              <w:pStyle w:val="TableParagraph"/>
              <w:spacing w:line="250" w:lineRule="exact"/>
              <w:ind w:right="25"/>
              <w:jc w:val="right"/>
              <w:rPr>
                <w:sz w:val="24"/>
              </w:rPr>
            </w:pPr>
            <w:r>
              <w:rPr>
                <w:sz w:val="24"/>
              </w:rPr>
              <w:t>389.00</w:t>
            </w:r>
          </w:p>
        </w:tc>
        <w:tc>
          <w:tcPr>
            <w:tcW w:w="1136" w:type="dxa"/>
          </w:tcPr>
          <w:p w14:paraId="7B47057D" w14:textId="77777777" w:rsidR="001C7106" w:rsidRDefault="00000000">
            <w:pPr>
              <w:pStyle w:val="TableParagraph"/>
              <w:spacing w:line="250" w:lineRule="exact"/>
              <w:ind w:right="332"/>
              <w:jc w:val="right"/>
              <w:rPr>
                <w:sz w:val="24"/>
              </w:rPr>
            </w:pPr>
            <w:r>
              <w:rPr>
                <w:sz w:val="24"/>
              </w:rPr>
              <w:t>L.F.</w:t>
            </w:r>
          </w:p>
        </w:tc>
        <w:tc>
          <w:tcPr>
            <w:tcW w:w="1343" w:type="dxa"/>
          </w:tcPr>
          <w:p w14:paraId="6EAA94B4" w14:textId="77777777" w:rsidR="001C7106" w:rsidRDefault="001C7106">
            <w:pPr>
              <w:pStyle w:val="TableParagraph"/>
              <w:rPr>
                <w:rFonts w:ascii="Times New Roman"/>
                <w:sz w:val="20"/>
              </w:rPr>
            </w:pPr>
          </w:p>
        </w:tc>
        <w:tc>
          <w:tcPr>
            <w:tcW w:w="2161" w:type="dxa"/>
          </w:tcPr>
          <w:p w14:paraId="2117A6D1" w14:textId="77777777" w:rsidR="001C7106" w:rsidRDefault="001C7106">
            <w:pPr>
              <w:pStyle w:val="TableParagraph"/>
              <w:rPr>
                <w:rFonts w:ascii="Times New Roman"/>
                <w:sz w:val="20"/>
              </w:rPr>
            </w:pPr>
          </w:p>
        </w:tc>
      </w:tr>
      <w:tr w:rsidR="001C7106" w14:paraId="748DCB37" w14:textId="77777777">
        <w:trPr>
          <w:trHeight w:val="270"/>
        </w:trPr>
        <w:tc>
          <w:tcPr>
            <w:tcW w:w="790" w:type="dxa"/>
          </w:tcPr>
          <w:p w14:paraId="513EC253" w14:textId="77777777" w:rsidR="001C7106" w:rsidRDefault="00000000">
            <w:pPr>
              <w:pStyle w:val="TableParagraph"/>
              <w:spacing w:line="250" w:lineRule="exact"/>
              <w:ind w:left="35"/>
              <w:jc w:val="center"/>
              <w:rPr>
                <w:sz w:val="24"/>
              </w:rPr>
            </w:pPr>
            <w:r>
              <w:rPr>
                <w:w w:val="99"/>
                <w:sz w:val="24"/>
              </w:rPr>
              <w:t>7</w:t>
            </w:r>
          </w:p>
        </w:tc>
        <w:tc>
          <w:tcPr>
            <w:tcW w:w="6405" w:type="dxa"/>
          </w:tcPr>
          <w:p w14:paraId="6FB1DBD1" w14:textId="77777777" w:rsidR="001C7106" w:rsidRDefault="00000000">
            <w:pPr>
              <w:pStyle w:val="TableParagraph"/>
              <w:spacing w:before="35" w:line="215" w:lineRule="exact"/>
              <w:ind w:left="37"/>
              <w:rPr>
                <w:sz w:val="20"/>
              </w:rPr>
            </w:pPr>
            <w:r>
              <w:rPr>
                <w:sz w:val="20"/>
              </w:rPr>
              <w:t>Double Yellow with 6 inch Bike Lanes</w:t>
            </w:r>
          </w:p>
        </w:tc>
        <w:tc>
          <w:tcPr>
            <w:tcW w:w="1578" w:type="dxa"/>
          </w:tcPr>
          <w:p w14:paraId="154ACFD3" w14:textId="77777777" w:rsidR="001C7106" w:rsidRDefault="00000000">
            <w:pPr>
              <w:pStyle w:val="TableParagraph"/>
              <w:spacing w:line="250" w:lineRule="exact"/>
              <w:ind w:right="25"/>
              <w:jc w:val="right"/>
              <w:rPr>
                <w:sz w:val="24"/>
              </w:rPr>
            </w:pPr>
            <w:r>
              <w:rPr>
                <w:sz w:val="24"/>
              </w:rPr>
              <w:t>18,006.00</w:t>
            </w:r>
          </w:p>
        </w:tc>
        <w:tc>
          <w:tcPr>
            <w:tcW w:w="1136" w:type="dxa"/>
          </w:tcPr>
          <w:p w14:paraId="72137E88" w14:textId="77777777" w:rsidR="001C7106" w:rsidRDefault="00000000">
            <w:pPr>
              <w:pStyle w:val="TableParagraph"/>
              <w:spacing w:line="250" w:lineRule="exact"/>
              <w:ind w:right="332"/>
              <w:jc w:val="right"/>
              <w:rPr>
                <w:sz w:val="24"/>
              </w:rPr>
            </w:pPr>
            <w:r>
              <w:rPr>
                <w:sz w:val="24"/>
              </w:rPr>
              <w:t>L.F.</w:t>
            </w:r>
          </w:p>
        </w:tc>
        <w:tc>
          <w:tcPr>
            <w:tcW w:w="1343" w:type="dxa"/>
          </w:tcPr>
          <w:p w14:paraId="70EA200A" w14:textId="77777777" w:rsidR="001C7106" w:rsidRDefault="001C7106">
            <w:pPr>
              <w:pStyle w:val="TableParagraph"/>
              <w:rPr>
                <w:rFonts w:ascii="Times New Roman"/>
                <w:sz w:val="20"/>
              </w:rPr>
            </w:pPr>
          </w:p>
        </w:tc>
        <w:tc>
          <w:tcPr>
            <w:tcW w:w="2161" w:type="dxa"/>
          </w:tcPr>
          <w:p w14:paraId="60DC0A8E" w14:textId="77777777" w:rsidR="001C7106" w:rsidRDefault="001C7106">
            <w:pPr>
              <w:pStyle w:val="TableParagraph"/>
              <w:rPr>
                <w:rFonts w:ascii="Times New Roman"/>
                <w:sz w:val="20"/>
              </w:rPr>
            </w:pPr>
          </w:p>
        </w:tc>
      </w:tr>
      <w:tr w:rsidR="001C7106" w14:paraId="6A2B7588" w14:textId="77777777">
        <w:trPr>
          <w:trHeight w:val="270"/>
        </w:trPr>
        <w:tc>
          <w:tcPr>
            <w:tcW w:w="790" w:type="dxa"/>
          </w:tcPr>
          <w:p w14:paraId="7EB9F0D1" w14:textId="77777777" w:rsidR="001C7106" w:rsidRDefault="00000000">
            <w:pPr>
              <w:pStyle w:val="TableParagraph"/>
              <w:spacing w:line="250" w:lineRule="exact"/>
              <w:ind w:left="35"/>
              <w:jc w:val="center"/>
              <w:rPr>
                <w:sz w:val="24"/>
              </w:rPr>
            </w:pPr>
            <w:r>
              <w:rPr>
                <w:w w:val="99"/>
                <w:sz w:val="24"/>
              </w:rPr>
              <w:t>8</w:t>
            </w:r>
          </w:p>
        </w:tc>
        <w:tc>
          <w:tcPr>
            <w:tcW w:w="6405" w:type="dxa"/>
          </w:tcPr>
          <w:p w14:paraId="3E587B3C" w14:textId="77777777" w:rsidR="001C7106" w:rsidRDefault="00000000">
            <w:pPr>
              <w:pStyle w:val="TableParagraph"/>
              <w:spacing w:before="35" w:line="215" w:lineRule="exact"/>
              <w:ind w:left="37"/>
              <w:rPr>
                <w:sz w:val="20"/>
              </w:rPr>
            </w:pPr>
            <w:r>
              <w:rPr>
                <w:sz w:val="20"/>
              </w:rPr>
              <w:t>Double Yellow with Median</w:t>
            </w:r>
          </w:p>
        </w:tc>
        <w:tc>
          <w:tcPr>
            <w:tcW w:w="1578" w:type="dxa"/>
          </w:tcPr>
          <w:p w14:paraId="637C89A2" w14:textId="77777777" w:rsidR="001C7106" w:rsidRDefault="00000000">
            <w:pPr>
              <w:pStyle w:val="TableParagraph"/>
              <w:spacing w:line="250" w:lineRule="exact"/>
              <w:ind w:right="25"/>
              <w:jc w:val="right"/>
              <w:rPr>
                <w:sz w:val="24"/>
              </w:rPr>
            </w:pPr>
            <w:r>
              <w:rPr>
                <w:sz w:val="24"/>
              </w:rPr>
              <w:t>4,075.00</w:t>
            </w:r>
          </w:p>
        </w:tc>
        <w:tc>
          <w:tcPr>
            <w:tcW w:w="1136" w:type="dxa"/>
          </w:tcPr>
          <w:p w14:paraId="3BB8E7B7" w14:textId="77777777" w:rsidR="001C7106" w:rsidRDefault="00000000">
            <w:pPr>
              <w:pStyle w:val="TableParagraph"/>
              <w:spacing w:line="250" w:lineRule="exact"/>
              <w:ind w:right="332"/>
              <w:jc w:val="right"/>
              <w:rPr>
                <w:sz w:val="24"/>
              </w:rPr>
            </w:pPr>
            <w:r>
              <w:rPr>
                <w:sz w:val="24"/>
              </w:rPr>
              <w:t>L.F.</w:t>
            </w:r>
          </w:p>
        </w:tc>
        <w:tc>
          <w:tcPr>
            <w:tcW w:w="1343" w:type="dxa"/>
          </w:tcPr>
          <w:p w14:paraId="3F9E257B" w14:textId="77777777" w:rsidR="001C7106" w:rsidRDefault="001C7106">
            <w:pPr>
              <w:pStyle w:val="TableParagraph"/>
              <w:rPr>
                <w:rFonts w:ascii="Times New Roman"/>
                <w:sz w:val="20"/>
              </w:rPr>
            </w:pPr>
          </w:p>
        </w:tc>
        <w:tc>
          <w:tcPr>
            <w:tcW w:w="2161" w:type="dxa"/>
          </w:tcPr>
          <w:p w14:paraId="3110BCE5" w14:textId="77777777" w:rsidR="001C7106" w:rsidRDefault="001C7106">
            <w:pPr>
              <w:pStyle w:val="TableParagraph"/>
              <w:rPr>
                <w:rFonts w:ascii="Times New Roman"/>
                <w:sz w:val="20"/>
              </w:rPr>
            </w:pPr>
          </w:p>
        </w:tc>
      </w:tr>
      <w:tr w:rsidR="001C7106" w14:paraId="6808A657" w14:textId="77777777">
        <w:trPr>
          <w:trHeight w:val="270"/>
        </w:trPr>
        <w:tc>
          <w:tcPr>
            <w:tcW w:w="790" w:type="dxa"/>
          </w:tcPr>
          <w:p w14:paraId="2048C22B" w14:textId="77777777" w:rsidR="001C7106" w:rsidRDefault="00000000">
            <w:pPr>
              <w:pStyle w:val="TableParagraph"/>
              <w:spacing w:line="251" w:lineRule="exact"/>
              <w:ind w:left="35"/>
              <w:jc w:val="center"/>
              <w:rPr>
                <w:sz w:val="24"/>
              </w:rPr>
            </w:pPr>
            <w:r>
              <w:rPr>
                <w:w w:val="99"/>
                <w:sz w:val="24"/>
              </w:rPr>
              <w:t>9</w:t>
            </w:r>
          </w:p>
        </w:tc>
        <w:tc>
          <w:tcPr>
            <w:tcW w:w="6405" w:type="dxa"/>
          </w:tcPr>
          <w:p w14:paraId="224DA458" w14:textId="77777777" w:rsidR="001C7106" w:rsidRDefault="00000000">
            <w:pPr>
              <w:pStyle w:val="TableParagraph"/>
              <w:spacing w:before="36" w:line="215" w:lineRule="exact"/>
              <w:ind w:left="37"/>
              <w:rPr>
                <w:sz w:val="20"/>
              </w:rPr>
            </w:pPr>
            <w:r>
              <w:rPr>
                <w:sz w:val="20"/>
              </w:rPr>
              <w:t>Double Yellow with Median and 6 inch Turn Lane</w:t>
            </w:r>
          </w:p>
        </w:tc>
        <w:tc>
          <w:tcPr>
            <w:tcW w:w="1578" w:type="dxa"/>
          </w:tcPr>
          <w:p w14:paraId="17A68AB4" w14:textId="77777777" w:rsidR="001C7106" w:rsidRDefault="00000000">
            <w:pPr>
              <w:pStyle w:val="TableParagraph"/>
              <w:spacing w:line="251" w:lineRule="exact"/>
              <w:ind w:right="25"/>
              <w:jc w:val="right"/>
              <w:rPr>
                <w:sz w:val="24"/>
              </w:rPr>
            </w:pPr>
            <w:r>
              <w:rPr>
                <w:sz w:val="24"/>
              </w:rPr>
              <w:t>10,859.00</w:t>
            </w:r>
          </w:p>
        </w:tc>
        <w:tc>
          <w:tcPr>
            <w:tcW w:w="1136" w:type="dxa"/>
          </w:tcPr>
          <w:p w14:paraId="6B23E0D9" w14:textId="77777777" w:rsidR="001C7106" w:rsidRDefault="00000000">
            <w:pPr>
              <w:pStyle w:val="TableParagraph"/>
              <w:spacing w:line="251" w:lineRule="exact"/>
              <w:ind w:right="332"/>
              <w:jc w:val="right"/>
              <w:rPr>
                <w:sz w:val="24"/>
              </w:rPr>
            </w:pPr>
            <w:r>
              <w:rPr>
                <w:sz w:val="24"/>
              </w:rPr>
              <w:t>L.F.</w:t>
            </w:r>
          </w:p>
        </w:tc>
        <w:tc>
          <w:tcPr>
            <w:tcW w:w="1343" w:type="dxa"/>
          </w:tcPr>
          <w:p w14:paraId="5A75CD48" w14:textId="77777777" w:rsidR="001C7106" w:rsidRDefault="001C7106">
            <w:pPr>
              <w:pStyle w:val="TableParagraph"/>
              <w:rPr>
                <w:rFonts w:ascii="Times New Roman"/>
                <w:sz w:val="20"/>
              </w:rPr>
            </w:pPr>
          </w:p>
        </w:tc>
        <w:tc>
          <w:tcPr>
            <w:tcW w:w="2161" w:type="dxa"/>
          </w:tcPr>
          <w:p w14:paraId="74512516" w14:textId="77777777" w:rsidR="001C7106" w:rsidRDefault="001C7106">
            <w:pPr>
              <w:pStyle w:val="TableParagraph"/>
              <w:rPr>
                <w:rFonts w:ascii="Times New Roman"/>
                <w:sz w:val="20"/>
              </w:rPr>
            </w:pPr>
          </w:p>
        </w:tc>
      </w:tr>
      <w:tr w:rsidR="001C7106" w14:paraId="38869B45" w14:textId="77777777">
        <w:trPr>
          <w:trHeight w:val="270"/>
        </w:trPr>
        <w:tc>
          <w:tcPr>
            <w:tcW w:w="790" w:type="dxa"/>
          </w:tcPr>
          <w:p w14:paraId="2EE2406E" w14:textId="77777777" w:rsidR="001C7106" w:rsidRDefault="00000000">
            <w:pPr>
              <w:pStyle w:val="TableParagraph"/>
              <w:spacing w:line="250" w:lineRule="exact"/>
              <w:ind w:left="249" w:right="213"/>
              <w:jc w:val="center"/>
              <w:rPr>
                <w:sz w:val="24"/>
              </w:rPr>
            </w:pPr>
            <w:r>
              <w:rPr>
                <w:sz w:val="24"/>
              </w:rPr>
              <w:t>10</w:t>
            </w:r>
          </w:p>
        </w:tc>
        <w:tc>
          <w:tcPr>
            <w:tcW w:w="6405" w:type="dxa"/>
          </w:tcPr>
          <w:p w14:paraId="38CE9A39" w14:textId="77777777" w:rsidR="001C7106" w:rsidRDefault="00000000">
            <w:pPr>
              <w:pStyle w:val="TableParagraph"/>
              <w:spacing w:before="35" w:line="215" w:lineRule="exact"/>
              <w:ind w:left="37"/>
              <w:rPr>
                <w:sz w:val="20"/>
              </w:rPr>
            </w:pPr>
            <w:r>
              <w:rPr>
                <w:sz w:val="20"/>
              </w:rPr>
              <w:t>Double Yellow with 6 inch Turn Lane</w:t>
            </w:r>
          </w:p>
        </w:tc>
        <w:tc>
          <w:tcPr>
            <w:tcW w:w="1578" w:type="dxa"/>
          </w:tcPr>
          <w:p w14:paraId="68FF4383" w14:textId="77777777" w:rsidR="001C7106" w:rsidRDefault="00000000">
            <w:pPr>
              <w:pStyle w:val="TableParagraph"/>
              <w:spacing w:line="250" w:lineRule="exact"/>
              <w:ind w:right="25"/>
              <w:jc w:val="right"/>
              <w:rPr>
                <w:sz w:val="24"/>
              </w:rPr>
            </w:pPr>
            <w:r>
              <w:rPr>
                <w:sz w:val="24"/>
              </w:rPr>
              <w:t>5,899.00</w:t>
            </w:r>
          </w:p>
        </w:tc>
        <w:tc>
          <w:tcPr>
            <w:tcW w:w="1136" w:type="dxa"/>
          </w:tcPr>
          <w:p w14:paraId="23CDEB62" w14:textId="77777777" w:rsidR="001C7106" w:rsidRDefault="00000000">
            <w:pPr>
              <w:pStyle w:val="TableParagraph"/>
              <w:spacing w:line="250" w:lineRule="exact"/>
              <w:ind w:right="332"/>
              <w:jc w:val="right"/>
              <w:rPr>
                <w:sz w:val="24"/>
              </w:rPr>
            </w:pPr>
            <w:r>
              <w:rPr>
                <w:sz w:val="24"/>
              </w:rPr>
              <w:t>L.F.</w:t>
            </w:r>
          </w:p>
        </w:tc>
        <w:tc>
          <w:tcPr>
            <w:tcW w:w="1343" w:type="dxa"/>
          </w:tcPr>
          <w:p w14:paraId="2DCBCC92" w14:textId="77777777" w:rsidR="001C7106" w:rsidRDefault="001C7106">
            <w:pPr>
              <w:pStyle w:val="TableParagraph"/>
              <w:rPr>
                <w:rFonts w:ascii="Times New Roman"/>
                <w:sz w:val="20"/>
              </w:rPr>
            </w:pPr>
          </w:p>
        </w:tc>
        <w:tc>
          <w:tcPr>
            <w:tcW w:w="2161" w:type="dxa"/>
          </w:tcPr>
          <w:p w14:paraId="7E73B8D4" w14:textId="77777777" w:rsidR="001C7106" w:rsidRDefault="001C7106">
            <w:pPr>
              <w:pStyle w:val="TableParagraph"/>
              <w:rPr>
                <w:rFonts w:ascii="Times New Roman"/>
                <w:sz w:val="20"/>
              </w:rPr>
            </w:pPr>
          </w:p>
        </w:tc>
      </w:tr>
      <w:tr w:rsidR="001C7106" w14:paraId="76FC8B26" w14:textId="77777777">
        <w:trPr>
          <w:trHeight w:val="270"/>
        </w:trPr>
        <w:tc>
          <w:tcPr>
            <w:tcW w:w="790" w:type="dxa"/>
          </w:tcPr>
          <w:p w14:paraId="1EFF8275" w14:textId="77777777" w:rsidR="001C7106" w:rsidRDefault="00000000">
            <w:pPr>
              <w:pStyle w:val="TableParagraph"/>
              <w:spacing w:line="250" w:lineRule="exact"/>
              <w:ind w:left="249" w:right="213"/>
              <w:jc w:val="center"/>
              <w:rPr>
                <w:sz w:val="24"/>
              </w:rPr>
            </w:pPr>
            <w:r>
              <w:rPr>
                <w:sz w:val="24"/>
              </w:rPr>
              <w:t>11</w:t>
            </w:r>
          </w:p>
        </w:tc>
        <w:tc>
          <w:tcPr>
            <w:tcW w:w="6405" w:type="dxa"/>
          </w:tcPr>
          <w:p w14:paraId="4B3C748E" w14:textId="77777777" w:rsidR="001C7106" w:rsidRDefault="00000000">
            <w:pPr>
              <w:pStyle w:val="TableParagraph"/>
              <w:spacing w:before="35" w:line="215" w:lineRule="exact"/>
              <w:ind w:left="37"/>
              <w:rPr>
                <w:sz w:val="20"/>
              </w:rPr>
            </w:pPr>
            <w:r>
              <w:rPr>
                <w:sz w:val="20"/>
              </w:rPr>
              <w:t>Double Yellow with 6 inch Turn Lane and 6 inch Bike Lanes</w:t>
            </w:r>
          </w:p>
        </w:tc>
        <w:tc>
          <w:tcPr>
            <w:tcW w:w="1578" w:type="dxa"/>
          </w:tcPr>
          <w:p w14:paraId="6950524F" w14:textId="77777777" w:rsidR="001C7106" w:rsidRDefault="00000000">
            <w:pPr>
              <w:pStyle w:val="TableParagraph"/>
              <w:spacing w:line="250" w:lineRule="exact"/>
              <w:ind w:right="25"/>
              <w:jc w:val="right"/>
              <w:rPr>
                <w:sz w:val="24"/>
              </w:rPr>
            </w:pPr>
            <w:r>
              <w:rPr>
                <w:sz w:val="24"/>
              </w:rPr>
              <w:t>10,223.00</w:t>
            </w:r>
          </w:p>
        </w:tc>
        <w:tc>
          <w:tcPr>
            <w:tcW w:w="1136" w:type="dxa"/>
          </w:tcPr>
          <w:p w14:paraId="4972A206" w14:textId="77777777" w:rsidR="001C7106" w:rsidRDefault="00000000">
            <w:pPr>
              <w:pStyle w:val="TableParagraph"/>
              <w:spacing w:line="250" w:lineRule="exact"/>
              <w:ind w:right="332"/>
              <w:jc w:val="right"/>
              <w:rPr>
                <w:sz w:val="24"/>
              </w:rPr>
            </w:pPr>
            <w:r>
              <w:rPr>
                <w:sz w:val="24"/>
              </w:rPr>
              <w:t>L.F.</w:t>
            </w:r>
          </w:p>
        </w:tc>
        <w:tc>
          <w:tcPr>
            <w:tcW w:w="1343" w:type="dxa"/>
          </w:tcPr>
          <w:p w14:paraId="4DBEADA6" w14:textId="77777777" w:rsidR="001C7106" w:rsidRDefault="001C7106">
            <w:pPr>
              <w:pStyle w:val="TableParagraph"/>
              <w:rPr>
                <w:rFonts w:ascii="Times New Roman"/>
                <w:sz w:val="20"/>
              </w:rPr>
            </w:pPr>
          </w:p>
        </w:tc>
        <w:tc>
          <w:tcPr>
            <w:tcW w:w="2161" w:type="dxa"/>
          </w:tcPr>
          <w:p w14:paraId="2718A19B" w14:textId="77777777" w:rsidR="001C7106" w:rsidRDefault="001C7106">
            <w:pPr>
              <w:pStyle w:val="TableParagraph"/>
              <w:rPr>
                <w:rFonts w:ascii="Times New Roman"/>
                <w:sz w:val="20"/>
              </w:rPr>
            </w:pPr>
          </w:p>
        </w:tc>
      </w:tr>
      <w:tr w:rsidR="001C7106" w14:paraId="52594B7D" w14:textId="77777777">
        <w:trPr>
          <w:trHeight w:val="270"/>
        </w:trPr>
        <w:tc>
          <w:tcPr>
            <w:tcW w:w="790" w:type="dxa"/>
          </w:tcPr>
          <w:p w14:paraId="51733AD2" w14:textId="77777777" w:rsidR="001C7106" w:rsidRDefault="00000000">
            <w:pPr>
              <w:pStyle w:val="TableParagraph"/>
              <w:spacing w:line="250" w:lineRule="exact"/>
              <w:ind w:left="249" w:right="213"/>
              <w:jc w:val="center"/>
              <w:rPr>
                <w:sz w:val="24"/>
              </w:rPr>
            </w:pPr>
            <w:r>
              <w:rPr>
                <w:sz w:val="24"/>
              </w:rPr>
              <w:t>12</w:t>
            </w:r>
          </w:p>
        </w:tc>
        <w:tc>
          <w:tcPr>
            <w:tcW w:w="6405" w:type="dxa"/>
          </w:tcPr>
          <w:p w14:paraId="4CA47A9B" w14:textId="77777777" w:rsidR="001C7106" w:rsidRDefault="00000000">
            <w:pPr>
              <w:pStyle w:val="TableParagraph"/>
              <w:spacing w:before="35" w:line="215" w:lineRule="exact"/>
              <w:ind w:left="37"/>
              <w:rPr>
                <w:sz w:val="20"/>
              </w:rPr>
            </w:pPr>
            <w:r>
              <w:rPr>
                <w:sz w:val="20"/>
              </w:rPr>
              <w:t>Pavement Markings (43 Total Bike Symbols)</w:t>
            </w:r>
          </w:p>
        </w:tc>
        <w:tc>
          <w:tcPr>
            <w:tcW w:w="1578" w:type="dxa"/>
          </w:tcPr>
          <w:p w14:paraId="5D0070DC" w14:textId="77777777" w:rsidR="001C7106" w:rsidRDefault="00000000">
            <w:pPr>
              <w:pStyle w:val="TableParagraph"/>
              <w:spacing w:line="250" w:lineRule="exact"/>
              <w:ind w:left="642" w:right="609"/>
              <w:jc w:val="center"/>
              <w:rPr>
                <w:sz w:val="24"/>
              </w:rPr>
            </w:pPr>
            <w:r>
              <w:rPr>
                <w:sz w:val="24"/>
              </w:rPr>
              <w:t>43</w:t>
            </w:r>
          </w:p>
        </w:tc>
        <w:tc>
          <w:tcPr>
            <w:tcW w:w="1136" w:type="dxa"/>
          </w:tcPr>
          <w:p w14:paraId="74F69EFB" w14:textId="77777777" w:rsidR="001C7106" w:rsidRDefault="00000000">
            <w:pPr>
              <w:pStyle w:val="TableParagraph"/>
              <w:spacing w:before="35" w:line="215" w:lineRule="exact"/>
              <w:ind w:right="312"/>
              <w:jc w:val="right"/>
              <w:rPr>
                <w:sz w:val="20"/>
              </w:rPr>
            </w:pPr>
            <w:r>
              <w:rPr>
                <w:sz w:val="20"/>
              </w:rPr>
              <w:t>Each</w:t>
            </w:r>
          </w:p>
        </w:tc>
        <w:tc>
          <w:tcPr>
            <w:tcW w:w="1343" w:type="dxa"/>
          </w:tcPr>
          <w:p w14:paraId="343DF513" w14:textId="77777777" w:rsidR="001C7106" w:rsidRDefault="001C7106">
            <w:pPr>
              <w:pStyle w:val="TableParagraph"/>
              <w:rPr>
                <w:rFonts w:ascii="Times New Roman"/>
                <w:sz w:val="20"/>
              </w:rPr>
            </w:pPr>
          </w:p>
        </w:tc>
        <w:tc>
          <w:tcPr>
            <w:tcW w:w="2161" w:type="dxa"/>
          </w:tcPr>
          <w:p w14:paraId="47EFB756" w14:textId="77777777" w:rsidR="001C7106" w:rsidRDefault="001C7106">
            <w:pPr>
              <w:pStyle w:val="TableParagraph"/>
              <w:rPr>
                <w:rFonts w:ascii="Times New Roman"/>
                <w:sz w:val="20"/>
              </w:rPr>
            </w:pPr>
          </w:p>
        </w:tc>
      </w:tr>
      <w:tr w:rsidR="001C7106" w14:paraId="7BEF1514" w14:textId="77777777">
        <w:trPr>
          <w:trHeight w:val="270"/>
        </w:trPr>
        <w:tc>
          <w:tcPr>
            <w:tcW w:w="790" w:type="dxa"/>
          </w:tcPr>
          <w:p w14:paraId="46B1CDCE" w14:textId="77777777" w:rsidR="001C7106" w:rsidRDefault="001C7106">
            <w:pPr>
              <w:pStyle w:val="TableParagraph"/>
              <w:rPr>
                <w:rFonts w:ascii="Times New Roman"/>
                <w:sz w:val="20"/>
              </w:rPr>
            </w:pPr>
          </w:p>
        </w:tc>
        <w:tc>
          <w:tcPr>
            <w:tcW w:w="6405" w:type="dxa"/>
          </w:tcPr>
          <w:p w14:paraId="2E31380C" w14:textId="77777777" w:rsidR="001C7106" w:rsidRDefault="001C7106">
            <w:pPr>
              <w:pStyle w:val="TableParagraph"/>
              <w:rPr>
                <w:rFonts w:ascii="Times New Roman"/>
                <w:sz w:val="20"/>
              </w:rPr>
            </w:pPr>
          </w:p>
        </w:tc>
        <w:tc>
          <w:tcPr>
            <w:tcW w:w="1578" w:type="dxa"/>
          </w:tcPr>
          <w:p w14:paraId="313FE087" w14:textId="77777777" w:rsidR="001C7106" w:rsidRDefault="001C7106">
            <w:pPr>
              <w:pStyle w:val="TableParagraph"/>
              <w:rPr>
                <w:rFonts w:ascii="Times New Roman"/>
                <w:sz w:val="20"/>
              </w:rPr>
            </w:pPr>
          </w:p>
        </w:tc>
        <w:tc>
          <w:tcPr>
            <w:tcW w:w="1136" w:type="dxa"/>
          </w:tcPr>
          <w:p w14:paraId="7A956F69" w14:textId="77777777" w:rsidR="001C7106" w:rsidRDefault="001C7106">
            <w:pPr>
              <w:pStyle w:val="TableParagraph"/>
              <w:rPr>
                <w:rFonts w:ascii="Times New Roman"/>
                <w:sz w:val="20"/>
              </w:rPr>
            </w:pPr>
          </w:p>
        </w:tc>
        <w:tc>
          <w:tcPr>
            <w:tcW w:w="1343" w:type="dxa"/>
          </w:tcPr>
          <w:p w14:paraId="51DFFD37" w14:textId="77777777" w:rsidR="001C7106" w:rsidRDefault="001C7106">
            <w:pPr>
              <w:pStyle w:val="TableParagraph"/>
              <w:rPr>
                <w:rFonts w:ascii="Times New Roman"/>
                <w:sz w:val="20"/>
              </w:rPr>
            </w:pPr>
          </w:p>
        </w:tc>
        <w:tc>
          <w:tcPr>
            <w:tcW w:w="2161" w:type="dxa"/>
          </w:tcPr>
          <w:p w14:paraId="1901FA61" w14:textId="77777777" w:rsidR="001C7106" w:rsidRDefault="001C7106">
            <w:pPr>
              <w:pStyle w:val="TableParagraph"/>
              <w:rPr>
                <w:rFonts w:ascii="Times New Roman"/>
                <w:sz w:val="20"/>
              </w:rPr>
            </w:pPr>
          </w:p>
        </w:tc>
      </w:tr>
      <w:tr w:rsidR="001C7106" w14:paraId="293188CA" w14:textId="77777777">
        <w:trPr>
          <w:trHeight w:val="270"/>
        </w:trPr>
        <w:tc>
          <w:tcPr>
            <w:tcW w:w="790" w:type="dxa"/>
          </w:tcPr>
          <w:p w14:paraId="1E08A929" w14:textId="77777777" w:rsidR="001C7106" w:rsidRDefault="001C7106">
            <w:pPr>
              <w:pStyle w:val="TableParagraph"/>
              <w:rPr>
                <w:rFonts w:ascii="Times New Roman"/>
                <w:sz w:val="20"/>
              </w:rPr>
            </w:pPr>
          </w:p>
        </w:tc>
        <w:tc>
          <w:tcPr>
            <w:tcW w:w="6405" w:type="dxa"/>
          </w:tcPr>
          <w:p w14:paraId="4D4E5E57" w14:textId="77777777" w:rsidR="001C7106" w:rsidRDefault="001C7106">
            <w:pPr>
              <w:pStyle w:val="TableParagraph"/>
              <w:rPr>
                <w:rFonts w:ascii="Times New Roman"/>
                <w:sz w:val="20"/>
              </w:rPr>
            </w:pPr>
          </w:p>
        </w:tc>
        <w:tc>
          <w:tcPr>
            <w:tcW w:w="1578" w:type="dxa"/>
          </w:tcPr>
          <w:p w14:paraId="5285FE48" w14:textId="77777777" w:rsidR="001C7106" w:rsidRDefault="00000000">
            <w:pPr>
              <w:pStyle w:val="TableParagraph"/>
              <w:spacing w:before="35" w:line="215" w:lineRule="exact"/>
              <w:ind w:right="20"/>
              <w:jc w:val="right"/>
              <w:rPr>
                <w:b/>
                <w:sz w:val="20"/>
              </w:rPr>
            </w:pPr>
            <w:r>
              <w:rPr>
                <w:b/>
                <w:sz w:val="20"/>
              </w:rPr>
              <w:t>Bid Total:</w:t>
            </w:r>
          </w:p>
        </w:tc>
        <w:tc>
          <w:tcPr>
            <w:tcW w:w="1136" w:type="dxa"/>
          </w:tcPr>
          <w:p w14:paraId="7978DF5A" w14:textId="77777777" w:rsidR="001C7106" w:rsidRDefault="001C7106">
            <w:pPr>
              <w:pStyle w:val="TableParagraph"/>
              <w:rPr>
                <w:rFonts w:ascii="Times New Roman"/>
                <w:sz w:val="20"/>
              </w:rPr>
            </w:pPr>
          </w:p>
        </w:tc>
        <w:tc>
          <w:tcPr>
            <w:tcW w:w="1343" w:type="dxa"/>
          </w:tcPr>
          <w:p w14:paraId="2D1D7FAD" w14:textId="77777777" w:rsidR="001C7106" w:rsidRDefault="001C7106">
            <w:pPr>
              <w:pStyle w:val="TableParagraph"/>
              <w:rPr>
                <w:rFonts w:ascii="Times New Roman"/>
                <w:sz w:val="20"/>
              </w:rPr>
            </w:pPr>
          </w:p>
        </w:tc>
        <w:tc>
          <w:tcPr>
            <w:tcW w:w="2161" w:type="dxa"/>
          </w:tcPr>
          <w:p w14:paraId="5FB7CC9D" w14:textId="77777777" w:rsidR="001C7106" w:rsidRDefault="001C7106">
            <w:pPr>
              <w:pStyle w:val="TableParagraph"/>
              <w:rPr>
                <w:rFonts w:ascii="Times New Roman"/>
                <w:sz w:val="20"/>
              </w:rPr>
            </w:pPr>
          </w:p>
        </w:tc>
      </w:tr>
      <w:tr w:rsidR="001C7106" w14:paraId="6F44F28D" w14:textId="77777777">
        <w:trPr>
          <w:trHeight w:val="270"/>
        </w:trPr>
        <w:tc>
          <w:tcPr>
            <w:tcW w:w="790" w:type="dxa"/>
          </w:tcPr>
          <w:p w14:paraId="6C597A7B" w14:textId="77777777" w:rsidR="001C7106" w:rsidRDefault="001C7106">
            <w:pPr>
              <w:pStyle w:val="TableParagraph"/>
              <w:rPr>
                <w:rFonts w:ascii="Times New Roman"/>
                <w:sz w:val="20"/>
              </w:rPr>
            </w:pPr>
          </w:p>
        </w:tc>
        <w:tc>
          <w:tcPr>
            <w:tcW w:w="6405" w:type="dxa"/>
          </w:tcPr>
          <w:p w14:paraId="3FBCBD5D" w14:textId="77777777" w:rsidR="001C7106" w:rsidRDefault="00000000">
            <w:pPr>
              <w:pStyle w:val="TableParagraph"/>
              <w:spacing w:before="35" w:line="215" w:lineRule="exact"/>
              <w:ind w:left="37"/>
              <w:rPr>
                <w:b/>
                <w:sz w:val="20"/>
              </w:rPr>
            </w:pPr>
            <w:r>
              <w:rPr>
                <w:b/>
                <w:sz w:val="20"/>
              </w:rPr>
              <w:t>Notes</w:t>
            </w:r>
          </w:p>
        </w:tc>
        <w:tc>
          <w:tcPr>
            <w:tcW w:w="1578" w:type="dxa"/>
          </w:tcPr>
          <w:p w14:paraId="46B97C37" w14:textId="77777777" w:rsidR="001C7106" w:rsidRDefault="001C7106">
            <w:pPr>
              <w:pStyle w:val="TableParagraph"/>
              <w:rPr>
                <w:rFonts w:ascii="Times New Roman"/>
                <w:sz w:val="20"/>
              </w:rPr>
            </w:pPr>
          </w:p>
        </w:tc>
        <w:tc>
          <w:tcPr>
            <w:tcW w:w="1136" w:type="dxa"/>
          </w:tcPr>
          <w:p w14:paraId="54DF253E" w14:textId="77777777" w:rsidR="001C7106" w:rsidRDefault="001C7106">
            <w:pPr>
              <w:pStyle w:val="TableParagraph"/>
              <w:rPr>
                <w:rFonts w:ascii="Times New Roman"/>
                <w:sz w:val="20"/>
              </w:rPr>
            </w:pPr>
          </w:p>
        </w:tc>
        <w:tc>
          <w:tcPr>
            <w:tcW w:w="1343" w:type="dxa"/>
          </w:tcPr>
          <w:p w14:paraId="0FA49E82" w14:textId="77777777" w:rsidR="001C7106" w:rsidRDefault="001C7106">
            <w:pPr>
              <w:pStyle w:val="TableParagraph"/>
              <w:rPr>
                <w:rFonts w:ascii="Times New Roman"/>
                <w:sz w:val="20"/>
              </w:rPr>
            </w:pPr>
          </w:p>
        </w:tc>
        <w:tc>
          <w:tcPr>
            <w:tcW w:w="2161" w:type="dxa"/>
          </w:tcPr>
          <w:p w14:paraId="396192AE" w14:textId="77777777" w:rsidR="001C7106" w:rsidRDefault="001C7106">
            <w:pPr>
              <w:pStyle w:val="TableParagraph"/>
              <w:rPr>
                <w:rFonts w:ascii="Times New Roman"/>
                <w:sz w:val="20"/>
              </w:rPr>
            </w:pPr>
          </w:p>
        </w:tc>
      </w:tr>
      <w:tr w:rsidR="001C7106" w14:paraId="577572E6" w14:textId="77777777">
        <w:trPr>
          <w:trHeight w:val="270"/>
        </w:trPr>
        <w:tc>
          <w:tcPr>
            <w:tcW w:w="790" w:type="dxa"/>
          </w:tcPr>
          <w:p w14:paraId="431A0727" w14:textId="77777777" w:rsidR="001C7106" w:rsidRDefault="001C7106">
            <w:pPr>
              <w:pStyle w:val="TableParagraph"/>
              <w:rPr>
                <w:rFonts w:ascii="Times New Roman"/>
                <w:sz w:val="20"/>
              </w:rPr>
            </w:pPr>
          </w:p>
        </w:tc>
        <w:tc>
          <w:tcPr>
            <w:tcW w:w="6405" w:type="dxa"/>
          </w:tcPr>
          <w:p w14:paraId="58914DCA" w14:textId="77777777" w:rsidR="001C7106" w:rsidRDefault="00000000">
            <w:pPr>
              <w:pStyle w:val="TableParagraph"/>
              <w:spacing w:before="35" w:line="215" w:lineRule="exact"/>
              <w:ind w:left="37"/>
              <w:rPr>
                <w:sz w:val="20"/>
              </w:rPr>
            </w:pPr>
            <w:r>
              <w:rPr>
                <w:sz w:val="20"/>
              </w:rPr>
              <w:t>Total Linear Feet of Road</w:t>
            </w:r>
          </w:p>
        </w:tc>
        <w:tc>
          <w:tcPr>
            <w:tcW w:w="1578" w:type="dxa"/>
          </w:tcPr>
          <w:p w14:paraId="59622A6E" w14:textId="77777777" w:rsidR="001C7106" w:rsidRDefault="00000000">
            <w:pPr>
              <w:pStyle w:val="TableParagraph"/>
              <w:spacing w:line="250" w:lineRule="exact"/>
              <w:ind w:right="26"/>
              <w:jc w:val="right"/>
              <w:rPr>
                <w:sz w:val="24"/>
              </w:rPr>
            </w:pPr>
            <w:r>
              <w:rPr>
                <w:sz w:val="24"/>
              </w:rPr>
              <w:t>197,295.00</w:t>
            </w:r>
          </w:p>
        </w:tc>
        <w:tc>
          <w:tcPr>
            <w:tcW w:w="1136" w:type="dxa"/>
          </w:tcPr>
          <w:p w14:paraId="260294F4" w14:textId="77777777" w:rsidR="001C7106" w:rsidRDefault="001C7106">
            <w:pPr>
              <w:pStyle w:val="TableParagraph"/>
              <w:rPr>
                <w:rFonts w:ascii="Times New Roman"/>
                <w:sz w:val="20"/>
              </w:rPr>
            </w:pPr>
          </w:p>
        </w:tc>
        <w:tc>
          <w:tcPr>
            <w:tcW w:w="1343" w:type="dxa"/>
          </w:tcPr>
          <w:p w14:paraId="4C192A0F" w14:textId="77777777" w:rsidR="001C7106" w:rsidRDefault="001C7106">
            <w:pPr>
              <w:pStyle w:val="TableParagraph"/>
              <w:rPr>
                <w:rFonts w:ascii="Times New Roman"/>
                <w:sz w:val="20"/>
              </w:rPr>
            </w:pPr>
          </w:p>
        </w:tc>
        <w:tc>
          <w:tcPr>
            <w:tcW w:w="2161" w:type="dxa"/>
          </w:tcPr>
          <w:p w14:paraId="7C6F5DFB" w14:textId="77777777" w:rsidR="001C7106" w:rsidRDefault="001C7106">
            <w:pPr>
              <w:pStyle w:val="TableParagraph"/>
              <w:rPr>
                <w:rFonts w:ascii="Times New Roman"/>
                <w:sz w:val="20"/>
              </w:rPr>
            </w:pPr>
          </w:p>
        </w:tc>
      </w:tr>
      <w:tr w:rsidR="001C7106" w14:paraId="3E59BF33" w14:textId="77777777">
        <w:trPr>
          <w:trHeight w:val="270"/>
        </w:trPr>
        <w:tc>
          <w:tcPr>
            <w:tcW w:w="790" w:type="dxa"/>
          </w:tcPr>
          <w:p w14:paraId="4FC5C030" w14:textId="77777777" w:rsidR="001C7106" w:rsidRDefault="001C7106">
            <w:pPr>
              <w:pStyle w:val="TableParagraph"/>
              <w:rPr>
                <w:rFonts w:ascii="Times New Roman"/>
                <w:sz w:val="20"/>
              </w:rPr>
            </w:pPr>
          </w:p>
        </w:tc>
        <w:tc>
          <w:tcPr>
            <w:tcW w:w="6405" w:type="dxa"/>
          </w:tcPr>
          <w:p w14:paraId="706ADB15" w14:textId="77777777" w:rsidR="001C7106" w:rsidRDefault="00000000">
            <w:pPr>
              <w:pStyle w:val="TableParagraph"/>
              <w:spacing w:before="35" w:line="215" w:lineRule="exact"/>
              <w:ind w:left="37"/>
              <w:rPr>
                <w:sz w:val="20"/>
              </w:rPr>
            </w:pPr>
            <w:r>
              <w:rPr>
                <w:sz w:val="20"/>
              </w:rPr>
              <w:t>Total Linear Feet of Road with Bike Path</w:t>
            </w:r>
          </w:p>
        </w:tc>
        <w:tc>
          <w:tcPr>
            <w:tcW w:w="1578" w:type="dxa"/>
          </w:tcPr>
          <w:p w14:paraId="4E63B92D" w14:textId="77777777" w:rsidR="001C7106" w:rsidRDefault="00000000">
            <w:pPr>
              <w:pStyle w:val="TableParagraph"/>
              <w:spacing w:line="251" w:lineRule="exact"/>
              <w:ind w:right="25"/>
              <w:jc w:val="right"/>
              <w:rPr>
                <w:sz w:val="24"/>
              </w:rPr>
            </w:pPr>
            <w:r>
              <w:rPr>
                <w:sz w:val="24"/>
              </w:rPr>
              <w:t>28,229.00</w:t>
            </w:r>
          </w:p>
        </w:tc>
        <w:tc>
          <w:tcPr>
            <w:tcW w:w="1136" w:type="dxa"/>
          </w:tcPr>
          <w:p w14:paraId="62C3D99F" w14:textId="77777777" w:rsidR="001C7106" w:rsidRDefault="001C7106">
            <w:pPr>
              <w:pStyle w:val="TableParagraph"/>
              <w:rPr>
                <w:rFonts w:ascii="Times New Roman"/>
                <w:sz w:val="20"/>
              </w:rPr>
            </w:pPr>
          </w:p>
        </w:tc>
        <w:tc>
          <w:tcPr>
            <w:tcW w:w="1343" w:type="dxa"/>
          </w:tcPr>
          <w:p w14:paraId="0E80A6A5" w14:textId="77777777" w:rsidR="001C7106" w:rsidRDefault="001C7106">
            <w:pPr>
              <w:pStyle w:val="TableParagraph"/>
              <w:rPr>
                <w:rFonts w:ascii="Times New Roman"/>
                <w:sz w:val="20"/>
              </w:rPr>
            </w:pPr>
          </w:p>
        </w:tc>
        <w:tc>
          <w:tcPr>
            <w:tcW w:w="2161" w:type="dxa"/>
          </w:tcPr>
          <w:p w14:paraId="7885C169" w14:textId="77777777" w:rsidR="001C7106" w:rsidRDefault="001C7106">
            <w:pPr>
              <w:pStyle w:val="TableParagraph"/>
              <w:rPr>
                <w:rFonts w:ascii="Times New Roman"/>
                <w:sz w:val="20"/>
              </w:rPr>
            </w:pPr>
          </w:p>
        </w:tc>
      </w:tr>
    </w:tbl>
    <w:p w14:paraId="1408CA4B" w14:textId="77777777" w:rsidR="001C7106" w:rsidRDefault="00000000">
      <w:pPr>
        <w:spacing w:before="295"/>
        <w:ind w:left="167"/>
        <w:rPr>
          <w:rFonts w:ascii="Arial"/>
          <w:b/>
          <w:sz w:val="20"/>
        </w:rPr>
      </w:pPr>
      <w:r>
        <w:rPr>
          <w:rFonts w:ascii="Arial"/>
          <w:b/>
          <w:sz w:val="20"/>
        </w:rPr>
        <w:t>***PAVEMENT MARKING PAINT BID WITH UDOT SPECIFICATION WATERBOURNE PAINT AND REFLECTIVE GLASS BEAD***</w:t>
      </w:r>
    </w:p>
    <w:p w14:paraId="30454CA7" w14:textId="77777777" w:rsidR="001C7106" w:rsidRDefault="001C7106">
      <w:pPr>
        <w:pStyle w:val="BodyText"/>
        <w:rPr>
          <w:rFonts w:ascii="Arial"/>
          <w:b/>
          <w:sz w:val="15"/>
        </w:rPr>
      </w:pPr>
    </w:p>
    <w:p w14:paraId="6D9A7F5A" w14:textId="77777777" w:rsidR="001C7106" w:rsidRDefault="00000000">
      <w:pPr>
        <w:pStyle w:val="Heading1"/>
        <w:spacing w:line="264" w:lineRule="auto"/>
      </w:pPr>
      <w:r>
        <w:rPr>
          <w:color w:val="FF0000"/>
        </w:rPr>
        <w:t xml:space="preserve">Quantity is measured by the </w:t>
      </w:r>
      <w:proofErr w:type="spellStart"/>
      <w:r>
        <w:rPr>
          <w:color w:val="FF0000"/>
        </w:rPr>
        <w:t>the</w:t>
      </w:r>
      <w:proofErr w:type="spellEnd"/>
      <w:r>
        <w:rPr>
          <w:color w:val="FF0000"/>
        </w:rPr>
        <w:t xml:space="preserve"> length of the Road, NOT the exact Linear Feet of the required paint striping. Example: (Double yellow) estimated quantity = 100 linear feet, Unit Cost should include 200 linear feet to Include Two 4" yellow lines.</w:t>
      </w:r>
    </w:p>
    <w:p w14:paraId="5B1493FC" w14:textId="77777777" w:rsidR="001C7106" w:rsidRDefault="001C7106">
      <w:pPr>
        <w:pStyle w:val="BodyText"/>
        <w:spacing w:before="5"/>
        <w:rPr>
          <w:rFonts w:ascii="Arial"/>
          <w:b/>
          <w:sz w:val="30"/>
        </w:rPr>
      </w:pPr>
    </w:p>
    <w:p w14:paraId="3F7E00CA" w14:textId="77777777" w:rsidR="001C7106" w:rsidRDefault="00000000">
      <w:pPr>
        <w:tabs>
          <w:tab w:val="left" w:pos="8244"/>
        </w:tabs>
        <w:ind w:left="170"/>
        <w:rPr>
          <w:rFonts w:ascii="Arial"/>
        </w:rPr>
      </w:pPr>
      <w:r>
        <w:rPr>
          <w:rFonts w:ascii="Arial"/>
        </w:rPr>
        <w:t>I have read and understand the 2018 Paint Street</w:t>
      </w:r>
      <w:r>
        <w:rPr>
          <w:rFonts w:ascii="Arial"/>
          <w:spacing w:val="7"/>
        </w:rPr>
        <w:t xml:space="preserve"> </w:t>
      </w:r>
      <w:r>
        <w:rPr>
          <w:rFonts w:ascii="Arial"/>
        </w:rPr>
        <w:t>Striping</w:t>
      </w:r>
      <w:r>
        <w:rPr>
          <w:rFonts w:ascii="Arial"/>
          <w:spacing w:val="3"/>
        </w:rPr>
        <w:t xml:space="preserve"> </w:t>
      </w:r>
      <w:r>
        <w:rPr>
          <w:rFonts w:ascii="Arial"/>
        </w:rPr>
        <w:t>Agreement:</w:t>
      </w:r>
      <w:r>
        <w:rPr>
          <w:rFonts w:ascii="Arial"/>
          <w:u w:val="single"/>
        </w:rPr>
        <w:t xml:space="preserve"> </w:t>
      </w:r>
      <w:r>
        <w:rPr>
          <w:rFonts w:ascii="Arial"/>
          <w:u w:val="single"/>
        </w:rPr>
        <w:tab/>
      </w:r>
      <w:r>
        <w:rPr>
          <w:rFonts w:ascii="Arial"/>
        </w:rPr>
        <w:t>(initial)</w:t>
      </w:r>
    </w:p>
    <w:p w14:paraId="5FF121D8" w14:textId="77777777" w:rsidR="001C7106" w:rsidRDefault="001C7106">
      <w:pPr>
        <w:pStyle w:val="BodyText"/>
        <w:spacing w:before="6"/>
        <w:rPr>
          <w:rFonts w:ascii="Arial"/>
          <w:sz w:val="14"/>
        </w:rPr>
      </w:pPr>
    </w:p>
    <w:p w14:paraId="40AC3ADA" w14:textId="77777777" w:rsidR="001C7106" w:rsidRDefault="00000000">
      <w:pPr>
        <w:spacing w:before="93" w:after="5"/>
        <w:ind w:left="957"/>
        <w:rPr>
          <w:rFonts w:ascii="Arial"/>
          <w:sz w:val="20"/>
        </w:rPr>
      </w:pPr>
      <w:r>
        <w:rPr>
          <w:rFonts w:ascii="Arial"/>
          <w:sz w:val="20"/>
        </w:rPr>
        <w:t>Business</w:t>
      </w:r>
      <w:r>
        <w:rPr>
          <w:rFonts w:ascii="Arial"/>
          <w:spacing w:val="-5"/>
          <w:sz w:val="20"/>
        </w:rPr>
        <w:t xml:space="preserve"> </w:t>
      </w:r>
      <w:r>
        <w:rPr>
          <w:rFonts w:ascii="Arial"/>
          <w:sz w:val="20"/>
        </w:rPr>
        <w:t>Name:</w:t>
      </w:r>
    </w:p>
    <w:p w14:paraId="2A5A9FCD" w14:textId="77777777" w:rsidR="001C7106" w:rsidRDefault="00000000">
      <w:pPr>
        <w:pStyle w:val="BodyText"/>
        <w:spacing w:line="20" w:lineRule="exact"/>
        <w:ind w:left="918"/>
        <w:rPr>
          <w:rFonts w:ascii="Arial"/>
          <w:sz w:val="2"/>
        </w:rPr>
      </w:pPr>
      <w:r>
        <w:rPr>
          <w:rFonts w:ascii="Arial"/>
          <w:sz w:val="2"/>
        </w:rPr>
      </w:r>
      <w:r>
        <w:rPr>
          <w:rFonts w:ascii="Arial"/>
          <w:sz w:val="2"/>
        </w:rPr>
        <w:pict w14:anchorId="365B1A19">
          <v:group id="_x0000_s1032" style="width:320.35pt;height:1pt;mso-position-horizontal-relative:char;mso-position-vertical-relative:line" coordsize="6407,20">
            <v:line id="_x0000_s1034" style="position:absolute" from="1,1" to="6405,1" strokeweight=".14pt"/>
            <v:rect id="_x0000_s1033" style="position:absolute;width:6407;height:20" fillcolor="black" stroked="f"/>
            <w10:anchorlock/>
          </v:group>
        </w:pict>
      </w:r>
    </w:p>
    <w:p w14:paraId="71B156CF" w14:textId="77777777" w:rsidR="001C7106" w:rsidRDefault="00000000">
      <w:pPr>
        <w:spacing w:after="5"/>
        <w:ind w:left="957"/>
        <w:rPr>
          <w:rFonts w:ascii="Arial"/>
          <w:sz w:val="20"/>
        </w:rPr>
      </w:pPr>
      <w:r>
        <w:rPr>
          <w:rFonts w:ascii="Arial"/>
          <w:sz w:val="20"/>
        </w:rPr>
        <w:t>Contact</w:t>
      </w:r>
      <w:r>
        <w:rPr>
          <w:rFonts w:ascii="Arial"/>
          <w:spacing w:val="-10"/>
          <w:sz w:val="20"/>
        </w:rPr>
        <w:t xml:space="preserve"> </w:t>
      </w:r>
      <w:r>
        <w:rPr>
          <w:rFonts w:ascii="Arial"/>
          <w:sz w:val="20"/>
        </w:rPr>
        <w:t>Person:</w:t>
      </w:r>
    </w:p>
    <w:p w14:paraId="3B5C2D26" w14:textId="77777777" w:rsidR="001C7106" w:rsidRDefault="00000000">
      <w:pPr>
        <w:pStyle w:val="BodyText"/>
        <w:spacing w:line="20" w:lineRule="exact"/>
        <w:ind w:left="918"/>
        <w:rPr>
          <w:rFonts w:ascii="Arial"/>
          <w:sz w:val="2"/>
        </w:rPr>
      </w:pPr>
      <w:r>
        <w:rPr>
          <w:rFonts w:ascii="Arial"/>
          <w:sz w:val="2"/>
        </w:rPr>
      </w:r>
      <w:r>
        <w:rPr>
          <w:rFonts w:ascii="Arial"/>
          <w:sz w:val="2"/>
        </w:rPr>
        <w:pict w14:anchorId="399E12A5">
          <v:group id="_x0000_s1029" style="width:320.35pt;height:1pt;mso-position-horizontal-relative:char;mso-position-vertical-relative:line" coordsize="6407,20">
            <v:line id="_x0000_s1031" style="position:absolute" from="1,1" to="6405,1" strokeweight=".14pt"/>
            <v:rect id="_x0000_s1030" style="position:absolute;width:6407;height:20" fillcolor="black" stroked="f"/>
            <w10:anchorlock/>
          </v:group>
        </w:pict>
      </w:r>
    </w:p>
    <w:p w14:paraId="5A3CDEA6" w14:textId="77777777" w:rsidR="001C7106" w:rsidRDefault="00000000">
      <w:pPr>
        <w:tabs>
          <w:tab w:val="left" w:pos="7325"/>
        </w:tabs>
        <w:ind w:left="919"/>
        <w:rPr>
          <w:rFonts w:ascii="Arial"/>
          <w:sz w:val="20"/>
        </w:rPr>
      </w:pPr>
      <w:r>
        <w:rPr>
          <w:rFonts w:ascii="Arial"/>
          <w:spacing w:val="-17"/>
          <w:w w:val="99"/>
          <w:sz w:val="20"/>
          <w:u w:val="single"/>
        </w:rPr>
        <w:t xml:space="preserve"> </w:t>
      </w:r>
      <w:r>
        <w:rPr>
          <w:rFonts w:ascii="Arial"/>
          <w:sz w:val="20"/>
          <w:u w:val="single"/>
        </w:rPr>
        <w:t>Address:</w:t>
      </w:r>
      <w:r>
        <w:rPr>
          <w:rFonts w:ascii="Arial"/>
          <w:sz w:val="20"/>
          <w:u w:val="single"/>
        </w:rPr>
        <w:tab/>
      </w:r>
    </w:p>
    <w:p w14:paraId="6C3669F5" w14:textId="77777777" w:rsidR="001C7106" w:rsidRDefault="00000000">
      <w:pPr>
        <w:pStyle w:val="BodyText"/>
        <w:spacing w:before="5"/>
        <w:rPr>
          <w:rFonts w:ascii="Arial"/>
          <w:sz w:val="18"/>
        </w:rPr>
      </w:pPr>
      <w:r>
        <w:pict w14:anchorId="003E0E46">
          <v:group id="_x0000_s1026" style="position:absolute;margin-left:93.95pt;margin-top:12.65pt;width:320.35pt;height:1pt;z-index:-15727104;mso-wrap-distance-left:0;mso-wrap-distance-right:0;mso-position-horizontal-relative:page" coordorigin="1879,253" coordsize="6407,20">
            <v:line id="_x0000_s1028" style="position:absolute" from="1880,254" to="8285,254" strokeweight=".14pt"/>
            <v:rect id="_x0000_s1027" style="position:absolute;left:1879;top:252;width:6407;height:20" fillcolor="black" stroked="f"/>
            <w10:wrap type="topAndBottom" anchorx="page"/>
          </v:group>
        </w:pict>
      </w:r>
    </w:p>
    <w:p w14:paraId="7E8BCC2B" w14:textId="77777777" w:rsidR="001C7106" w:rsidRDefault="00000000">
      <w:pPr>
        <w:tabs>
          <w:tab w:val="left" w:pos="7325"/>
        </w:tabs>
        <w:ind w:left="919"/>
        <w:rPr>
          <w:rFonts w:ascii="Arial"/>
          <w:sz w:val="20"/>
        </w:rPr>
      </w:pPr>
      <w:r>
        <w:rPr>
          <w:rFonts w:ascii="Arial"/>
          <w:spacing w:val="-17"/>
          <w:w w:val="99"/>
          <w:sz w:val="20"/>
          <w:u w:val="single"/>
        </w:rPr>
        <w:t xml:space="preserve"> </w:t>
      </w:r>
      <w:r>
        <w:rPr>
          <w:rFonts w:ascii="Arial"/>
          <w:sz w:val="20"/>
          <w:u w:val="single"/>
        </w:rPr>
        <w:t>Phone</w:t>
      </w:r>
      <w:r>
        <w:rPr>
          <w:rFonts w:ascii="Arial"/>
          <w:spacing w:val="-7"/>
          <w:sz w:val="20"/>
          <w:u w:val="single"/>
        </w:rPr>
        <w:t xml:space="preserve"> </w:t>
      </w:r>
      <w:r>
        <w:rPr>
          <w:rFonts w:ascii="Arial"/>
          <w:sz w:val="20"/>
          <w:u w:val="single"/>
        </w:rPr>
        <w:t>Number:</w:t>
      </w:r>
      <w:r>
        <w:rPr>
          <w:rFonts w:ascii="Arial"/>
          <w:sz w:val="20"/>
          <w:u w:val="single"/>
        </w:rPr>
        <w:tab/>
      </w:r>
    </w:p>
    <w:sectPr w:rsidR="001C7106">
      <w:pgSz w:w="15840" w:h="12240" w:orient="landscape"/>
      <w:pgMar w:top="680" w:right="100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9C5310"/>
    <w:multiLevelType w:val="hybridMultilevel"/>
    <w:tmpl w:val="BC2A20B0"/>
    <w:lvl w:ilvl="0" w:tplc="73480242">
      <w:start w:val="1"/>
      <w:numFmt w:val="upperLetter"/>
      <w:lvlText w:val="%1."/>
      <w:lvlJc w:val="left"/>
      <w:pPr>
        <w:ind w:left="1140" w:hanging="720"/>
        <w:jc w:val="left"/>
      </w:pPr>
      <w:rPr>
        <w:rFonts w:ascii="Times New Roman" w:eastAsia="Times New Roman" w:hAnsi="Times New Roman" w:cs="Times New Roman" w:hint="default"/>
        <w:spacing w:val="-1"/>
        <w:w w:val="99"/>
        <w:sz w:val="24"/>
        <w:szCs w:val="24"/>
        <w:lang w:val="en-US" w:eastAsia="en-US" w:bidi="ar-SA"/>
      </w:rPr>
    </w:lvl>
    <w:lvl w:ilvl="1" w:tplc="1402D6C8">
      <w:numFmt w:val="bullet"/>
      <w:lvlText w:val="•"/>
      <w:lvlJc w:val="left"/>
      <w:pPr>
        <w:ind w:left="2016" w:hanging="720"/>
      </w:pPr>
      <w:rPr>
        <w:rFonts w:hint="default"/>
        <w:lang w:val="en-US" w:eastAsia="en-US" w:bidi="ar-SA"/>
      </w:rPr>
    </w:lvl>
    <w:lvl w:ilvl="2" w:tplc="778EE31C">
      <w:numFmt w:val="bullet"/>
      <w:lvlText w:val="•"/>
      <w:lvlJc w:val="left"/>
      <w:pPr>
        <w:ind w:left="2892" w:hanging="720"/>
      </w:pPr>
      <w:rPr>
        <w:rFonts w:hint="default"/>
        <w:lang w:val="en-US" w:eastAsia="en-US" w:bidi="ar-SA"/>
      </w:rPr>
    </w:lvl>
    <w:lvl w:ilvl="3" w:tplc="30DA6DEC">
      <w:numFmt w:val="bullet"/>
      <w:lvlText w:val="•"/>
      <w:lvlJc w:val="left"/>
      <w:pPr>
        <w:ind w:left="3768" w:hanging="720"/>
      </w:pPr>
      <w:rPr>
        <w:rFonts w:hint="default"/>
        <w:lang w:val="en-US" w:eastAsia="en-US" w:bidi="ar-SA"/>
      </w:rPr>
    </w:lvl>
    <w:lvl w:ilvl="4" w:tplc="5340508C">
      <w:numFmt w:val="bullet"/>
      <w:lvlText w:val="•"/>
      <w:lvlJc w:val="left"/>
      <w:pPr>
        <w:ind w:left="4644" w:hanging="720"/>
      </w:pPr>
      <w:rPr>
        <w:rFonts w:hint="default"/>
        <w:lang w:val="en-US" w:eastAsia="en-US" w:bidi="ar-SA"/>
      </w:rPr>
    </w:lvl>
    <w:lvl w:ilvl="5" w:tplc="89724AF0">
      <w:numFmt w:val="bullet"/>
      <w:lvlText w:val="•"/>
      <w:lvlJc w:val="left"/>
      <w:pPr>
        <w:ind w:left="5520" w:hanging="720"/>
      </w:pPr>
      <w:rPr>
        <w:rFonts w:hint="default"/>
        <w:lang w:val="en-US" w:eastAsia="en-US" w:bidi="ar-SA"/>
      </w:rPr>
    </w:lvl>
    <w:lvl w:ilvl="6" w:tplc="2D22F036">
      <w:numFmt w:val="bullet"/>
      <w:lvlText w:val="•"/>
      <w:lvlJc w:val="left"/>
      <w:pPr>
        <w:ind w:left="6396" w:hanging="720"/>
      </w:pPr>
      <w:rPr>
        <w:rFonts w:hint="default"/>
        <w:lang w:val="en-US" w:eastAsia="en-US" w:bidi="ar-SA"/>
      </w:rPr>
    </w:lvl>
    <w:lvl w:ilvl="7" w:tplc="E15E505A">
      <w:numFmt w:val="bullet"/>
      <w:lvlText w:val="•"/>
      <w:lvlJc w:val="left"/>
      <w:pPr>
        <w:ind w:left="7272" w:hanging="720"/>
      </w:pPr>
      <w:rPr>
        <w:rFonts w:hint="default"/>
        <w:lang w:val="en-US" w:eastAsia="en-US" w:bidi="ar-SA"/>
      </w:rPr>
    </w:lvl>
    <w:lvl w:ilvl="8" w:tplc="DB32A586">
      <w:numFmt w:val="bullet"/>
      <w:lvlText w:val="•"/>
      <w:lvlJc w:val="left"/>
      <w:pPr>
        <w:ind w:left="8148" w:hanging="720"/>
      </w:pPr>
      <w:rPr>
        <w:rFonts w:hint="default"/>
        <w:lang w:val="en-US" w:eastAsia="en-US" w:bidi="ar-SA"/>
      </w:rPr>
    </w:lvl>
  </w:abstractNum>
  <w:abstractNum w:abstractNumId="1" w15:restartNumberingAfterBreak="0">
    <w:nsid w:val="48BF0022"/>
    <w:multiLevelType w:val="hybridMultilevel"/>
    <w:tmpl w:val="97A8A76A"/>
    <w:lvl w:ilvl="0" w:tplc="3E06F118">
      <w:start w:val="1"/>
      <w:numFmt w:val="upperLetter"/>
      <w:lvlText w:val="%1."/>
      <w:lvlJc w:val="left"/>
      <w:pPr>
        <w:ind w:left="420" w:hanging="360"/>
        <w:jc w:val="left"/>
      </w:pPr>
      <w:rPr>
        <w:rFonts w:ascii="Times New Roman" w:eastAsia="Times New Roman" w:hAnsi="Times New Roman" w:cs="Times New Roman" w:hint="default"/>
        <w:spacing w:val="-1"/>
        <w:w w:val="99"/>
        <w:sz w:val="24"/>
        <w:szCs w:val="24"/>
        <w:lang w:val="en-US" w:eastAsia="en-US" w:bidi="ar-SA"/>
      </w:rPr>
    </w:lvl>
    <w:lvl w:ilvl="1" w:tplc="A62C8D32">
      <w:numFmt w:val="bullet"/>
      <w:lvlText w:val="•"/>
      <w:lvlJc w:val="left"/>
      <w:pPr>
        <w:ind w:left="1368" w:hanging="360"/>
      </w:pPr>
      <w:rPr>
        <w:rFonts w:hint="default"/>
        <w:lang w:val="en-US" w:eastAsia="en-US" w:bidi="ar-SA"/>
      </w:rPr>
    </w:lvl>
    <w:lvl w:ilvl="2" w:tplc="4ECAF4AC">
      <w:numFmt w:val="bullet"/>
      <w:lvlText w:val="•"/>
      <w:lvlJc w:val="left"/>
      <w:pPr>
        <w:ind w:left="2316" w:hanging="360"/>
      </w:pPr>
      <w:rPr>
        <w:rFonts w:hint="default"/>
        <w:lang w:val="en-US" w:eastAsia="en-US" w:bidi="ar-SA"/>
      </w:rPr>
    </w:lvl>
    <w:lvl w:ilvl="3" w:tplc="2E42E68C">
      <w:numFmt w:val="bullet"/>
      <w:lvlText w:val="•"/>
      <w:lvlJc w:val="left"/>
      <w:pPr>
        <w:ind w:left="3264" w:hanging="360"/>
      </w:pPr>
      <w:rPr>
        <w:rFonts w:hint="default"/>
        <w:lang w:val="en-US" w:eastAsia="en-US" w:bidi="ar-SA"/>
      </w:rPr>
    </w:lvl>
    <w:lvl w:ilvl="4" w:tplc="216810AA">
      <w:numFmt w:val="bullet"/>
      <w:lvlText w:val="•"/>
      <w:lvlJc w:val="left"/>
      <w:pPr>
        <w:ind w:left="4212" w:hanging="360"/>
      </w:pPr>
      <w:rPr>
        <w:rFonts w:hint="default"/>
        <w:lang w:val="en-US" w:eastAsia="en-US" w:bidi="ar-SA"/>
      </w:rPr>
    </w:lvl>
    <w:lvl w:ilvl="5" w:tplc="C192B5C2">
      <w:numFmt w:val="bullet"/>
      <w:lvlText w:val="•"/>
      <w:lvlJc w:val="left"/>
      <w:pPr>
        <w:ind w:left="5160" w:hanging="360"/>
      </w:pPr>
      <w:rPr>
        <w:rFonts w:hint="default"/>
        <w:lang w:val="en-US" w:eastAsia="en-US" w:bidi="ar-SA"/>
      </w:rPr>
    </w:lvl>
    <w:lvl w:ilvl="6" w:tplc="546884E8">
      <w:numFmt w:val="bullet"/>
      <w:lvlText w:val="•"/>
      <w:lvlJc w:val="left"/>
      <w:pPr>
        <w:ind w:left="6108" w:hanging="360"/>
      </w:pPr>
      <w:rPr>
        <w:rFonts w:hint="default"/>
        <w:lang w:val="en-US" w:eastAsia="en-US" w:bidi="ar-SA"/>
      </w:rPr>
    </w:lvl>
    <w:lvl w:ilvl="7" w:tplc="4B5A26D4">
      <w:numFmt w:val="bullet"/>
      <w:lvlText w:val="•"/>
      <w:lvlJc w:val="left"/>
      <w:pPr>
        <w:ind w:left="7056" w:hanging="360"/>
      </w:pPr>
      <w:rPr>
        <w:rFonts w:hint="default"/>
        <w:lang w:val="en-US" w:eastAsia="en-US" w:bidi="ar-SA"/>
      </w:rPr>
    </w:lvl>
    <w:lvl w:ilvl="8" w:tplc="D8804CA6">
      <w:numFmt w:val="bullet"/>
      <w:lvlText w:val="•"/>
      <w:lvlJc w:val="left"/>
      <w:pPr>
        <w:ind w:left="8004" w:hanging="360"/>
      </w:pPr>
      <w:rPr>
        <w:rFonts w:hint="default"/>
        <w:lang w:val="en-US" w:eastAsia="en-US" w:bidi="ar-SA"/>
      </w:rPr>
    </w:lvl>
  </w:abstractNum>
  <w:num w:numId="1" w16cid:durableId="2040466338">
    <w:abstractNumId w:val="0"/>
  </w:num>
  <w:num w:numId="2" w16cid:durableId="939679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C7106"/>
    <w:rsid w:val="001C7106"/>
    <w:rsid w:val="004A5BC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57DEF78A"/>
  <w15:docId w15:val="{2922FC5B-3543-470F-A888-A2F38DE1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2"/>
      <w:ind w:left="962" w:right="101"/>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40" w:hanging="721"/>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1865</Words>
  <Characters>10634</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