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77FE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Strategic Partnership Agreement</w:t>
      </w:r>
    </w:p>
    <w:p w:rsidR="00000000" w:rsidRDefault="00677FE7">
      <w:pPr>
        <w:jc w:val="center"/>
        <w:rPr>
          <w:b/>
        </w:rPr>
      </w:pPr>
      <w:r>
        <w:rPr>
          <w:b/>
        </w:rPr>
        <w:t>2002-2005</w:t>
      </w:r>
    </w:p>
    <w:p w:rsidR="00000000" w:rsidRDefault="00677FE7">
      <w:pPr>
        <w:jc w:val="center"/>
        <w:rPr>
          <w:b/>
        </w:rPr>
      </w:pPr>
    </w:p>
    <w:p w:rsidR="00000000" w:rsidRDefault="00E24DDF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184150</wp:posOffset>
                </wp:positionV>
                <wp:extent cx="1752600" cy="975360"/>
                <wp:effectExtent l="19050" t="2286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77FE7">
                            <w:pPr>
                              <w:jc w:val="center"/>
                            </w:pPr>
                          </w:p>
                          <w:p w:rsidR="00000000" w:rsidRDefault="00677FE7">
                            <w:pPr>
                              <w:jc w:val="center"/>
                            </w:pPr>
                          </w:p>
                          <w:p w:rsidR="00000000" w:rsidRDefault="00677FE7">
                            <w:pPr>
                              <w:jc w:val="center"/>
                            </w:pPr>
                            <w:r>
                              <w:t>PARTNER</w:t>
                            </w:r>
                          </w:p>
                          <w:p w:rsidR="00000000" w:rsidRDefault="00677FE7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70pt;margin-top:14.5pt;width:138pt;height:7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" strokeweight="3pt">
                <v:stroke linestyle="thinThin"/>
                <v:textbox>
                  <w:txbxContent>
                    <w:p w:rsidR="00000000" w:rsidRDefault="00677FE7">
                      <w:pPr>
                        <w:jc w:val="center"/>
                      </w:pPr>
                    </w:p>
                    <w:p w:rsidR="00000000" w:rsidRDefault="00677FE7">
                      <w:pPr>
                        <w:jc w:val="center"/>
                      </w:pPr>
                    </w:p>
                    <w:p w:rsidR="00000000" w:rsidRDefault="00677FE7">
                      <w:pPr>
                        <w:jc w:val="center"/>
                      </w:pPr>
                      <w:r>
                        <w:t>PARTNER</w:t>
                      </w:r>
                    </w:p>
                    <w:p w:rsidR="00000000" w:rsidRDefault="00677FE7">
                      <w:pPr>
                        <w:jc w:val="center"/>
                      </w:pPr>
                      <w:r>
                        <w:t>LOGO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w:drawing>
          <wp:inline distT="0" distB="0" distL="0" distR="0">
            <wp:extent cx="2362200" cy="1266825"/>
            <wp:effectExtent l="0" t="0" r="0" b="9525"/>
            <wp:docPr id="1" name="Picture 1" descr="Careers Scot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eers Scotla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77FE7">
      <w:pPr>
        <w:jc w:val="center"/>
      </w:pPr>
      <w:r>
        <w:tab/>
      </w:r>
      <w:r>
        <w:tab/>
      </w:r>
      <w:r>
        <w:tab/>
      </w:r>
      <w:r>
        <w:tab/>
      </w:r>
    </w:p>
    <w:p w:rsidR="00000000" w:rsidRDefault="00677FE7">
      <w:pPr>
        <w:rPr>
          <w:b/>
        </w:rPr>
      </w:pPr>
      <w:r>
        <w:rPr>
          <w:b/>
          <w:i/>
          <w:sz w:val="22"/>
          <w:szCs w:val="22"/>
        </w:rPr>
        <w:t xml:space="preserve">  </w:t>
      </w:r>
      <w:r>
        <w:rPr>
          <w:b/>
          <w:sz w:val="22"/>
          <w:szCs w:val="22"/>
        </w:rPr>
        <w:t>Vision/Mission statement</w:t>
      </w:r>
    </w:p>
    <w:p w:rsidR="00000000" w:rsidRDefault="00677FE7">
      <w:pPr>
        <w:rPr>
          <w:b/>
        </w:rPr>
      </w:pPr>
    </w:p>
    <w:p w:rsidR="00000000" w:rsidRDefault="00677FE7">
      <w:pPr>
        <w:jc w:val="both"/>
        <w:rPr>
          <w:b/>
          <w:i/>
          <w:sz w:val="22"/>
          <w:szCs w:val="22"/>
        </w:rPr>
      </w:pPr>
      <w:r>
        <w:rPr>
          <w:b/>
          <w:i/>
          <w:sz w:val="20"/>
          <w:szCs w:val="20"/>
        </w:rPr>
        <w:t>“</w:t>
      </w:r>
      <w:r>
        <w:rPr>
          <w:b/>
          <w:i/>
          <w:sz w:val="22"/>
          <w:szCs w:val="22"/>
        </w:rPr>
        <w:t>Careers Scotland is ambitious for the people of Scotland, supporting all individuals in developing and realising their career aspirations throughout their lives.”</w:t>
      </w:r>
      <w:r>
        <w:rPr>
          <w:b/>
          <w:i/>
          <w:sz w:val="22"/>
          <w:szCs w:val="22"/>
        </w:rPr>
        <w:cr/>
      </w:r>
    </w:p>
    <w:p w:rsidR="00000000" w:rsidRDefault="00677FE7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00000" w:rsidRDefault="00677FE7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We the un</w:t>
      </w:r>
      <w:r>
        <w:rPr>
          <w:b/>
          <w:i/>
          <w:sz w:val="22"/>
          <w:szCs w:val="22"/>
        </w:rPr>
        <w:t>dersigned declare our organisation’s commitment to the following Strategic Partnership</w:t>
      </w:r>
    </w:p>
    <w:p w:rsidR="00000000" w:rsidRDefault="00677FE7">
      <w:pPr>
        <w:rPr>
          <w:b/>
          <w:sz w:val="22"/>
          <w:szCs w:val="22"/>
        </w:rPr>
      </w:pPr>
    </w:p>
    <w:p w:rsidR="00000000" w:rsidRDefault="00677FE7">
      <w:pPr>
        <w:rPr>
          <w:b/>
          <w:sz w:val="22"/>
          <w:szCs w:val="22"/>
        </w:rPr>
      </w:pPr>
    </w:p>
    <w:p w:rsidR="00000000" w:rsidRDefault="00677FE7">
      <w:pPr>
        <w:rPr>
          <w:b/>
          <w:sz w:val="22"/>
          <w:szCs w:val="22"/>
        </w:rPr>
      </w:pPr>
    </w:p>
    <w:p w:rsidR="00000000" w:rsidRDefault="00677FE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Director                                                                                              </w:t>
      </w:r>
      <w:r>
        <w:rPr>
          <w:b/>
          <w:sz w:val="22"/>
          <w:szCs w:val="22"/>
        </w:rPr>
        <w:tab/>
        <w:t xml:space="preserve"> </w:t>
      </w:r>
    </w:p>
    <w:p w:rsidR="00000000" w:rsidRDefault="00677FE7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Careers Scotland                                             </w:t>
      </w:r>
      <w:r>
        <w:rPr>
          <w:b/>
          <w:sz w:val="22"/>
          <w:szCs w:val="22"/>
        </w:rPr>
        <w:t xml:space="preserve">                                    </w:t>
      </w:r>
      <w:r>
        <w:rPr>
          <w:b/>
          <w:sz w:val="22"/>
          <w:szCs w:val="22"/>
        </w:rPr>
        <w:tab/>
      </w:r>
      <w:r>
        <w:rPr>
          <w:i/>
          <w:sz w:val="22"/>
          <w:szCs w:val="22"/>
        </w:rPr>
        <w:t xml:space="preserve"> </w:t>
      </w:r>
      <w:r>
        <w:rPr>
          <w:b/>
          <w:bCs/>
          <w:i/>
          <w:sz w:val="22"/>
          <w:szCs w:val="22"/>
        </w:rPr>
        <w:t>Partner</w:t>
      </w:r>
    </w:p>
    <w:p w:rsidR="00000000" w:rsidRDefault="00677FE7">
      <w:pPr>
        <w:rPr>
          <w:b/>
        </w:rPr>
      </w:pPr>
    </w:p>
    <w:p w:rsidR="00000000" w:rsidRDefault="00677FE7">
      <w:pPr>
        <w:rPr>
          <w:b/>
        </w:rPr>
      </w:pPr>
    </w:p>
    <w:p w:rsidR="00000000" w:rsidRDefault="00677FE7">
      <w:pPr>
        <w:rPr>
          <w:b/>
        </w:rPr>
      </w:pPr>
    </w:p>
    <w:p w:rsidR="00000000" w:rsidRDefault="00677FE7">
      <w:pPr>
        <w:rPr>
          <w:b/>
        </w:rPr>
      </w:pPr>
    </w:p>
    <w:p w:rsidR="00000000" w:rsidRDefault="00677FE7">
      <w:pPr>
        <w:rPr>
          <w:b/>
        </w:rPr>
      </w:pPr>
    </w:p>
    <w:p w:rsidR="00000000" w:rsidRDefault="00677FE7">
      <w:pPr>
        <w:rPr>
          <w:b/>
        </w:rPr>
      </w:pPr>
    </w:p>
    <w:p w:rsidR="00000000" w:rsidRDefault="00677FE7">
      <w:pPr>
        <w:rPr>
          <w:b/>
        </w:rPr>
      </w:pPr>
    </w:p>
    <w:p w:rsidR="00000000" w:rsidRDefault="00677FE7" w:rsidP="00677FE7">
      <w:pPr>
        <w:numPr>
          <w:ilvl w:val="0"/>
          <w:numId w:val="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Purpose</w:t>
      </w:r>
    </w:p>
    <w:p w:rsidR="00000000" w:rsidRDefault="00677FE7">
      <w:pPr>
        <w:ind w:left="360"/>
        <w:rPr>
          <w:b/>
          <w:sz w:val="22"/>
          <w:szCs w:val="22"/>
        </w:rPr>
      </w:pPr>
    </w:p>
    <w:p w:rsidR="00000000" w:rsidRDefault="00677FE7">
      <w:pPr>
        <w:pStyle w:val="BodyText"/>
      </w:pPr>
      <w:r>
        <w:t>The aim of this document is to establish effective cooperation between ----------------- and Careers Scotland. The document is based on mutual understanding of the values, roles and responsibili</w:t>
      </w:r>
      <w:r>
        <w:t>ties of each organisation and provides a framework for developing genuine partnership. The agreement covers the period 2002-2005 and will have an annual operating plan and review mechanism.</w:t>
      </w:r>
    </w:p>
    <w:p w:rsidR="00000000" w:rsidRDefault="00677FE7">
      <w:pPr>
        <w:pStyle w:val="BodyText"/>
      </w:pPr>
    </w:p>
    <w:p w:rsidR="00000000" w:rsidRDefault="00677FE7">
      <w:pPr>
        <w:rPr>
          <w:sz w:val="22"/>
          <w:szCs w:val="22"/>
        </w:rPr>
      </w:pPr>
      <w:r>
        <w:rPr>
          <w:sz w:val="22"/>
          <w:szCs w:val="22"/>
        </w:rPr>
        <w:t>Its objectives are;</w:t>
      </w:r>
    </w:p>
    <w:p w:rsidR="00000000" w:rsidRDefault="00677FE7" w:rsidP="00677FE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establish clearly defined processes and pr</w:t>
      </w:r>
      <w:r>
        <w:rPr>
          <w:sz w:val="22"/>
          <w:szCs w:val="22"/>
        </w:rPr>
        <w:t>ocedures for engaging with each other across a range of issues;</w:t>
      </w:r>
    </w:p>
    <w:p w:rsidR="00000000" w:rsidRDefault="00677FE7" w:rsidP="00677FE7">
      <w:pPr>
        <w:numPr>
          <w:ilvl w:val="0"/>
          <w:numId w:val="1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Increasing shared understanding of how ---------- and Careers Scotland work, and their policy priorities;</w:t>
      </w:r>
    </w:p>
    <w:p w:rsidR="00000000" w:rsidRDefault="00677FE7" w:rsidP="00677FE7">
      <w:pPr>
        <w:numPr>
          <w:ilvl w:val="0"/>
          <w:numId w:val="1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Extending opportunities for each partner to contribute their experience and ideas to t</w:t>
      </w:r>
      <w:r>
        <w:rPr>
          <w:sz w:val="22"/>
          <w:szCs w:val="22"/>
        </w:rPr>
        <w:t>he development and implementation of the others policy;</w:t>
      </w:r>
    </w:p>
    <w:p w:rsidR="00000000" w:rsidRDefault="00677FE7" w:rsidP="00677FE7">
      <w:pPr>
        <w:numPr>
          <w:ilvl w:val="0"/>
          <w:numId w:val="1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Achieving a consistency of approach across Scotland with regard to relations between --------- and Careers Scotland</w:t>
      </w:r>
    </w:p>
    <w:p w:rsidR="00000000" w:rsidRDefault="00677FE7" w:rsidP="00677FE7">
      <w:pPr>
        <w:numPr>
          <w:ilvl w:val="0"/>
          <w:numId w:val="1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Working in partnership in areas of mutual interest; </w:t>
      </w:r>
    </w:p>
    <w:p w:rsidR="00000000" w:rsidRDefault="00677FE7" w:rsidP="00677FE7">
      <w:pPr>
        <w:numPr>
          <w:ilvl w:val="0"/>
          <w:numId w:val="1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Informing longer-term planning </w:t>
      </w:r>
      <w:r>
        <w:rPr>
          <w:sz w:val="22"/>
          <w:szCs w:val="22"/>
        </w:rPr>
        <w:t>and strategic thinking;</w:t>
      </w:r>
    </w:p>
    <w:p w:rsidR="00000000" w:rsidRDefault="00677FE7" w:rsidP="00677FE7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To provide a reference point for members, customers and staff of both organisations and interested parties as to the shared strategic priorities and agreed actions of both organisations. </w:t>
      </w:r>
    </w:p>
    <w:p w:rsidR="00000000" w:rsidRDefault="00677FE7">
      <w:pPr>
        <w:rPr>
          <w:b/>
          <w:sz w:val="22"/>
          <w:szCs w:val="22"/>
        </w:rPr>
      </w:pPr>
    </w:p>
    <w:p w:rsidR="00000000" w:rsidRDefault="00677FE7" w:rsidP="00677FE7">
      <w:pPr>
        <w:numPr>
          <w:ilvl w:val="0"/>
          <w:numId w:val="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Partnership Values</w:t>
      </w:r>
    </w:p>
    <w:p w:rsidR="00000000" w:rsidRDefault="00677FE7">
      <w:pPr>
        <w:tabs>
          <w:tab w:val="left" w:pos="-142"/>
        </w:tabs>
        <w:rPr>
          <w:b/>
          <w:sz w:val="22"/>
          <w:szCs w:val="22"/>
        </w:rPr>
      </w:pPr>
    </w:p>
    <w:p w:rsidR="00000000" w:rsidRDefault="00677FE7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Our relationship is bas</w:t>
      </w:r>
      <w:r>
        <w:rPr>
          <w:sz w:val="22"/>
          <w:szCs w:val="22"/>
        </w:rPr>
        <w:t>ed on:</w:t>
      </w:r>
    </w:p>
    <w:p w:rsidR="00000000" w:rsidRDefault="00677FE7" w:rsidP="00677FE7">
      <w:pPr>
        <w:numPr>
          <w:ilvl w:val="0"/>
          <w:numId w:val="4"/>
        </w:numPr>
        <w:tabs>
          <w:tab w:val="clear" w:pos="720"/>
          <w:tab w:val="left" w:pos="0"/>
          <w:tab w:val="num" w:pos="36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mutual respect and trust;</w:t>
      </w:r>
    </w:p>
    <w:p w:rsidR="00000000" w:rsidRDefault="00677FE7" w:rsidP="00677FE7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openness and transparency in communications;</w:t>
      </w:r>
    </w:p>
    <w:p w:rsidR="00000000" w:rsidRDefault="00677FE7" w:rsidP="00677FE7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commitment to being positive and constructive;</w:t>
      </w:r>
    </w:p>
    <w:p w:rsidR="00000000" w:rsidRDefault="00677FE7" w:rsidP="00677FE7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commitment to work with and learn from others;</w:t>
      </w:r>
    </w:p>
    <w:p w:rsidR="00000000" w:rsidRDefault="00677FE7" w:rsidP="00677FE7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a continuing dialogue on policy and priorities;</w:t>
      </w:r>
    </w:p>
    <w:p w:rsidR="00000000" w:rsidRDefault="00677FE7" w:rsidP="00677FE7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ensuring high quality outcomes; and</w:t>
      </w:r>
    </w:p>
    <w:p w:rsidR="00000000" w:rsidRDefault="00677FE7" w:rsidP="00677FE7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b/>
          <w:sz w:val="22"/>
          <w:szCs w:val="22"/>
        </w:rPr>
      </w:pPr>
      <w:r>
        <w:rPr>
          <w:sz w:val="22"/>
          <w:szCs w:val="22"/>
        </w:rPr>
        <w:t xml:space="preserve">making the best use of resources </w:t>
      </w:r>
    </w:p>
    <w:p w:rsidR="00000000" w:rsidRDefault="00677FE7">
      <w:pPr>
        <w:rPr>
          <w:b/>
          <w:sz w:val="22"/>
          <w:szCs w:val="22"/>
        </w:rPr>
      </w:pPr>
    </w:p>
    <w:p w:rsidR="00000000" w:rsidRDefault="00677FE7">
      <w:pPr>
        <w:rPr>
          <w:b/>
          <w:sz w:val="22"/>
          <w:szCs w:val="22"/>
        </w:rPr>
      </w:pPr>
    </w:p>
    <w:p w:rsidR="00000000" w:rsidRDefault="00677FE7">
      <w:pPr>
        <w:rPr>
          <w:b/>
          <w:sz w:val="22"/>
          <w:szCs w:val="22"/>
        </w:rPr>
      </w:pPr>
    </w:p>
    <w:p w:rsidR="00000000" w:rsidRDefault="00677FE7">
      <w:pPr>
        <w:rPr>
          <w:b/>
          <w:sz w:val="22"/>
          <w:szCs w:val="22"/>
        </w:rPr>
      </w:pPr>
    </w:p>
    <w:p w:rsidR="00000000" w:rsidRDefault="00677FE7">
      <w:pPr>
        <w:rPr>
          <w:b/>
          <w:sz w:val="22"/>
          <w:szCs w:val="22"/>
        </w:rPr>
      </w:pPr>
    </w:p>
    <w:p w:rsidR="00000000" w:rsidRDefault="00677FE7" w:rsidP="00677FE7">
      <w:pPr>
        <w:numPr>
          <w:ilvl w:val="0"/>
          <w:numId w:val="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Strategic Aims and Responsibilities</w:t>
      </w:r>
    </w:p>
    <w:p w:rsidR="00000000" w:rsidRDefault="00677FE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6960"/>
      </w:tblGrid>
      <w:tr w:rsidR="00000000">
        <w:tc>
          <w:tcPr>
            <w:tcW w:w="6948" w:type="dxa"/>
          </w:tcPr>
          <w:p w:rsidR="00000000" w:rsidRDefault="00677F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Careers Scotland</w:t>
            </w:r>
          </w:p>
        </w:tc>
        <w:tc>
          <w:tcPr>
            <w:tcW w:w="6960" w:type="dxa"/>
          </w:tcPr>
          <w:p w:rsidR="00000000" w:rsidRDefault="00677FE7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Partner </w:t>
            </w:r>
          </w:p>
        </w:tc>
      </w:tr>
      <w:tr w:rsidR="00000000">
        <w:tc>
          <w:tcPr>
            <w:tcW w:w="6948" w:type="dxa"/>
          </w:tcPr>
          <w:p w:rsidR="00000000" w:rsidRDefault="00677FE7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Its strategic aims are:</w:t>
            </w:r>
          </w:p>
          <w:p w:rsidR="00000000" w:rsidRDefault="00677FE7">
            <w:pPr>
              <w:tabs>
                <w:tab w:val="left" w:pos="0"/>
              </w:tabs>
              <w:rPr>
                <w:sz w:val="16"/>
                <w:szCs w:val="20"/>
              </w:rPr>
            </w:pPr>
          </w:p>
          <w:p w:rsidR="00000000" w:rsidRDefault="00677FE7" w:rsidP="00677FE7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improve the employability and enterprise skills of the people of Scotland</w:t>
            </w:r>
          </w:p>
          <w:p w:rsidR="00000000" w:rsidRDefault="00677FE7" w:rsidP="00677FE7">
            <w:pPr>
              <w:numPr>
                <w:ilvl w:val="0"/>
                <w:numId w:val="2"/>
              </w:num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increase participation in learning and employme</w:t>
            </w:r>
            <w:r>
              <w:rPr>
                <w:sz w:val="20"/>
                <w:szCs w:val="20"/>
              </w:rPr>
              <w:t>nt</w:t>
            </w:r>
          </w:p>
          <w:p w:rsidR="00000000" w:rsidRDefault="00677FE7" w:rsidP="00677FE7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the leading national advocate for the guidance and employability sector</w:t>
            </w:r>
          </w:p>
          <w:p w:rsidR="00000000" w:rsidRDefault="00677FE7">
            <w:pPr>
              <w:ind w:left="720"/>
              <w:rPr>
                <w:sz w:val="16"/>
                <w:szCs w:val="20"/>
              </w:rPr>
            </w:pPr>
          </w:p>
          <w:p w:rsidR="00000000" w:rsidRDefault="00677FE7">
            <w:pPr>
              <w:pStyle w:val="BodyText2"/>
            </w:pPr>
            <w:r>
              <w:t>Careers Scotland delivers, and continuously develops, an integrated range of high quality guidance services, information resources, learning experiences and employability ser</w:t>
            </w:r>
            <w:r>
              <w:t>vices. Careers Scotland aims to enable individuals of all ages to maximise their career potential, to support employers and to improve the operation of the labour market.</w:t>
            </w:r>
          </w:p>
          <w:p w:rsidR="00000000" w:rsidRDefault="00677FE7">
            <w:pPr>
              <w:pStyle w:val="BodyText2"/>
            </w:pPr>
            <w:r>
              <w:br/>
              <w:t>Careers Scotland will, both directly and working with other agencies, assist individ</w:t>
            </w:r>
            <w:r>
              <w:t>uals to:</w:t>
            </w:r>
          </w:p>
          <w:p w:rsidR="00000000" w:rsidRDefault="00677FE7">
            <w:pPr>
              <w:pStyle w:val="BodyText2"/>
              <w:rPr>
                <w:sz w:val="16"/>
              </w:rPr>
            </w:pPr>
          </w:p>
          <w:p w:rsidR="00000000" w:rsidRDefault="00677FE7" w:rsidP="00677FE7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the changing labour market, understand their own career options and routes and develop their personal career planning skills</w:t>
            </w:r>
          </w:p>
          <w:p w:rsidR="00000000" w:rsidRDefault="00677FE7" w:rsidP="00677FE7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their own potential to become the innovators and entrepreneurs of the future</w:t>
            </w:r>
          </w:p>
          <w:p w:rsidR="00000000" w:rsidRDefault="00677FE7" w:rsidP="00677FE7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acquire and upgrade the</w:t>
            </w:r>
            <w:r>
              <w:rPr>
                <w:sz w:val="20"/>
                <w:szCs w:val="20"/>
              </w:rPr>
              <w:t xml:space="preserve"> skills they need for their ongoing career change and development</w:t>
            </w:r>
          </w:p>
          <w:p w:rsidR="00000000" w:rsidRDefault="00677FE7" w:rsidP="00677FE7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raise their career expectations and aspirations to match their potential</w:t>
            </w:r>
          </w:p>
          <w:p w:rsidR="00000000" w:rsidRDefault="00677FE7" w:rsidP="00677FE7">
            <w:pPr>
              <w:numPr>
                <w:ilvl w:val="0"/>
                <w:numId w:val="3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overcome barriers to the achievement of their potential</w:t>
            </w:r>
          </w:p>
        </w:tc>
        <w:tc>
          <w:tcPr>
            <w:tcW w:w="6960" w:type="dxa"/>
          </w:tcPr>
          <w:p w:rsidR="00000000" w:rsidRDefault="00677FE7">
            <w:pPr>
              <w:rPr>
                <w:b/>
                <w:sz w:val="20"/>
                <w:szCs w:val="22"/>
              </w:rPr>
            </w:pPr>
          </w:p>
        </w:tc>
      </w:tr>
    </w:tbl>
    <w:p w:rsidR="00000000" w:rsidRDefault="00677FE7">
      <w:pPr>
        <w:rPr>
          <w:b/>
          <w:sz w:val="22"/>
          <w:szCs w:val="22"/>
        </w:rPr>
      </w:pPr>
    </w:p>
    <w:p w:rsidR="00000000" w:rsidRDefault="00677FE7">
      <w:pPr>
        <w:rPr>
          <w:b/>
          <w:sz w:val="22"/>
          <w:szCs w:val="22"/>
        </w:rPr>
      </w:pPr>
    </w:p>
    <w:p w:rsidR="00000000" w:rsidRDefault="00677FE7" w:rsidP="00677FE7">
      <w:pPr>
        <w:numPr>
          <w:ilvl w:val="0"/>
          <w:numId w:val="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Context</w:t>
      </w:r>
    </w:p>
    <w:p w:rsidR="00000000" w:rsidRDefault="00677FE7">
      <w:pPr>
        <w:rPr>
          <w:b/>
          <w:sz w:val="22"/>
          <w:szCs w:val="22"/>
        </w:rPr>
      </w:pPr>
    </w:p>
    <w:p w:rsidR="00000000" w:rsidRDefault="00677FE7">
      <w:pPr>
        <w:rPr>
          <w:i/>
          <w:sz w:val="22"/>
          <w:szCs w:val="22"/>
        </w:rPr>
      </w:pPr>
      <w:r>
        <w:rPr>
          <w:i/>
          <w:sz w:val="22"/>
          <w:szCs w:val="22"/>
        </w:rPr>
        <w:t>(This should refer to national or local policies</w:t>
      </w:r>
      <w:r>
        <w:rPr>
          <w:i/>
          <w:sz w:val="22"/>
          <w:szCs w:val="22"/>
        </w:rPr>
        <w:t>/strategies/initiatives, which relate to both organisations)</w:t>
      </w:r>
    </w:p>
    <w:p w:rsidR="00000000" w:rsidRDefault="00677FE7">
      <w:pPr>
        <w:rPr>
          <w:sz w:val="22"/>
          <w:szCs w:val="22"/>
        </w:rPr>
      </w:pPr>
    </w:p>
    <w:p w:rsidR="00000000" w:rsidRDefault="00677FE7">
      <w:pPr>
        <w:rPr>
          <w:sz w:val="22"/>
          <w:szCs w:val="22"/>
        </w:rPr>
      </w:pPr>
    </w:p>
    <w:p w:rsidR="00000000" w:rsidRDefault="00677FE7">
      <w:pPr>
        <w:rPr>
          <w:i/>
          <w:iCs/>
          <w:sz w:val="22"/>
          <w:szCs w:val="22"/>
        </w:rPr>
      </w:pPr>
    </w:p>
    <w:p w:rsidR="00000000" w:rsidRDefault="00677FE7" w:rsidP="00677FE7">
      <w:pPr>
        <w:numPr>
          <w:ilvl w:val="0"/>
          <w:numId w:val="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Related Performance Targets </w:t>
      </w:r>
    </w:p>
    <w:p w:rsidR="00000000" w:rsidRDefault="00677FE7">
      <w:pPr>
        <w:rPr>
          <w:i/>
          <w:sz w:val="22"/>
          <w:szCs w:val="22"/>
        </w:rPr>
      </w:pPr>
      <w:r>
        <w:rPr>
          <w:i/>
          <w:sz w:val="22"/>
          <w:szCs w:val="22"/>
        </w:rPr>
        <w:t>(to be inserted where partners can contribute to each other’s targets)</w:t>
      </w:r>
    </w:p>
    <w:p w:rsidR="00000000" w:rsidRDefault="00677FE7">
      <w:pPr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8"/>
        <w:gridCol w:w="70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48" w:type="dxa"/>
          </w:tcPr>
          <w:p w:rsidR="00000000" w:rsidRDefault="00677FE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Careers Scotland</w:t>
            </w:r>
          </w:p>
        </w:tc>
        <w:tc>
          <w:tcPr>
            <w:tcW w:w="7020" w:type="dxa"/>
          </w:tcPr>
          <w:p w:rsidR="00000000" w:rsidRDefault="00677FE7">
            <w:pPr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Partne</w:t>
            </w:r>
            <w:r>
              <w:rPr>
                <w:b/>
                <w:sz w:val="22"/>
                <w:szCs w:val="22"/>
              </w:rPr>
              <w:t xml:space="preserve">r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48" w:type="dxa"/>
          </w:tcPr>
          <w:p w:rsidR="00000000" w:rsidRDefault="00677FE7" w:rsidP="00677FE7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end of academic year 2004/5, an additional 6,000 young people</w:t>
            </w:r>
            <w:r>
              <w:rPr>
                <w:sz w:val="20"/>
                <w:szCs w:val="20"/>
              </w:rPr>
              <w:t xml:space="preserve"> with additional support needs will be continuing in post-compulsory education or full/part-time training.</w:t>
            </w:r>
          </w:p>
          <w:p w:rsidR="00000000" w:rsidRDefault="00677FE7">
            <w:pPr>
              <w:jc w:val="both"/>
              <w:rPr>
                <w:sz w:val="20"/>
                <w:szCs w:val="20"/>
              </w:rPr>
            </w:pPr>
          </w:p>
          <w:p w:rsidR="00000000" w:rsidRDefault="00677FE7" w:rsidP="00677FE7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the end of 2004/5, 85% school leavers will understand the world of work, their place in it, and have a positive approach thereto.</w:t>
            </w:r>
          </w:p>
          <w:p w:rsidR="00000000" w:rsidRDefault="00677FE7">
            <w:pPr>
              <w:jc w:val="both"/>
              <w:rPr>
                <w:sz w:val="20"/>
                <w:szCs w:val="20"/>
              </w:rPr>
            </w:pPr>
          </w:p>
          <w:p w:rsidR="00000000" w:rsidRDefault="00677FE7" w:rsidP="00677FE7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312 March 2</w:t>
            </w:r>
            <w:r>
              <w:rPr>
                <w:sz w:val="20"/>
                <w:szCs w:val="20"/>
              </w:rPr>
              <w:t>004, increase the number of    disadvantaged disengaged adults (19+), actively engaged in learning and training by a minimum of 35,000.</w:t>
            </w:r>
          </w:p>
          <w:p w:rsidR="00000000" w:rsidRDefault="00677FE7">
            <w:pPr>
              <w:jc w:val="both"/>
              <w:rPr>
                <w:sz w:val="20"/>
                <w:szCs w:val="20"/>
              </w:rPr>
            </w:pPr>
          </w:p>
          <w:p w:rsidR="00000000" w:rsidRDefault="00677FE7" w:rsidP="00677FE7">
            <w:pPr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t>By March 2004, reduce numbers of young people for whom being NEET (not in education, employment or training) is a negat</w:t>
            </w:r>
            <w:r>
              <w:rPr>
                <w:sz w:val="20"/>
                <w:szCs w:val="20"/>
              </w:rPr>
              <w:t>ive experience by</w:t>
            </w:r>
            <w:r>
              <w:rPr>
                <w:sz w:val="22"/>
                <w:szCs w:val="22"/>
              </w:rPr>
              <w:t xml:space="preserve"> 25% (5,400)</w:t>
            </w:r>
          </w:p>
        </w:tc>
        <w:tc>
          <w:tcPr>
            <w:tcW w:w="7020" w:type="dxa"/>
          </w:tcPr>
          <w:p w:rsidR="00000000" w:rsidRDefault="00677FE7">
            <w:pPr>
              <w:rPr>
                <w:i/>
                <w:sz w:val="22"/>
                <w:szCs w:val="22"/>
              </w:rPr>
            </w:pPr>
          </w:p>
        </w:tc>
      </w:tr>
    </w:tbl>
    <w:p w:rsidR="00000000" w:rsidRDefault="00677FE7">
      <w:pPr>
        <w:rPr>
          <w:i/>
          <w:iCs/>
          <w:sz w:val="22"/>
          <w:szCs w:val="22"/>
        </w:rPr>
      </w:pPr>
    </w:p>
    <w:p w:rsidR="00000000" w:rsidRDefault="00677FE7">
      <w:pPr>
        <w:rPr>
          <w:i/>
          <w:sz w:val="22"/>
          <w:szCs w:val="22"/>
        </w:rPr>
      </w:pPr>
    </w:p>
    <w:p w:rsidR="00000000" w:rsidRDefault="00677FE7" w:rsidP="00677FE7">
      <w:pPr>
        <w:numPr>
          <w:ilvl w:val="0"/>
          <w:numId w:val="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Agreed Areas of Mutual Interest </w:t>
      </w:r>
    </w:p>
    <w:p w:rsidR="00000000" w:rsidRDefault="00677FE7">
      <w:pPr>
        <w:rPr>
          <w:b/>
          <w:sz w:val="22"/>
          <w:szCs w:val="22"/>
        </w:rPr>
      </w:pPr>
    </w:p>
    <w:p w:rsidR="00000000" w:rsidRDefault="00677FE7">
      <w:pPr>
        <w:rPr>
          <w:sz w:val="22"/>
          <w:szCs w:val="22"/>
        </w:rPr>
      </w:pPr>
      <w:r>
        <w:rPr>
          <w:sz w:val="22"/>
          <w:szCs w:val="22"/>
        </w:rPr>
        <w:t>The following areas of mutual interest and potential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collaboration have been identified and agreed:</w:t>
      </w:r>
    </w:p>
    <w:p w:rsidR="00000000" w:rsidRDefault="00677FE7">
      <w:pPr>
        <w:rPr>
          <w:sz w:val="22"/>
          <w:szCs w:val="22"/>
        </w:rPr>
      </w:pPr>
    </w:p>
    <w:p w:rsidR="00000000" w:rsidRDefault="00677FE7">
      <w:pPr>
        <w:rPr>
          <w:sz w:val="22"/>
          <w:szCs w:val="22"/>
        </w:rPr>
      </w:pPr>
    </w:p>
    <w:p w:rsidR="00000000" w:rsidRDefault="00677FE7">
      <w:pPr>
        <w:rPr>
          <w:b/>
          <w:sz w:val="22"/>
          <w:szCs w:val="22"/>
        </w:rPr>
      </w:pPr>
    </w:p>
    <w:p w:rsidR="00000000" w:rsidRDefault="00677FE7">
      <w:pPr>
        <w:rPr>
          <w:b/>
          <w:sz w:val="22"/>
          <w:szCs w:val="22"/>
        </w:rPr>
        <w:sectPr w:rsidR="00000000">
          <w:footerReference w:type="even" r:id="rId8"/>
          <w:footerReference w:type="default" r:id="rId9"/>
          <w:pgSz w:w="16840" w:h="11907" w:orient="landscape" w:code="9"/>
          <w:pgMar w:top="1797" w:right="1440" w:bottom="1797" w:left="1440" w:header="709" w:footer="709" w:gutter="0"/>
          <w:cols w:space="708"/>
          <w:docGrid w:linePitch="360"/>
        </w:sectPr>
      </w:pPr>
    </w:p>
    <w:p w:rsidR="00000000" w:rsidRDefault="00677FE7">
      <w:pPr>
        <w:pStyle w:val="Heading1"/>
      </w:pPr>
      <w:r>
        <w:lastRenderedPageBreak/>
        <w:t>ACTION PLAN 2002-03</w:t>
      </w:r>
    </w:p>
    <w:p w:rsidR="00000000" w:rsidRDefault="00677FE7">
      <w:pPr>
        <w:rPr>
          <w:b/>
          <w:sz w:val="22"/>
          <w:szCs w:val="22"/>
        </w:rPr>
      </w:pPr>
    </w:p>
    <w:p w:rsidR="00000000" w:rsidRDefault="00677FE7" w:rsidP="00677FE7">
      <w:pPr>
        <w:numPr>
          <w:ilvl w:val="0"/>
          <w:numId w:val="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Shared Actions </w:t>
      </w:r>
    </w:p>
    <w:p w:rsidR="00000000" w:rsidRDefault="00677FE7">
      <w:pPr>
        <w:rPr>
          <w:b/>
          <w:sz w:val="22"/>
          <w:szCs w:val="22"/>
        </w:rPr>
      </w:pP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1"/>
        <w:gridCol w:w="3263"/>
        <w:gridCol w:w="3691"/>
        <w:gridCol w:w="3691"/>
      </w:tblGrid>
      <w:tr w:rsidR="00000000">
        <w:tc>
          <w:tcPr>
            <w:tcW w:w="14176" w:type="dxa"/>
            <w:gridSpan w:val="4"/>
          </w:tcPr>
          <w:p w:rsidR="00000000" w:rsidRDefault="00677FE7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sz w:val="20"/>
                <w:szCs w:val="20"/>
              </w:rPr>
              <w:t xml:space="preserve">Priority 1:  </w:t>
            </w:r>
          </w:p>
          <w:p w:rsidR="00000000" w:rsidRDefault="00677FE7">
            <w:pPr>
              <w:rPr>
                <w:b/>
                <w:sz w:val="20"/>
                <w:szCs w:val="20"/>
              </w:rPr>
            </w:pPr>
          </w:p>
          <w:p w:rsidR="00000000" w:rsidRDefault="00677FE7">
            <w:pPr>
              <w:rPr>
                <w:b/>
                <w:sz w:val="20"/>
                <w:szCs w:val="20"/>
              </w:rPr>
            </w:pPr>
          </w:p>
        </w:tc>
      </w:tr>
      <w:tr w:rsidR="00000000">
        <w:tc>
          <w:tcPr>
            <w:tcW w:w="353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Action/Task</w:t>
            </w:r>
          </w:p>
        </w:tc>
        <w:tc>
          <w:tcPr>
            <w:tcW w:w="3263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 Measu</w:t>
            </w:r>
            <w:r>
              <w:rPr>
                <w:b/>
                <w:sz w:val="20"/>
                <w:szCs w:val="20"/>
              </w:rPr>
              <w:t>re/Target</w:t>
            </w:r>
          </w:p>
        </w:tc>
        <w:tc>
          <w:tcPr>
            <w:tcW w:w="369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Careers Scotland Responsibility</w:t>
            </w:r>
          </w:p>
        </w:tc>
        <w:tc>
          <w:tcPr>
            <w:tcW w:w="369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Partner Responsibility</w:t>
            </w:r>
          </w:p>
        </w:tc>
      </w:tr>
      <w:tr w:rsidR="00000000">
        <w:tc>
          <w:tcPr>
            <w:tcW w:w="353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dxa"/>
          </w:tcPr>
          <w:p w:rsidR="00000000" w:rsidRDefault="00677FE7">
            <w:pPr>
              <w:pStyle w:val="Footer"/>
              <w:tabs>
                <w:tab w:val="clear" w:pos="4153"/>
                <w:tab w:val="clear" w:pos="8306"/>
              </w:tabs>
              <w:rPr>
                <w:bCs/>
                <w:sz w:val="22"/>
                <w:szCs w:val="20"/>
              </w:rPr>
            </w:pPr>
          </w:p>
        </w:tc>
        <w:tc>
          <w:tcPr>
            <w:tcW w:w="369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</w:p>
        </w:tc>
        <w:tc>
          <w:tcPr>
            <w:tcW w:w="369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</w:p>
        </w:tc>
      </w:tr>
      <w:tr w:rsidR="00000000">
        <w:tc>
          <w:tcPr>
            <w:tcW w:w="14176" w:type="dxa"/>
            <w:gridSpan w:val="4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Priority 2:  </w:t>
            </w:r>
          </w:p>
          <w:p w:rsidR="00000000" w:rsidRDefault="00677FE7">
            <w:pPr>
              <w:rPr>
                <w:b/>
                <w:sz w:val="20"/>
                <w:szCs w:val="20"/>
              </w:rPr>
            </w:pPr>
          </w:p>
        </w:tc>
      </w:tr>
      <w:tr w:rsidR="00000000">
        <w:tc>
          <w:tcPr>
            <w:tcW w:w="353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Action/Task</w:t>
            </w:r>
          </w:p>
        </w:tc>
        <w:tc>
          <w:tcPr>
            <w:tcW w:w="3263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 Measure/Target</w:t>
            </w:r>
          </w:p>
        </w:tc>
        <w:tc>
          <w:tcPr>
            <w:tcW w:w="369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Careers Scotland Responsibility</w:t>
            </w:r>
          </w:p>
        </w:tc>
        <w:tc>
          <w:tcPr>
            <w:tcW w:w="369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Partner</w:t>
            </w:r>
            <w:r>
              <w:rPr>
                <w:i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Responsibility</w:t>
            </w:r>
          </w:p>
        </w:tc>
      </w:tr>
      <w:tr w:rsidR="00000000">
        <w:tc>
          <w:tcPr>
            <w:tcW w:w="353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</w:p>
        </w:tc>
        <w:tc>
          <w:tcPr>
            <w:tcW w:w="3691" w:type="dxa"/>
          </w:tcPr>
          <w:p w:rsidR="00000000" w:rsidRDefault="00677FE7">
            <w:pPr>
              <w:rPr>
                <w:bCs/>
                <w:sz w:val="22"/>
                <w:szCs w:val="20"/>
              </w:rPr>
            </w:pPr>
          </w:p>
        </w:tc>
        <w:tc>
          <w:tcPr>
            <w:tcW w:w="369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</w:p>
        </w:tc>
      </w:tr>
      <w:tr w:rsidR="00000000">
        <w:tc>
          <w:tcPr>
            <w:tcW w:w="14176" w:type="dxa"/>
            <w:gridSpan w:val="4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Priority 3:  </w:t>
            </w:r>
          </w:p>
          <w:p w:rsidR="00000000" w:rsidRDefault="00677FE7">
            <w:pPr>
              <w:rPr>
                <w:b/>
                <w:sz w:val="20"/>
                <w:szCs w:val="20"/>
              </w:rPr>
            </w:pPr>
          </w:p>
        </w:tc>
      </w:tr>
      <w:tr w:rsidR="00000000">
        <w:tc>
          <w:tcPr>
            <w:tcW w:w="353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Action/Task</w:t>
            </w:r>
          </w:p>
        </w:tc>
        <w:tc>
          <w:tcPr>
            <w:tcW w:w="3263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 Measure/Target</w:t>
            </w:r>
          </w:p>
        </w:tc>
        <w:tc>
          <w:tcPr>
            <w:tcW w:w="369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Careers Scotl</w:t>
            </w:r>
            <w:r>
              <w:rPr>
                <w:b/>
                <w:sz w:val="20"/>
                <w:szCs w:val="20"/>
              </w:rPr>
              <w:t>and Responsibility</w:t>
            </w:r>
          </w:p>
        </w:tc>
        <w:tc>
          <w:tcPr>
            <w:tcW w:w="369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Partner Responsibility</w:t>
            </w:r>
          </w:p>
        </w:tc>
      </w:tr>
      <w:tr w:rsidR="00000000">
        <w:tc>
          <w:tcPr>
            <w:tcW w:w="353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</w:p>
        </w:tc>
        <w:tc>
          <w:tcPr>
            <w:tcW w:w="3263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</w:p>
        </w:tc>
        <w:tc>
          <w:tcPr>
            <w:tcW w:w="369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</w:p>
        </w:tc>
        <w:tc>
          <w:tcPr>
            <w:tcW w:w="369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</w:p>
        </w:tc>
      </w:tr>
    </w:tbl>
    <w:p w:rsidR="00000000" w:rsidRDefault="00677FE7">
      <w:pPr>
        <w:pStyle w:val="Heading4"/>
        <w:ind w:left="0"/>
        <w:jc w:val="both"/>
        <w:rPr>
          <w:rFonts w:ascii="Times New Roman" w:hAnsi="Times New Roman" w:cs="Times New Roman"/>
          <w:b/>
          <w:i w:val="0"/>
          <w:iCs w:val="0"/>
          <w:sz w:val="22"/>
          <w:szCs w:val="20"/>
        </w:rPr>
        <w:sectPr w:rsidR="00000000">
          <w:pgSz w:w="16840" w:h="11907" w:orient="landscape" w:code="9"/>
          <w:pgMar w:top="1797" w:right="1440" w:bottom="1797" w:left="1440" w:header="709" w:footer="709" w:gutter="0"/>
          <w:cols w:space="708"/>
          <w:docGrid w:linePitch="360"/>
        </w:sectPr>
      </w:pPr>
    </w:p>
    <w:tbl>
      <w:tblPr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1"/>
        <w:gridCol w:w="3263"/>
        <w:gridCol w:w="3691"/>
        <w:gridCol w:w="3691"/>
      </w:tblGrid>
      <w:tr w:rsidR="00000000">
        <w:tc>
          <w:tcPr>
            <w:tcW w:w="14176" w:type="dxa"/>
            <w:gridSpan w:val="4"/>
          </w:tcPr>
          <w:p w:rsidR="00000000" w:rsidRDefault="00677FE7">
            <w:pPr>
              <w:pStyle w:val="Heading4"/>
              <w:ind w:left="0"/>
              <w:jc w:val="both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0"/>
              </w:rPr>
              <w:lastRenderedPageBreak/>
              <w:t>Priority 4: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000000" w:rsidRDefault="00677FE7">
            <w:pPr>
              <w:rPr>
                <w:b/>
                <w:sz w:val="20"/>
                <w:szCs w:val="20"/>
              </w:rPr>
            </w:pPr>
          </w:p>
        </w:tc>
      </w:tr>
      <w:tr w:rsidR="00000000">
        <w:tc>
          <w:tcPr>
            <w:tcW w:w="353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Action/Task</w:t>
            </w:r>
          </w:p>
        </w:tc>
        <w:tc>
          <w:tcPr>
            <w:tcW w:w="3263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 Measure/Target</w:t>
            </w:r>
          </w:p>
        </w:tc>
        <w:tc>
          <w:tcPr>
            <w:tcW w:w="369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Careers Scotland Responsibility</w:t>
            </w:r>
          </w:p>
        </w:tc>
        <w:tc>
          <w:tcPr>
            <w:tcW w:w="369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Partner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Responsibility</w:t>
            </w:r>
          </w:p>
        </w:tc>
      </w:tr>
      <w:tr w:rsidR="00000000">
        <w:tc>
          <w:tcPr>
            <w:tcW w:w="3531" w:type="dxa"/>
          </w:tcPr>
          <w:p w:rsidR="00000000" w:rsidRDefault="00677FE7">
            <w:pPr>
              <w:rPr>
                <w:b/>
                <w:sz w:val="22"/>
                <w:szCs w:val="22"/>
              </w:rPr>
            </w:pPr>
          </w:p>
        </w:tc>
        <w:tc>
          <w:tcPr>
            <w:tcW w:w="3263" w:type="dxa"/>
          </w:tcPr>
          <w:p w:rsidR="00000000" w:rsidRDefault="00677FE7">
            <w:pPr>
              <w:rPr>
                <w:b/>
                <w:sz w:val="22"/>
                <w:szCs w:val="22"/>
              </w:rPr>
            </w:pPr>
          </w:p>
        </w:tc>
        <w:tc>
          <w:tcPr>
            <w:tcW w:w="3691" w:type="dxa"/>
          </w:tcPr>
          <w:p w:rsidR="00000000" w:rsidRDefault="00677FE7" w:rsidP="00677FE7">
            <w:pPr>
              <w:numPr>
                <w:ilvl w:val="0"/>
                <w:numId w:val="14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3691" w:type="dxa"/>
          </w:tcPr>
          <w:p w:rsidR="00000000" w:rsidRDefault="00677FE7">
            <w:pPr>
              <w:rPr>
                <w:b/>
                <w:sz w:val="22"/>
                <w:szCs w:val="22"/>
              </w:rPr>
            </w:pPr>
          </w:p>
        </w:tc>
      </w:tr>
      <w:tr w:rsidR="00000000">
        <w:tc>
          <w:tcPr>
            <w:tcW w:w="14176" w:type="dxa"/>
            <w:gridSpan w:val="4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  <w:t>Priority 5: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000000" w:rsidRDefault="00677FE7">
            <w:pPr>
              <w:rPr>
                <w:b/>
                <w:sz w:val="20"/>
                <w:szCs w:val="20"/>
              </w:rPr>
            </w:pPr>
          </w:p>
        </w:tc>
      </w:tr>
      <w:tr w:rsidR="00000000">
        <w:tc>
          <w:tcPr>
            <w:tcW w:w="353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Action/Task</w:t>
            </w:r>
          </w:p>
        </w:tc>
        <w:tc>
          <w:tcPr>
            <w:tcW w:w="3263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 Measure/Target</w:t>
            </w:r>
          </w:p>
        </w:tc>
        <w:tc>
          <w:tcPr>
            <w:tcW w:w="369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Careers Scotland Responsibility</w:t>
            </w:r>
          </w:p>
        </w:tc>
        <w:tc>
          <w:tcPr>
            <w:tcW w:w="369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Part</w:t>
            </w:r>
            <w:r>
              <w:rPr>
                <w:b/>
                <w:bCs/>
                <w:iCs/>
                <w:sz w:val="20"/>
                <w:szCs w:val="20"/>
              </w:rPr>
              <w:t>ner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Responsibility</w:t>
            </w:r>
          </w:p>
        </w:tc>
      </w:tr>
      <w:tr w:rsidR="00000000">
        <w:tc>
          <w:tcPr>
            <w:tcW w:w="3531" w:type="dxa"/>
          </w:tcPr>
          <w:p w:rsidR="00000000" w:rsidRDefault="00677FE7" w:rsidP="00677FE7">
            <w:pPr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3263" w:type="dxa"/>
          </w:tcPr>
          <w:p w:rsidR="00000000" w:rsidRDefault="00677FE7">
            <w:pPr>
              <w:rPr>
                <w:b/>
                <w:sz w:val="22"/>
                <w:szCs w:val="22"/>
              </w:rPr>
            </w:pPr>
          </w:p>
        </w:tc>
        <w:tc>
          <w:tcPr>
            <w:tcW w:w="3691" w:type="dxa"/>
          </w:tcPr>
          <w:p w:rsidR="00000000" w:rsidRDefault="00677FE7" w:rsidP="00677FE7">
            <w:pPr>
              <w:numPr>
                <w:ilvl w:val="0"/>
                <w:numId w:val="13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3691" w:type="dxa"/>
          </w:tcPr>
          <w:p w:rsidR="00000000" w:rsidRDefault="00677FE7">
            <w:pPr>
              <w:ind w:left="-45" w:firstLine="45"/>
              <w:rPr>
                <w:b/>
                <w:sz w:val="22"/>
                <w:szCs w:val="22"/>
              </w:rPr>
            </w:pPr>
          </w:p>
        </w:tc>
      </w:tr>
      <w:tr w:rsidR="00000000">
        <w:tc>
          <w:tcPr>
            <w:tcW w:w="14176" w:type="dxa"/>
            <w:gridSpan w:val="4"/>
          </w:tcPr>
          <w:p w:rsidR="00000000" w:rsidRDefault="00677FE7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sz w:val="20"/>
                <w:szCs w:val="20"/>
              </w:rPr>
              <w:t xml:space="preserve">Priority 6:  </w:t>
            </w:r>
          </w:p>
          <w:p w:rsidR="00000000" w:rsidRDefault="00677FE7">
            <w:pPr>
              <w:rPr>
                <w:b/>
                <w:bCs/>
                <w:sz w:val="20"/>
                <w:szCs w:val="20"/>
              </w:rPr>
            </w:pPr>
          </w:p>
          <w:p w:rsidR="00000000" w:rsidRDefault="00677FE7">
            <w:pPr>
              <w:rPr>
                <w:b/>
                <w:sz w:val="20"/>
                <w:szCs w:val="20"/>
              </w:rPr>
            </w:pPr>
          </w:p>
        </w:tc>
      </w:tr>
      <w:tr w:rsidR="00000000">
        <w:tc>
          <w:tcPr>
            <w:tcW w:w="353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Action/Task</w:t>
            </w:r>
          </w:p>
        </w:tc>
        <w:tc>
          <w:tcPr>
            <w:tcW w:w="3263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Performance Measure/Target</w:t>
            </w:r>
          </w:p>
        </w:tc>
        <w:tc>
          <w:tcPr>
            <w:tcW w:w="369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Careers Scotland Responsibility</w:t>
            </w:r>
          </w:p>
        </w:tc>
        <w:tc>
          <w:tcPr>
            <w:tcW w:w="3691" w:type="dxa"/>
          </w:tcPr>
          <w:p w:rsidR="00000000" w:rsidRDefault="00677FE7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Partner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Responsibility</w:t>
            </w:r>
          </w:p>
        </w:tc>
      </w:tr>
      <w:tr w:rsidR="00000000">
        <w:tc>
          <w:tcPr>
            <w:tcW w:w="3531" w:type="dxa"/>
          </w:tcPr>
          <w:p w:rsidR="00000000" w:rsidRDefault="00677FE7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3263" w:type="dxa"/>
          </w:tcPr>
          <w:p w:rsidR="00000000" w:rsidRDefault="00677FE7">
            <w:pPr>
              <w:rPr>
                <w:b/>
                <w:sz w:val="22"/>
                <w:szCs w:val="22"/>
              </w:rPr>
            </w:pPr>
          </w:p>
        </w:tc>
        <w:tc>
          <w:tcPr>
            <w:tcW w:w="3691" w:type="dxa"/>
          </w:tcPr>
          <w:p w:rsidR="00000000" w:rsidRDefault="00677FE7">
            <w:pPr>
              <w:rPr>
                <w:b/>
                <w:sz w:val="22"/>
                <w:szCs w:val="22"/>
              </w:rPr>
            </w:pPr>
          </w:p>
        </w:tc>
        <w:tc>
          <w:tcPr>
            <w:tcW w:w="3691" w:type="dxa"/>
          </w:tcPr>
          <w:p w:rsidR="00000000" w:rsidRDefault="00677FE7">
            <w:pPr>
              <w:rPr>
                <w:b/>
                <w:sz w:val="22"/>
                <w:szCs w:val="22"/>
              </w:rPr>
            </w:pPr>
          </w:p>
        </w:tc>
      </w:tr>
    </w:tbl>
    <w:p w:rsidR="00000000" w:rsidRDefault="00677FE7">
      <w:pPr>
        <w:rPr>
          <w:b/>
          <w:sz w:val="22"/>
          <w:szCs w:val="22"/>
        </w:rPr>
        <w:sectPr w:rsidR="00000000">
          <w:pgSz w:w="16840" w:h="11907" w:orient="landscape" w:code="9"/>
          <w:pgMar w:top="1797" w:right="1440" w:bottom="1797" w:left="1440" w:header="709" w:footer="709" w:gutter="0"/>
          <w:cols w:space="708"/>
          <w:docGrid w:linePitch="360"/>
        </w:sectPr>
      </w:pPr>
    </w:p>
    <w:p w:rsidR="00000000" w:rsidRDefault="00677FE7" w:rsidP="00677FE7">
      <w:pPr>
        <w:numPr>
          <w:ilvl w:val="0"/>
          <w:numId w:val="5"/>
        </w:numPr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Planning and Reviewing Arrangements</w:t>
      </w:r>
    </w:p>
    <w:p w:rsidR="00000000" w:rsidRDefault="00677FE7">
      <w:pPr>
        <w:ind w:left="360" w:hanging="360"/>
        <w:rPr>
          <w:b/>
          <w:sz w:val="22"/>
          <w:szCs w:val="22"/>
        </w:rPr>
      </w:pPr>
    </w:p>
    <w:p w:rsidR="00000000" w:rsidRDefault="00677FE7" w:rsidP="00677FE7">
      <w:pPr>
        <w:numPr>
          <w:ilvl w:val="1"/>
          <w:numId w:val="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Relationship Managers</w:t>
      </w:r>
    </w:p>
    <w:p w:rsidR="00000000" w:rsidRDefault="00677FE7">
      <w:pPr>
        <w:ind w:left="720"/>
        <w:jc w:val="both"/>
        <w:rPr>
          <w:b/>
          <w:sz w:val="22"/>
          <w:szCs w:val="22"/>
        </w:rPr>
      </w:pPr>
    </w:p>
    <w:p w:rsidR="00000000" w:rsidRDefault="00677FE7">
      <w:pPr>
        <w:ind w:left="360" w:firstLine="360"/>
        <w:jc w:val="both"/>
        <w:rPr>
          <w:sz w:val="22"/>
          <w:szCs w:val="22"/>
        </w:rPr>
      </w:pPr>
      <w:r>
        <w:rPr>
          <w:sz w:val="22"/>
          <w:szCs w:val="22"/>
        </w:rPr>
        <w:t>The nominated lead person for each organisation and c</w:t>
      </w:r>
      <w:r>
        <w:rPr>
          <w:sz w:val="22"/>
          <w:szCs w:val="22"/>
        </w:rPr>
        <w:t>ontact details are:</w:t>
      </w:r>
    </w:p>
    <w:p w:rsidR="00000000" w:rsidRDefault="00677FE7">
      <w:pPr>
        <w:ind w:left="360" w:firstLine="360"/>
        <w:jc w:val="both"/>
        <w:rPr>
          <w:sz w:val="22"/>
          <w:szCs w:val="2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80"/>
        <w:gridCol w:w="690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280" w:type="dxa"/>
          </w:tcPr>
          <w:p w:rsidR="00000000" w:rsidRDefault="00677FE7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Lead Contact Careers Scotland</w:t>
            </w:r>
          </w:p>
        </w:tc>
        <w:tc>
          <w:tcPr>
            <w:tcW w:w="6908" w:type="dxa"/>
          </w:tcPr>
          <w:p w:rsidR="00000000" w:rsidRDefault="00677FE7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Lead Contact/s Partner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80" w:type="dxa"/>
          </w:tcPr>
          <w:p w:rsidR="00000000" w:rsidRDefault="00677FE7">
            <w:pPr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6908" w:type="dxa"/>
          </w:tcPr>
          <w:p w:rsidR="00000000" w:rsidRDefault="00677FE7">
            <w:pPr>
              <w:outlineLvl w:val="0"/>
              <w:rPr>
                <w:b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280" w:type="dxa"/>
          </w:tcPr>
          <w:p w:rsidR="00000000" w:rsidRDefault="00677FE7">
            <w:pPr>
              <w:ind w:left="360" w:hanging="360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6908" w:type="dxa"/>
          </w:tcPr>
          <w:p w:rsidR="00000000" w:rsidRDefault="00677FE7">
            <w:pPr>
              <w:rPr>
                <w:b/>
                <w:sz w:val="22"/>
                <w:szCs w:val="22"/>
              </w:rPr>
            </w:pPr>
          </w:p>
        </w:tc>
      </w:tr>
    </w:tbl>
    <w:p w:rsidR="00000000" w:rsidRDefault="00677FE7">
      <w:pPr>
        <w:ind w:left="360" w:firstLine="360"/>
        <w:jc w:val="both"/>
        <w:rPr>
          <w:sz w:val="22"/>
          <w:szCs w:val="22"/>
        </w:rPr>
      </w:pPr>
    </w:p>
    <w:p w:rsidR="00000000" w:rsidRDefault="00677FE7" w:rsidP="00677FE7">
      <w:pPr>
        <w:numPr>
          <w:ilvl w:val="1"/>
          <w:numId w:val="5"/>
        </w:numPr>
        <w:tabs>
          <w:tab w:val="left" w:pos="42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Planning, Monitoring and Reviewing Opportunities</w:t>
      </w:r>
    </w:p>
    <w:p w:rsidR="00000000" w:rsidRDefault="00677FE7">
      <w:pPr>
        <w:tabs>
          <w:tab w:val="left" w:pos="426"/>
        </w:tabs>
        <w:ind w:left="720"/>
        <w:jc w:val="both"/>
        <w:rPr>
          <w:b/>
          <w:sz w:val="22"/>
          <w:szCs w:val="22"/>
        </w:rPr>
      </w:pPr>
    </w:p>
    <w:p w:rsidR="00000000" w:rsidRDefault="00677FE7" w:rsidP="00677FE7">
      <w:pPr>
        <w:numPr>
          <w:ilvl w:val="0"/>
          <w:numId w:val="6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Joint planning between -------- and Careers Scotland will take place annually for the purpose of exchanging views and inform</w:t>
      </w:r>
      <w:r>
        <w:rPr>
          <w:sz w:val="22"/>
          <w:szCs w:val="22"/>
        </w:rPr>
        <w:t xml:space="preserve">ation about policy issues and how these strategic matters can be addressed within the Partnership Agreement. </w:t>
      </w:r>
    </w:p>
    <w:p w:rsidR="00000000" w:rsidRDefault="00677FE7" w:rsidP="00677FE7">
      <w:pPr>
        <w:numPr>
          <w:ilvl w:val="0"/>
          <w:numId w:val="6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 will meet with __________, as necessary to discuss specific issues around their portfolios. In addition, either may request an ad hoc</w:t>
      </w:r>
      <w:r>
        <w:rPr>
          <w:sz w:val="22"/>
          <w:szCs w:val="22"/>
        </w:rPr>
        <w:t xml:space="preserve"> meeting on a specific subject at any time.</w:t>
      </w:r>
    </w:p>
    <w:p w:rsidR="00000000" w:rsidRDefault="00677FE7" w:rsidP="00677FE7">
      <w:pPr>
        <w:numPr>
          <w:ilvl w:val="0"/>
          <w:numId w:val="6"/>
        </w:num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Numbers and composition at meetings will be such as to contribute to meaningful discussion and debate on the issues outlined in the agenda which will lead to agreed outcome</w:t>
      </w:r>
    </w:p>
    <w:p w:rsidR="00000000" w:rsidRDefault="00677FE7" w:rsidP="00677FE7">
      <w:pPr>
        <w:numPr>
          <w:ilvl w:val="0"/>
          <w:numId w:val="7"/>
        </w:numPr>
        <w:tabs>
          <w:tab w:val="left" w:pos="426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------------ and Careers Scotland will </w:t>
      </w:r>
      <w:r>
        <w:rPr>
          <w:sz w:val="22"/>
          <w:szCs w:val="22"/>
        </w:rPr>
        <w:t>meet annually to review the agreed mutual priorities and report on the achievement of the performances measures and targets.</w:t>
      </w:r>
    </w:p>
    <w:p w:rsidR="00000000" w:rsidRDefault="00677FE7" w:rsidP="00677FE7">
      <w:pPr>
        <w:numPr>
          <w:ilvl w:val="0"/>
          <w:numId w:val="7"/>
        </w:numPr>
        <w:tabs>
          <w:tab w:val="left" w:pos="426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>In addition to meetings, consultation and dialogue will continue across a range of policy areas and planning mechanisms.</w:t>
      </w:r>
    </w:p>
    <w:p w:rsidR="00000000" w:rsidRDefault="00677FE7">
      <w:pPr>
        <w:tabs>
          <w:tab w:val="left" w:pos="42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</w:p>
    <w:p w:rsidR="00000000" w:rsidRDefault="00677FE7" w:rsidP="00677FE7">
      <w:pPr>
        <w:numPr>
          <w:ilvl w:val="1"/>
          <w:numId w:val="5"/>
        </w:numPr>
        <w:tabs>
          <w:tab w:val="left" w:pos="42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Consulta</w:t>
      </w:r>
      <w:r>
        <w:rPr>
          <w:b/>
          <w:sz w:val="22"/>
          <w:szCs w:val="22"/>
        </w:rPr>
        <w:t>tion</w:t>
      </w:r>
      <w:r>
        <w:rPr>
          <w:b/>
          <w:sz w:val="22"/>
          <w:szCs w:val="22"/>
        </w:rPr>
        <w:br/>
      </w:r>
    </w:p>
    <w:p w:rsidR="00000000" w:rsidRDefault="00677FE7" w:rsidP="00677FE7">
      <w:pPr>
        <w:numPr>
          <w:ilvl w:val="0"/>
          <w:numId w:val="8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bCs/>
          <w:sz w:val="22"/>
          <w:szCs w:val="22"/>
        </w:rPr>
        <w:t>---------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and Careers Scotland will undertake to carry out any consultation process in accordance with the Executive's </w:t>
      </w:r>
      <w:r>
        <w:rPr>
          <w:i/>
          <w:sz w:val="22"/>
          <w:szCs w:val="22"/>
        </w:rPr>
        <w:t xml:space="preserve">Good Practice Guidance on Consultation, </w:t>
      </w:r>
      <w:r>
        <w:rPr>
          <w:sz w:val="22"/>
          <w:szCs w:val="22"/>
        </w:rPr>
        <w:t>including;</w:t>
      </w:r>
    </w:p>
    <w:p w:rsidR="00000000" w:rsidRDefault="00677FE7" w:rsidP="00677FE7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Both parties will undertake to provide a considered, coordinated and timely resp</w:t>
      </w:r>
      <w:r>
        <w:rPr>
          <w:sz w:val="22"/>
          <w:szCs w:val="22"/>
        </w:rPr>
        <w:t>onse to issues on which they are consulted;</w:t>
      </w:r>
    </w:p>
    <w:p w:rsidR="00000000" w:rsidRDefault="00677FE7" w:rsidP="00677FE7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Both parties undertake to respect confidentiality where that is required or requested; And otherwise to conduct their dialogue openly; </w:t>
      </w:r>
    </w:p>
    <w:p w:rsidR="00000000" w:rsidRDefault="00677FE7" w:rsidP="00677FE7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 mechanism will be established to feed back findings from consultations.</w:t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br/>
      </w:r>
    </w:p>
    <w:p w:rsidR="00000000" w:rsidRDefault="00677FE7">
      <w:pPr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9.</w:t>
      </w:r>
      <w:r>
        <w:rPr>
          <w:b/>
          <w:sz w:val="22"/>
          <w:szCs w:val="22"/>
        </w:rPr>
        <w:tab/>
        <w:t xml:space="preserve">Internal and External Communications </w:t>
      </w:r>
      <w:r>
        <w:rPr>
          <w:b/>
          <w:sz w:val="22"/>
          <w:szCs w:val="22"/>
        </w:rPr>
        <w:br/>
      </w:r>
    </w:p>
    <w:p w:rsidR="00000000" w:rsidRDefault="00677FE7" w:rsidP="00677FE7">
      <w:pPr>
        <w:numPr>
          <w:ilvl w:val="0"/>
          <w:numId w:val="11"/>
        </w:numPr>
        <w:tabs>
          <w:tab w:val="clear" w:pos="1800"/>
          <w:tab w:val="num" w:pos="1080"/>
        </w:tabs>
        <w:ind w:left="108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---------- and Careers Scotland will promote this document through their respective website to members, customers and staff of both organisations and interested parties. </w:t>
      </w:r>
    </w:p>
    <w:p w:rsidR="00000000" w:rsidRDefault="00677FE7" w:rsidP="00677FE7">
      <w:pPr>
        <w:numPr>
          <w:ilvl w:val="0"/>
          <w:numId w:val="11"/>
        </w:numPr>
        <w:tabs>
          <w:tab w:val="clear" w:pos="1800"/>
          <w:tab w:val="num" w:pos="1080"/>
        </w:tabs>
        <w:ind w:left="1080"/>
        <w:rPr>
          <w:rFonts w:cs="Arial"/>
          <w:sz w:val="22"/>
          <w:szCs w:val="22"/>
        </w:rPr>
      </w:pPr>
      <w:r>
        <w:rPr>
          <w:sz w:val="22"/>
          <w:szCs w:val="22"/>
        </w:rPr>
        <w:t>---------- and Careers Scotland will seek e</w:t>
      </w:r>
      <w:r>
        <w:rPr>
          <w:sz w:val="22"/>
          <w:szCs w:val="22"/>
        </w:rPr>
        <w:t xml:space="preserve">ach others permission prior  to publishing or releasing any material referring to the other partner. </w:t>
      </w:r>
    </w:p>
    <w:p w:rsidR="00000000" w:rsidRDefault="00677FE7">
      <w:pPr>
        <w:ind w:left="360"/>
        <w:rPr>
          <w:rFonts w:cs="Arial"/>
          <w:sz w:val="22"/>
          <w:szCs w:val="22"/>
        </w:rPr>
      </w:pPr>
    </w:p>
    <w:p w:rsidR="00677FE7" w:rsidRDefault="00677FE7"/>
    <w:sectPr w:rsidR="00677FE7">
      <w:pgSz w:w="16840" w:h="11907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FE7" w:rsidRDefault="00677FE7">
      <w:r>
        <w:separator/>
      </w:r>
    </w:p>
  </w:endnote>
  <w:endnote w:type="continuationSeparator" w:id="0">
    <w:p w:rsidR="00677FE7" w:rsidRDefault="0067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77F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677F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77F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4DDF">
      <w:rPr>
        <w:rStyle w:val="PageNumber"/>
        <w:noProof/>
      </w:rPr>
      <w:t>1</w:t>
    </w:r>
    <w:r>
      <w:rPr>
        <w:rStyle w:val="PageNumber"/>
      </w:rPr>
      <w:fldChar w:fldCharType="end"/>
    </w:r>
  </w:p>
  <w:p w:rsidR="00000000" w:rsidRDefault="00677F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FE7" w:rsidRDefault="00677FE7">
      <w:r>
        <w:separator/>
      </w:r>
    </w:p>
  </w:footnote>
  <w:footnote w:type="continuationSeparator" w:id="0">
    <w:p w:rsidR="00677FE7" w:rsidRDefault="00677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A377C"/>
    <w:multiLevelType w:val="hybridMultilevel"/>
    <w:tmpl w:val="908A69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5881BFF"/>
    <w:multiLevelType w:val="hybridMultilevel"/>
    <w:tmpl w:val="6B3A3294"/>
    <w:lvl w:ilvl="0" w:tplc="E96ECBB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5457BA"/>
    <w:multiLevelType w:val="hybridMultilevel"/>
    <w:tmpl w:val="7BF02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D23F39"/>
    <w:multiLevelType w:val="hybridMultilevel"/>
    <w:tmpl w:val="B6C2E2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03E507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B9C6C2A"/>
    <w:multiLevelType w:val="hybridMultilevel"/>
    <w:tmpl w:val="BDECB7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56009A4"/>
    <w:multiLevelType w:val="hybridMultilevel"/>
    <w:tmpl w:val="A0CE9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90D1B1E"/>
    <w:multiLevelType w:val="hybridMultilevel"/>
    <w:tmpl w:val="FF980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4438AC"/>
    <w:multiLevelType w:val="hybridMultilevel"/>
    <w:tmpl w:val="C9FAF4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2366AFC"/>
    <w:multiLevelType w:val="hybridMultilevel"/>
    <w:tmpl w:val="220228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C27529A"/>
    <w:multiLevelType w:val="hybridMultilevel"/>
    <w:tmpl w:val="8AA20D9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FCB1DD4"/>
    <w:multiLevelType w:val="hybridMultilevel"/>
    <w:tmpl w:val="5EAA210C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73461366"/>
    <w:multiLevelType w:val="hybridMultilevel"/>
    <w:tmpl w:val="908A690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3903E03"/>
    <w:multiLevelType w:val="hybridMultilevel"/>
    <w:tmpl w:val="92809F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0"/>
  </w:num>
  <w:num w:numId="9">
    <w:abstractNumId w:val="12"/>
  </w:num>
  <w:num w:numId="10">
    <w:abstractNumId w:val="10"/>
  </w:num>
  <w:num w:numId="11">
    <w:abstractNumId w:val="11"/>
  </w:num>
  <w:num w:numId="12">
    <w:abstractNumId w:val="1"/>
  </w:num>
  <w:num w:numId="13">
    <w:abstractNumId w:val="7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DF"/>
    <w:rsid w:val="00677FE7"/>
    <w:rsid w:val="00E2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DF242-3DCD-4B43-AB5E-2C5B7B5B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rFonts w:ascii="Arial" w:hAnsi="Arial" w:cs="Arial"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2"/>
      <w:szCs w:val="22"/>
    </w:rPr>
  </w:style>
  <w:style w:type="paragraph" w:styleId="BodyText2">
    <w:name w:val="Body Text 2"/>
    <w:basedOn w:val="Normal"/>
    <w:semiHidden/>
    <w:pPr>
      <w:jc w:val="both"/>
    </w:pPr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eg" Type="http://schemas.openxmlformats.org/officeDocument/2006/relationships/image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1047</Words>
  <Characters>5969</Characters>
  <DocSecurity>0</DocSecurity>
  <Lines>49</Lines>
  <Paragraphs>14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Strategic Partnership Agreement</vt:lpstr>
    </vt:vector>
  </TitlesOfParts>
  <LinksUpToDate>false</LinksUpToDate>
  <CharactersWithSpaces>7002</CharactersWithSpaces>
  <SharedDoc>false</SharedDoc>
  <HLinks>
    <vt:vector baseType="variant" size="6">
      <vt:variant>
        <vt:i4>4456473</vt:i4>
      </vt:variant>
      <vt:variant>
        <vt:i4>1068</vt:i4>
      </vt:variant>
      <vt:variant>
        <vt:i4>1025</vt:i4>
      </vt:variant>
      <vt:variant>
        <vt:i4>1</vt:i4>
      </vt:variant>
      <vt:variant>
        <vt:lpwstr>Careers Scotland</vt:lpwstr>
      </vt:variant>
      <vt:variant>
        <vt:lpwstr/>
      </vt:variant>
    </vt:vector>
  </HLinks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