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9CC" w:rsidRPr="006F09CC" w:rsidRDefault="006F09CC" w:rsidP="006F09CC">
      <w:pPr>
        <w:ind w:left="0"/>
        <w:jc w:val="center"/>
        <w:rPr>
          <w:rFonts w:ascii="Times New Roman" w:eastAsia="Times New Roman" w:hAnsi="Times New Roman" w:cs="Times New Roman"/>
          <w:sz w:val="24"/>
          <w:szCs w:val="24"/>
        </w:rPr>
      </w:pPr>
      <w:bookmarkStart w:id="0" w:name="_GoBack"/>
      <w:bookmarkEnd w:id="0"/>
      <w:r w:rsidRPr="006F09CC">
        <w:rPr>
          <w:rFonts w:ascii="Times New Roman" w:eastAsia="Times New Roman" w:hAnsi="Times New Roman" w:cs="Times New Roman"/>
          <w:sz w:val="24"/>
          <w:szCs w:val="24"/>
        </w:rPr>
        <w:t>FORM OF PROFIT SHARING LETTER AGREEMENT</w:t>
      </w:r>
    </w:p>
    <w:p w:rsidR="006F09CC" w:rsidRPr="006F09CC" w:rsidRDefault="006F09CC" w:rsidP="006F09CC">
      <w:pPr>
        <w:spacing w:before="180"/>
        <w:ind w:left="0"/>
        <w:jc w:val="right"/>
        <w:rPr>
          <w:rFonts w:ascii="Times New Roman" w:eastAsia="Times New Roman" w:hAnsi="Times New Roman" w:cs="Times New Roman"/>
          <w:sz w:val="24"/>
          <w:szCs w:val="24"/>
        </w:rPr>
      </w:pPr>
      <w:r w:rsidRPr="006F09CC">
        <w:rPr>
          <w:rFonts w:ascii="Arial" w:eastAsia="Times New Roman" w:hAnsi="Arial" w:cs="Arial"/>
          <w:b/>
          <w:bCs/>
          <w:sz w:val="20"/>
          <w:szCs w:val="20"/>
        </w:rPr>
        <w:t>Exhibit 10.17</w:t>
      </w:r>
    </w:p>
    <w:p w:rsidR="006F09CC" w:rsidRPr="006F09CC" w:rsidRDefault="006F09CC" w:rsidP="006F09CC">
      <w:pPr>
        <w:spacing w:before="180"/>
        <w:ind w:left="0"/>
        <w:jc w:val="center"/>
        <w:rPr>
          <w:rFonts w:ascii="Times New Roman" w:eastAsia="Times New Roman" w:hAnsi="Times New Roman" w:cs="Times New Roman"/>
          <w:sz w:val="24"/>
          <w:szCs w:val="24"/>
        </w:rPr>
      </w:pPr>
      <w:r w:rsidRPr="006F09CC">
        <w:rPr>
          <w:rFonts w:ascii="Arial" w:eastAsia="Times New Roman" w:hAnsi="Arial" w:cs="Arial"/>
          <w:b/>
          <w:bCs/>
          <w:i/>
          <w:iCs/>
          <w:sz w:val="20"/>
          <w:szCs w:val="20"/>
        </w:rPr>
        <w:t>[</w:t>
      </w:r>
      <w:proofErr w:type="spellStart"/>
      <w:r w:rsidRPr="006F09CC">
        <w:rPr>
          <w:rFonts w:ascii="Arial" w:eastAsia="Times New Roman" w:hAnsi="Arial" w:cs="Arial"/>
          <w:b/>
          <w:bCs/>
          <w:i/>
          <w:iCs/>
          <w:sz w:val="20"/>
          <w:szCs w:val="20"/>
        </w:rPr>
        <w:t>Oaktree</w:t>
      </w:r>
      <w:proofErr w:type="spellEnd"/>
      <w:r w:rsidRPr="006F09CC">
        <w:rPr>
          <w:rFonts w:ascii="Arial" w:eastAsia="Times New Roman" w:hAnsi="Arial" w:cs="Arial"/>
          <w:b/>
          <w:bCs/>
          <w:i/>
          <w:iCs/>
          <w:sz w:val="20"/>
          <w:szCs w:val="20"/>
        </w:rPr>
        <w:t xml:space="preserve"> Letterhead]</w:t>
      </w:r>
    </w:p>
    <w:p w:rsidR="006F09CC" w:rsidRPr="006F09CC" w:rsidRDefault="006F09CC" w:rsidP="006F09CC">
      <w:pPr>
        <w:spacing w:before="180"/>
        <w:ind w:left="0"/>
        <w:jc w:val="center"/>
        <w:rPr>
          <w:rFonts w:ascii="Times New Roman" w:eastAsia="Times New Roman" w:hAnsi="Times New Roman" w:cs="Times New Roman"/>
          <w:sz w:val="24"/>
          <w:szCs w:val="24"/>
        </w:rPr>
      </w:pPr>
      <w:r w:rsidRPr="006F09CC">
        <w:rPr>
          <w:rFonts w:ascii="Arial" w:eastAsia="Times New Roman" w:hAnsi="Arial" w:cs="Arial"/>
          <w:sz w:val="20"/>
          <w:szCs w:val="20"/>
        </w:rPr>
        <w:t>[            ], 2012</w:t>
      </w:r>
    </w:p>
    <w:p w:rsidR="006F09CC" w:rsidRPr="006F09CC" w:rsidRDefault="006F09CC" w:rsidP="006F09CC">
      <w:pPr>
        <w:spacing w:before="180"/>
        <w:ind w:left="0"/>
        <w:rPr>
          <w:rFonts w:ascii="Times New Roman" w:eastAsia="Times New Roman" w:hAnsi="Times New Roman" w:cs="Times New Roman"/>
          <w:sz w:val="24"/>
          <w:szCs w:val="24"/>
        </w:rPr>
      </w:pPr>
      <w:r w:rsidRPr="006F09CC">
        <w:rPr>
          <w:rFonts w:ascii="Arial" w:eastAsia="Times New Roman" w:hAnsi="Arial" w:cs="Arial"/>
          <w:sz w:val="20"/>
          <w:szCs w:val="20"/>
        </w:rPr>
        <w:t>[Name]</w:t>
      </w:r>
    </w:p>
    <w:p w:rsidR="006F09CC" w:rsidRPr="006F09CC" w:rsidRDefault="006F09CC" w:rsidP="006F09CC">
      <w:pPr>
        <w:ind w:left="0"/>
        <w:rPr>
          <w:rFonts w:ascii="Times New Roman" w:eastAsia="Times New Roman" w:hAnsi="Times New Roman" w:cs="Times New Roman"/>
          <w:sz w:val="24"/>
          <w:szCs w:val="24"/>
        </w:rPr>
      </w:pPr>
      <w:proofErr w:type="gramStart"/>
      <w:r w:rsidRPr="006F09CC">
        <w:rPr>
          <w:rFonts w:ascii="Arial" w:eastAsia="Times New Roman" w:hAnsi="Arial" w:cs="Arial"/>
          <w:sz w:val="20"/>
          <w:szCs w:val="20"/>
        </w:rPr>
        <w:t>c/o</w:t>
      </w:r>
      <w:proofErr w:type="gramEnd"/>
      <w:r w:rsidRPr="006F09CC">
        <w:rPr>
          <w:rFonts w:ascii="Arial" w:eastAsia="Times New Roman" w:hAnsi="Arial" w:cs="Arial"/>
          <w:sz w:val="20"/>
          <w:szCs w:val="20"/>
        </w:rPr>
        <w:t xml:space="preserve">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Capital Management, L.P.</w:t>
      </w:r>
    </w:p>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333 South Grand Avenue, 28th floor</w:t>
      </w:r>
    </w:p>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Los Angeles, CA 90071</w:t>
      </w:r>
    </w:p>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468"/>
        <w:gridCol w:w="468"/>
        <w:gridCol w:w="8424"/>
      </w:tblGrid>
      <w:tr w:rsidR="006F09CC" w:rsidRPr="006F09CC" w:rsidTr="006F09CC">
        <w:tc>
          <w:tcPr>
            <w:tcW w:w="250" w:type="pct"/>
            <w:vAlign w:val="center"/>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250" w:type="pct"/>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Re:</w:t>
            </w:r>
          </w:p>
        </w:tc>
        <w:tc>
          <w:tcPr>
            <w:tcW w:w="0" w:type="auto"/>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u w:val="single"/>
              </w:rPr>
              <w:t>Profit Sharing Arrangement</w:t>
            </w:r>
          </w:p>
        </w:tc>
      </w:tr>
    </w:tbl>
    <w:p w:rsidR="006F09CC" w:rsidRPr="006F09CC" w:rsidRDefault="006F09CC" w:rsidP="006F09CC">
      <w:pPr>
        <w:spacing w:before="180"/>
        <w:ind w:left="0"/>
        <w:rPr>
          <w:rFonts w:ascii="Times New Roman" w:eastAsia="Times New Roman" w:hAnsi="Times New Roman" w:cs="Times New Roman"/>
          <w:sz w:val="24"/>
          <w:szCs w:val="24"/>
        </w:rPr>
      </w:pPr>
      <w:r w:rsidRPr="006F09CC">
        <w:rPr>
          <w:rFonts w:ascii="Arial" w:eastAsia="Times New Roman" w:hAnsi="Arial" w:cs="Arial"/>
          <w:sz w:val="20"/>
          <w:szCs w:val="20"/>
        </w:rPr>
        <w:t>Dear [Name]:</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This letter agreement (this “</w:t>
      </w:r>
      <w:r w:rsidRPr="006F09CC">
        <w:rPr>
          <w:rFonts w:ascii="Arial" w:eastAsia="Times New Roman" w:hAnsi="Arial" w:cs="Arial"/>
          <w:sz w:val="20"/>
          <w:szCs w:val="20"/>
          <w:u w:val="single"/>
        </w:rPr>
        <w:t>Agreement</w:t>
      </w:r>
      <w:r w:rsidRPr="006F09CC">
        <w:rPr>
          <w:rFonts w:ascii="Arial" w:eastAsia="Times New Roman" w:hAnsi="Arial" w:cs="Arial"/>
          <w:sz w:val="20"/>
          <w:szCs w:val="20"/>
        </w:rPr>
        <w:t xml:space="preserve">”) memorializes certain compensation payable to you in connection with your employment by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Capital Management, L.P., a Delaware limited partnership (along with its affiliates, “</w:t>
      </w:r>
      <w:proofErr w:type="spellStart"/>
      <w:r w:rsidRPr="006F09CC">
        <w:rPr>
          <w:rFonts w:ascii="Arial" w:eastAsia="Times New Roman" w:hAnsi="Arial" w:cs="Arial"/>
          <w:sz w:val="20"/>
          <w:szCs w:val="20"/>
          <w:u w:val="single"/>
        </w:rPr>
        <w:t>Oaktree</w:t>
      </w:r>
      <w:proofErr w:type="spellEnd"/>
      <w:r w:rsidRPr="006F09CC">
        <w:rPr>
          <w:rFonts w:ascii="Arial" w:eastAsia="Times New Roman" w:hAnsi="Arial" w:cs="Arial"/>
          <w:sz w:val="20"/>
          <w:szCs w:val="20"/>
        </w:rPr>
        <w:t xml:space="preserve">”). This Agreement is based on your providing, and continuing to provide, ongoing services satisfactory to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on a full-time basis. In exchange,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will provide you with the compensation as set forth below, subject to the terms and conditions of this Agreement.</w:t>
      </w:r>
    </w:p>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468"/>
        <w:gridCol w:w="468"/>
        <w:gridCol w:w="8424"/>
      </w:tblGrid>
      <w:tr w:rsidR="006F09CC" w:rsidRPr="006F09CC" w:rsidTr="006F09CC">
        <w:tc>
          <w:tcPr>
            <w:tcW w:w="250" w:type="pct"/>
            <w:vAlign w:val="center"/>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250" w:type="pct"/>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1.</w:t>
            </w:r>
          </w:p>
        </w:tc>
        <w:tc>
          <w:tcPr>
            <w:tcW w:w="0" w:type="auto"/>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u w:val="single"/>
              </w:rPr>
              <w:t>Certain Compensation Arrangements</w:t>
            </w:r>
            <w:r w:rsidRPr="006F09CC">
              <w:rPr>
                <w:rFonts w:ascii="Arial" w:eastAsia="Times New Roman" w:hAnsi="Arial" w:cs="Arial"/>
                <w:sz w:val="20"/>
                <w:szCs w:val="20"/>
              </w:rPr>
              <w:t>. You will be entitled to receive:</w:t>
            </w:r>
          </w:p>
        </w:tc>
      </w:tr>
    </w:tbl>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936"/>
        <w:gridCol w:w="468"/>
        <w:gridCol w:w="7956"/>
      </w:tblGrid>
      <w:tr w:rsidR="006F09CC" w:rsidRPr="006F09CC" w:rsidTr="006F09CC">
        <w:tc>
          <w:tcPr>
            <w:tcW w:w="500" w:type="pct"/>
            <w:vAlign w:val="center"/>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250" w:type="pct"/>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(a)</w:t>
            </w:r>
          </w:p>
        </w:tc>
        <w:tc>
          <w:tcPr>
            <w:tcW w:w="0" w:type="auto"/>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u w:val="single"/>
              </w:rPr>
              <w:t>Incentive Payments</w:t>
            </w:r>
            <w:r w:rsidRPr="006F09CC">
              <w:rPr>
                <w:rFonts w:ascii="Arial" w:eastAsia="Times New Roman" w:hAnsi="Arial" w:cs="Arial"/>
                <w:sz w:val="20"/>
                <w:szCs w:val="20"/>
              </w:rPr>
              <w:t>. Certain payments (“</w:t>
            </w:r>
            <w:r w:rsidRPr="006F09CC">
              <w:rPr>
                <w:rFonts w:ascii="Arial" w:eastAsia="Times New Roman" w:hAnsi="Arial" w:cs="Arial"/>
                <w:sz w:val="20"/>
                <w:szCs w:val="20"/>
                <w:u w:val="single"/>
              </w:rPr>
              <w:t>Incentive Payments</w:t>
            </w:r>
            <w:r w:rsidRPr="006F09CC">
              <w:rPr>
                <w:rFonts w:ascii="Arial" w:eastAsia="Times New Roman" w:hAnsi="Arial" w:cs="Arial"/>
                <w:sz w:val="20"/>
                <w:szCs w:val="20"/>
              </w:rPr>
              <w:t xml:space="preserve">”) from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Fund GP I, L.P.,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Fund GP II, L.P. and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Fund GP III, L.P. (collectively, the “</w:t>
            </w:r>
            <w:proofErr w:type="spellStart"/>
            <w:r w:rsidRPr="006F09CC">
              <w:rPr>
                <w:rFonts w:ascii="Arial" w:eastAsia="Times New Roman" w:hAnsi="Arial" w:cs="Arial"/>
                <w:sz w:val="20"/>
                <w:szCs w:val="20"/>
                <w:u w:val="single"/>
              </w:rPr>
              <w:t>PoolCos</w:t>
            </w:r>
            <w:proofErr w:type="spellEnd"/>
            <w:r w:rsidRPr="006F09CC">
              <w:rPr>
                <w:rFonts w:ascii="Arial" w:eastAsia="Times New Roman" w:hAnsi="Arial" w:cs="Arial"/>
                <w:sz w:val="20"/>
                <w:szCs w:val="20"/>
              </w:rPr>
              <w:t>”) equal to [</w:t>
            </w:r>
            <w:r w:rsidRPr="006F09CC">
              <w:rPr>
                <w:rFonts w:ascii="Symbol" w:eastAsia="Times New Roman" w:hAnsi="Symbol" w:cs="Arial"/>
                <w:color w:val="000000"/>
                <w:sz w:val="20"/>
                <w:szCs w:val="20"/>
              </w:rPr>
              <w:t></w:t>
            </w:r>
            <w:r w:rsidRPr="006F09CC">
              <w:rPr>
                <w:rFonts w:ascii="Arial" w:eastAsia="Times New Roman" w:hAnsi="Arial" w:cs="Arial"/>
                <w:sz w:val="20"/>
                <w:szCs w:val="20"/>
              </w:rPr>
              <w:t xml:space="preserve">]% of the Net Incentive Income (as defined below) received by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from the investment funds and accounts managed or controlled by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and its affiliates (such investment funds and accounts, collectively, the “</w:t>
            </w:r>
            <w:r w:rsidRPr="006F09CC">
              <w:rPr>
                <w:rFonts w:ascii="Arial" w:eastAsia="Times New Roman" w:hAnsi="Arial" w:cs="Arial"/>
                <w:sz w:val="20"/>
                <w:szCs w:val="20"/>
                <w:u w:val="single"/>
              </w:rPr>
              <w:t>Funds</w:t>
            </w:r>
            <w:r w:rsidRPr="006F09CC">
              <w:rPr>
                <w:rFonts w:ascii="Arial" w:eastAsia="Times New Roman" w:hAnsi="Arial" w:cs="Arial"/>
                <w:sz w:val="20"/>
                <w:szCs w:val="20"/>
              </w:rPr>
              <w:t>”);</w:t>
            </w:r>
          </w:p>
        </w:tc>
      </w:tr>
    </w:tbl>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936"/>
        <w:gridCol w:w="468"/>
        <w:gridCol w:w="7956"/>
      </w:tblGrid>
      <w:tr w:rsidR="006F09CC" w:rsidRPr="006F09CC" w:rsidTr="006F09CC">
        <w:tc>
          <w:tcPr>
            <w:tcW w:w="500" w:type="pct"/>
            <w:vAlign w:val="center"/>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250" w:type="pct"/>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(b)</w:t>
            </w:r>
          </w:p>
        </w:tc>
        <w:tc>
          <w:tcPr>
            <w:tcW w:w="0" w:type="auto"/>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u w:val="single"/>
              </w:rPr>
              <w:t>Investment Payments</w:t>
            </w:r>
            <w:r w:rsidRPr="006F09CC">
              <w:rPr>
                <w:rFonts w:ascii="Arial" w:eastAsia="Times New Roman" w:hAnsi="Arial" w:cs="Arial"/>
                <w:sz w:val="20"/>
                <w:szCs w:val="20"/>
              </w:rPr>
              <w:t>. Certain payments (“</w:t>
            </w:r>
            <w:r w:rsidRPr="006F09CC">
              <w:rPr>
                <w:rFonts w:ascii="Arial" w:eastAsia="Times New Roman" w:hAnsi="Arial" w:cs="Arial"/>
                <w:sz w:val="20"/>
                <w:szCs w:val="20"/>
                <w:u w:val="single"/>
              </w:rPr>
              <w:t>Investment Payments</w:t>
            </w:r>
            <w:r w:rsidRPr="006F09CC">
              <w:rPr>
                <w:rFonts w:ascii="Arial" w:eastAsia="Times New Roman" w:hAnsi="Arial" w:cs="Arial"/>
                <w:sz w:val="20"/>
                <w:szCs w:val="20"/>
              </w:rPr>
              <w:t xml:space="preserve">”) from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equal to [</w:t>
            </w:r>
            <w:r w:rsidRPr="006F09CC">
              <w:rPr>
                <w:rFonts w:ascii="Symbol" w:eastAsia="Times New Roman" w:hAnsi="Symbol" w:cs="Arial"/>
                <w:color w:val="000000"/>
                <w:sz w:val="20"/>
                <w:szCs w:val="20"/>
              </w:rPr>
              <w:t></w:t>
            </w:r>
            <w:r w:rsidRPr="006F09CC">
              <w:rPr>
                <w:rFonts w:ascii="Arial" w:eastAsia="Times New Roman" w:hAnsi="Arial" w:cs="Arial"/>
                <w:sz w:val="20"/>
                <w:szCs w:val="20"/>
              </w:rPr>
              <w:t xml:space="preserve">]% of the Net Investment Income (as defined below) received by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from the Funds; and</w:t>
            </w:r>
          </w:p>
        </w:tc>
      </w:tr>
    </w:tbl>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936"/>
        <w:gridCol w:w="468"/>
        <w:gridCol w:w="7956"/>
      </w:tblGrid>
      <w:tr w:rsidR="006F09CC" w:rsidRPr="006F09CC" w:rsidTr="006F09CC">
        <w:tc>
          <w:tcPr>
            <w:tcW w:w="500" w:type="pct"/>
            <w:vAlign w:val="center"/>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250" w:type="pct"/>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(c)</w:t>
            </w:r>
          </w:p>
        </w:tc>
        <w:tc>
          <w:tcPr>
            <w:tcW w:w="0" w:type="auto"/>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u w:val="single"/>
              </w:rPr>
              <w:t>Profit Payments</w:t>
            </w:r>
            <w:r w:rsidRPr="006F09CC">
              <w:rPr>
                <w:rFonts w:ascii="Arial" w:eastAsia="Times New Roman" w:hAnsi="Arial" w:cs="Arial"/>
                <w:sz w:val="20"/>
                <w:szCs w:val="20"/>
              </w:rPr>
              <w:t>. Certain payments (each such payment, a “</w:t>
            </w:r>
            <w:r w:rsidRPr="006F09CC">
              <w:rPr>
                <w:rFonts w:ascii="Arial" w:eastAsia="Times New Roman" w:hAnsi="Arial" w:cs="Arial"/>
                <w:sz w:val="20"/>
                <w:szCs w:val="20"/>
                <w:u w:val="single"/>
              </w:rPr>
              <w:t>Profit Payment</w:t>
            </w:r>
            <w:r w:rsidRPr="006F09CC">
              <w:rPr>
                <w:rFonts w:ascii="Arial" w:eastAsia="Times New Roman" w:hAnsi="Arial" w:cs="Arial"/>
                <w:sz w:val="20"/>
                <w:szCs w:val="20"/>
              </w:rPr>
              <w:t>”) equal to [</w:t>
            </w:r>
            <w:r w:rsidRPr="006F09CC">
              <w:rPr>
                <w:rFonts w:ascii="Symbol" w:eastAsia="Times New Roman" w:hAnsi="Symbol" w:cs="Arial"/>
                <w:color w:val="000000"/>
                <w:sz w:val="20"/>
                <w:szCs w:val="20"/>
              </w:rPr>
              <w:t></w:t>
            </w:r>
            <w:proofErr w:type="gramStart"/>
            <w:r w:rsidRPr="006F09CC">
              <w:rPr>
                <w:rFonts w:ascii="Arial" w:eastAsia="Times New Roman" w:hAnsi="Arial" w:cs="Arial"/>
                <w:sz w:val="20"/>
                <w:szCs w:val="20"/>
              </w:rPr>
              <w:t>]%</w:t>
            </w:r>
            <w:proofErr w:type="gramEnd"/>
            <w:r w:rsidRPr="006F09CC">
              <w:rPr>
                <w:rFonts w:ascii="Arial" w:eastAsia="Times New Roman" w:hAnsi="Arial" w:cs="Arial"/>
                <w:sz w:val="20"/>
                <w:szCs w:val="20"/>
              </w:rPr>
              <w:t xml:space="preserve"> of the Net Operating Profit (as defined below) of the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Operating Group (as defined below) with respect to each fiscal year of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w:t>
            </w:r>
          </w:p>
        </w:tc>
      </w:tr>
    </w:tbl>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5000" w:type="pct"/>
        <w:tblCellMar>
          <w:left w:w="0" w:type="dxa"/>
          <w:right w:w="0" w:type="dxa"/>
        </w:tblCellMar>
        <w:tblLook w:val="04A0" w:firstRow="1" w:lastRow="0" w:firstColumn="1" w:lastColumn="0" w:noHBand="0" w:noVBand="1"/>
      </w:tblPr>
      <w:tblGrid>
        <w:gridCol w:w="936"/>
        <w:gridCol w:w="468"/>
        <w:gridCol w:w="7956"/>
      </w:tblGrid>
      <w:tr w:rsidR="006F09CC" w:rsidRPr="006F09CC" w:rsidTr="006F09CC">
        <w:tc>
          <w:tcPr>
            <w:tcW w:w="500" w:type="pct"/>
            <w:vAlign w:val="center"/>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250" w:type="pct"/>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(d)</w:t>
            </w:r>
          </w:p>
        </w:tc>
        <w:tc>
          <w:tcPr>
            <w:tcW w:w="0" w:type="auto"/>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u w:val="single"/>
              </w:rPr>
              <w:t>Amounts Netted</w:t>
            </w:r>
            <w:r w:rsidRPr="006F09CC">
              <w:rPr>
                <w:rFonts w:ascii="Arial" w:eastAsia="Times New Roman" w:hAnsi="Arial" w:cs="Arial"/>
                <w:sz w:val="20"/>
                <w:szCs w:val="20"/>
              </w:rPr>
              <w:t xml:space="preserve">. In calculating your entitlement to Incentive Payments, Investment Payments, and Profit Payments, any negative amounts with respect to one or more shall be netted against positive amounts, if any. Amounts due hereunder shall be determined by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in good faith, consistent with past practice.</w:t>
            </w:r>
          </w:p>
        </w:tc>
      </w:tr>
    </w:tbl>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For the avoidance of doubt, the foregoing does not grant you any management, control or other rights with respect to the applicable Funds. You and the interests granted</w:t>
      </w:r>
    </w:p>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24"/>
          <w:szCs w:val="24"/>
        </w:rPr>
        <w:pict>
          <v:rect id="_x0000_i1025" style="width:468pt;height:2.25pt" o:hralign="center" o:hrstd="t" o:hrnoshade="t" o:hr="t" fillcolor="#999" stroked="f"/>
        </w:pict>
      </w:r>
    </w:p>
    <w:p w:rsidR="006F09CC" w:rsidRPr="006F09CC" w:rsidRDefault="006F09CC" w:rsidP="006F09CC">
      <w:pPr>
        <w:ind w:left="0"/>
        <w:rPr>
          <w:rFonts w:ascii="Times New Roman" w:eastAsia="Times New Roman" w:hAnsi="Times New Roman" w:cs="Times New Roman"/>
          <w:sz w:val="24"/>
          <w:szCs w:val="24"/>
        </w:rPr>
      </w:pPr>
      <w:proofErr w:type="gramStart"/>
      <w:r w:rsidRPr="006F09CC">
        <w:rPr>
          <w:rFonts w:ascii="Arial" w:eastAsia="Times New Roman" w:hAnsi="Arial" w:cs="Arial"/>
          <w:sz w:val="20"/>
          <w:szCs w:val="20"/>
        </w:rPr>
        <w:t>hereunder</w:t>
      </w:r>
      <w:proofErr w:type="gramEnd"/>
      <w:r w:rsidRPr="006F09CC">
        <w:rPr>
          <w:rFonts w:ascii="Arial" w:eastAsia="Times New Roman" w:hAnsi="Arial" w:cs="Arial"/>
          <w:sz w:val="20"/>
          <w:szCs w:val="20"/>
        </w:rPr>
        <w:t xml:space="preserve"> shall be subject to the provisions of each </w:t>
      </w:r>
      <w:proofErr w:type="spellStart"/>
      <w:r w:rsidRPr="006F09CC">
        <w:rPr>
          <w:rFonts w:ascii="Arial" w:eastAsia="Times New Roman" w:hAnsi="Arial" w:cs="Arial"/>
          <w:sz w:val="20"/>
          <w:szCs w:val="20"/>
        </w:rPr>
        <w:t>PoolCo</w:t>
      </w:r>
      <w:proofErr w:type="spellEnd"/>
      <w:r w:rsidRPr="006F09CC">
        <w:rPr>
          <w:rFonts w:ascii="Arial" w:eastAsia="Times New Roman" w:hAnsi="Arial" w:cs="Arial"/>
          <w:sz w:val="20"/>
          <w:szCs w:val="20"/>
        </w:rPr>
        <w:t xml:space="preserve"> limited partnership agreement and any other document or arrangement which govern the terms of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You shall be entitled to your Incentive Payments reasonably promptly after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receives the associated incentive distributions from the applicable Fund.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shall periodically make reasonable estimates of your expected Investment Payments and Profit Payments and shall make quarterly payments to you based on such estimates. Within thirty days following delivery of the audited financial statements of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in respect of a given fiscal year, a determination shall be made as to whether the estimated payments were greater than or less than your actual Investment Payments and Profit Payments for such year. You shall receive a true-up payment on such date to make up for any shortfall. Each Incentive Payment, Investment Payment and Profit Payment will only be made if you are actively employed by or providing services to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at the </w:t>
      </w:r>
      <w:r w:rsidRPr="006F09CC">
        <w:rPr>
          <w:rFonts w:ascii="Arial" w:eastAsia="Times New Roman" w:hAnsi="Arial" w:cs="Arial"/>
          <w:sz w:val="20"/>
          <w:szCs w:val="20"/>
        </w:rPr>
        <w:lastRenderedPageBreak/>
        <w:t xml:space="preserve">time at which such payment is otherwise to be made. Your entitlement to Incentive Payments, Investment Payments and Profit Payments shall cease immediately upon the termination of your employment with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whether by voluntary resignation, involuntary termination (with or without cause), death, disability or otherwise for any reason.</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2. </w:t>
      </w:r>
      <w:r w:rsidRPr="006F09CC">
        <w:rPr>
          <w:rFonts w:ascii="Arial" w:eastAsia="Times New Roman" w:hAnsi="Arial" w:cs="Arial"/>
          <w:sz w:val="20"/>
          <w:szCs w:val="20"/>
          <w:u w:val="single"/>
        </w:rPr>
        <w:t>Withholding; Repayments; Tax Treatment</w:t>
      </w:r>
      <w:r w:rsidRPr="006F09CC">
        <w:rPr>
          <w:rFonts w:ascii="Arial" w:eastAsia="Times New Roman" w:hAnsi="Arial" w:cs="Arial"/>
          <w:sz w:val="20"/>
          <w:szCs w:val="20"/>
        </w:rPr>
        <w:t>.</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 xml:space="preserve">(a)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is authorized to deduct and withhold from any amounts otherwise payable or distributable to you any and all amounts required to be deducted or withheld under any applicable law or otherwise, including all taxes required to be withheld by applicable law.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makes no representation (and shall not be liable to you) as to the tax treatment of payments made hereunder under applicable tax laws.</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 xml:space="preserve">(b) Notwithstanding anything herein to the contrary, you agree to repay to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any amount paid to you in excess of what you should have received under the terms of this Agreement for any reason (including without limitation by reason of (</w:t>
      </w:r>
      <w:proofErr w:type="spellStart"/>
      <w:r w:rsidRPr="006F09CC">
        <w:rPr>
          <w:rFonts w:ascii="Arial" w:eastAsia="Times New Roman" w:hAnsi="Arial" w:cs="Arial"/>
          <w:sz w:val="20"/>
          <w:szCs w:val="20"/>
          <w:u w:val="single"/>
        </w:rPr>
        <w:t>i</w:t>
      </w:r>
      <w:proofErr w:type="spellEnd"/>
      <w:r w:rsidRPr="006F09CC">
        <w:rPr>
          <w:rFonts w:ascii="Arial" w:eastAsia="Times New Roman" w:hAnsi="Arial" w:cs="Arial"/>
          <w:sz w:val="20"/>
          <w:szCs w:val="20"/>
        </w:rPr>
        <w:t>) a mistake in calculation or (</w:t>
      </w:r>
      <w:r w:rsidRPr="006F09CC">
        <w:rPr>
          <w:rFonts w:ascii="Arial" w:eastAsia="Times New Roman" w:hAnsi="Arial" w:cs="Arial"/>
          <w:sz w:val="20"/>
          <w:szCs w:val="20"/>
          <w:u w:val="single"/>
        </w:rPr>
        <w:t>ii</w:t>
      </w:r>
      <w:r w:rsidRPr="006F09CC">
        <w:rPr>
          <w:rFonts w:ascii="Arial" w:eastAsia="Times New Roman" w:hAnsi="Arial" w:cs="Arial"/>
          <w:sz w:val="20"/>
          <w:szCs w:val="20"/>
        </w:rPr>
        <w:t>) other administrative error).</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(c) Notwithstanding anything herein to the contrary, if as a result of your separation from service, you would receive any payment that, absent the application of this paragraph, would be subject to interest and additional tax imposed pursuant to Section 409A of the Internal Revenue Code of 1986, as amended (the “</w:t>
      </w:r>
      <w:r w:rsidRPr="006F09CC">
        <w:rPr>
          <w:rFonts w:ascii="Arial" w:eastAsia="Times New Roman" w:hAnsi="Arial" w:cs="Arial"/>
          <w:sz w:val="20"/>
          <w:szCs w:val="20"/>
          <w:u w:val="single"/>
        </w:rPr>
        <w:t>Code</w:t>
      </w:r>
      <w:r w:rsidRPr="006F09CC">
        <w:rPr>
          <w:rFonts w:ascii="Arial" w:eastAsia="Times New Roman" w:hAnsi="Arial" w:cs="Arial"/>
          <w:sz w:val="20"/>
          <w:szCs w:val="20"/>
        </w:rPr>
        <w:t>”), as a result of the application of Section 409A(a)(2)(B)(</w:t>
      </w:r>
      <w:proofErr w:type="spellStart"/>
      <w:r w:rsidRPr="006F09CC">
        <w:rPr>
          <w:rFonts w:ascii="Arial" w:eastAsia="Times New Roman" w:hAnsi="Arial" w:cs="Arial"/>
          <w:sz w:val="20"/>
          <w:szCs w:val="20"/>
        </w:rPr>
        <w:t>i</w:t>
      </w:r>
      <w:proofErr w:type="spellEnd"/>
      <w:r w:rsidRPr="006F09CC">
        <w:rPr>
          <w:rFonts w:ascii="Arial" w:eastAsia="Times New Roman" w:hAnsi="Arial" w:cs="Arial"/>
          <w:sz w:val="20"/>
          <w:szCs w:val="20"/>
        </w:rPr>
        <w:t>) of the Code, then no such payment shall be payable prior to the date that is the earliest of (</w:t>
      </w:r>
      <w:proofErr w:type="spellStart"/>
      <w:r w:rsidRPr="006F09CC">
        <w:rPr>
          <w:rFonts w:ascii="Arial" w:eastAsia="Times New Roman" w:hAnsi="Arial" w:cs="Arial"/>
          <w:sz w:val="20"/>
          <w:szCs w:val="20"/>
        </w:rPr>
        <w:t>i</w:t>
      </w:r>
      <w:proofErr w:type="spellEnd"/>
      <w:r w:rsidRPr="006F09CC">
        <w:rPr>
          <w:rFonts w:ascii="Arial" w:eastAsia="Times New Roman" w:hAnsi="Arial" w:cs="Arial"/>
          <w:sz w:val="20"/>
          <w:szCs w:val="20"/>
        </w:rPr>
        <w:t xml:space="preserve">) six (6) months after the date of your separation from service, (ii) your death, or (iii) such other date as will cause such payment not to be subject to such interest and additional tax. It is the intention of the parties that payments or benefits payable hereunder not be subject to the additional tax imposed pursuant to Section 409A of the Code. To the extent such potential payments or benefits could become subject to Section 409A of the Code, you and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shall cooperate to amend your compensation, with the goal of giving you the economic benefits described herein in a manner that does not result in such tax being imposed. If a termination of your employment does not result in a “separation from service” within the meaning of Section 409A of the Code, then for purposes of determining the timing of any payment provided for by this letter agreement, termination shall not be considered to occur until you have incurred such a separation from service. The preceding sentence shall not affect the determination of your entitlement to any payment or benefit, but only the timing thereof.</w:t>
      </w:r>
    </w:p>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24"/>
          <w:szCs w:val="24"/>
        </w:rPr>
        <w:pict>
          <v:rect id="_x0000_i1026" style="width:468pt;height:2.25pt" o:hralign="center" o:hrstd="t" o:hrnoshade="t" o:hr="t" fillcolor="#999" stroked="f"/>
        </w:pic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3. </w:t>
      </w:r>
      <w:r w:rsidRPr="006F09CC">
        <w:rPr>
          <w:rFonts w:ascii="Arial" w:eastAsia="Times New Roman" w:hAnsi="Arial" w:cs="Arial"/>
          <w:sz w:val="20"/>
          <w:szCs w:val="20"/>
          <w:u w:val="single"/>
        </w:rPr>
        <w:t>At-Will Employment</w:t>
      </w:r>
      <w:r w:rsidRPr="006F09CC">
        <w:rPr>
          <w:rFonts w:ascii="Arial" w:eastAsia="Times New Roman" w:hAnsi="Arial" w:cs="Arial"/>
          <w:sz w:val="20"/>
          <w:szCs w:val="20"/>
        </w:rPr>
        <w:t xml:space="preserve">. You acknowledge and agree that your employment rights shall not be enlarged or guaranteed by reason of any of the provisions of this Agreement. You further acknowledge and agree that you are and will continue to be an “at will” employee of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which means that your employment with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may be terminated at any time by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with or without cause or notice and for any lawful reason or no reason.</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4. </w:t>
      </w:r>
      <w:r w:rsidRPr="006F09CC">
        <w:rPr>
          <w:rFonts w:ascii="Arial" w:eastAsia="Times New Roman" w:hAnsi="Arial" w:cs="Arial"/>
          <w:sz w:val="20"/>
          <w:szCs w:val="20"/>
          <w:u w:val="single"/>
        </w:rPr>
        <w:t>Assignment; Designation of Beneficiaries</w:t>
      </w:r>
      <w:r w:rsidRPr="006F09CC">
        <w:rPr>
          <w:rFonts w:ascii="Arial" w:eastAsia="Times New Roman" w:hAnsi="Arial" w:cs="Arial"/>
          <w:sz w:val="20"/>
          <w:szCs w:val="20"/>
        </w:rPr>
        <w:t xml:space="preserve">: Except as set forth in this Section 4, the rights and benefits hereunder shall not be assignable or transferable, and any purported transfer, sale, assignment, pledge or other encumbrance or disposition or attachment of any payments or benefits hereunder other than by operation of law, shall not be permitted or recognized.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Capital Management, L.P. may assign this agreement to its affiliates; provided that no such assignment shall affect in any way the benefits to you or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contemplated by this Agreement. You agree to take any such actions and to execute any such documents as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may reasonably request in order to further implement and evidence any such assignment. You may, with the consent of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designate in writing, on forms prescribed by and filed with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one or more beneficiaries to receive any payments payable after your death and may at any time amend or revoke any such designation; provided that if you designate a person other than your spouse as a beneficiary, your spouse must sign a statement specifically approving such designation. Any payments to which you would be entitled by virtue of this Agreement while alive will be paid, following your death, to the designated beneficiary. If no beneficiary designation is in effect at the time of death, or in the absence of a spouse’s approval as herein above provided, payments to which you are entitled hereunder shall be made to your personal representative.</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lastRenderedPageBreak/>
        <w:t>5. </w:t>
      </w:r>
      <w:r w:rsidRPr="006F09CC">
        <w:rPr>
          <w:rFonts w:ascii="Arial" w:eastAsia="Times New Roman" w:hAnsi="Arial" w:cs="Arial"/>
          <w:sz w:val="20"/>
          <w:szCs w:val="20"/>
          <w:u w:val="single"/>
        </w:rPr>
        <w:t>Definitions</w:t>
      </w:r>
      <w:r w:rsidRPr="006F09CC">
        <w:rPr>
          <w:rFonts w:ascii="Arial" w:eastAsia="Times New Roman" w:hAnsi="Arial" w:cs="Arial"/>
          <w:sz w:val="20"/>
          <w:szCs w:val="20"/>
        </w:rPr>
        <w:t>.</w:t>
      </w:r>
    </w:p>
    <w:p w:rsidR="006F09CC" w:rsidRPr="006F09CC" w:rsidRDefault="006F09CC" w:rsidP="006F09CC">
      <w:pPr>
        <w:spacing w:before="180"/>
        <w:ind w:left="1399" w:firstLine="612"/>
        <w:rPr>
          <w:rFonts w:ascii="Times New Roman" w:eastAsia="Times New Roman" w:hAnsi="Times New Roman" w:cs="Times New Roman"/>
          <w:sz w:val="24"/>
          <w:szCs w:val="24"/>
        </w:rPr>
      </w:pPr>
      <w:r w:rsidRPr="006F09CC">
        <w:rPr>
          <w:rFonts w:ascii="Arial" w:eastAsia="Times New Roman" w:hAnsi="Arial" w:cs="Arial"/>
          <w:sz w:val="20"/>
          <w:szCs w:val="20"/>
        </w:rPr>
        <w:t>“</w:t>
      </w:r>
      <w:r w:rsidRPr="006F09CC">
        <w:rPr>
          <w:rFonts w:ascii="Arial" w:eastAsia="Times New Roman" w:hAnsi="Arial" w:cs="Arial"/>
          <w:sz w:val="20"/>
          <w:szCs w:val="20"/>
          <w:u w:val="single"/>
        </w:rPr>
        <w:t>Net Investment Income</w:t>
      </w:r>
      <w:r w:rsidRPr="006F09CC">
        <w:rPr>
          <w:rFonts w:ascii="Arial" w:eastAsia="Times New Roman" w:hAnsi="Arial" w:cs="Arial"/>
          <w:sz w:val="20"/>
          <w:szCs w:val="20"/>
        </w:rPr>
        <w:t xml:space="preserve">” means, with respect to a given fiscal year, all income (excluding incentive income) earned by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from their respective direct and indirect investments in Funds (including through the general partner of any such Fund), as determined on a GAAP basis without consolidation of Funds.</w:t>
      </w:r>
    </w:p>
    <w:p w:rsidR="006F09CC" w:rsidRPr="006F09CC" w:rsidRDefault="006F09CC" w:rsidP="006F09CC">
      <w:pPr>
        <w:spacing w:before="180"/>
        <w:ind w:left="1399" w:firstLine="612"/>
        <w:rPr>
          <w:rFonts w:ascii="Times New Roman" w:eastAsia="Times New Roman" w:hAnsi="Times New Roman" w:cs="Times New Roman"/>
          <w:sz w:val="24"/>
          <w:szCs w:val="24"/>
        </w:rPr>
      </w:pPr>
      <w:r w:rsidRPr="006F09CC">
        <w:rPr>
          <w:rFonts w:ascii="Arial" w:eastAsia="Times New Roman" w:hAnsi="Arial" w:cs="Arial"/>
          <w:sz w:val="20"/>
          <w:szCs w:val="20"/>
        </w:rPr>
        <w:t>“</w:t>
      </w:r>
      <w:r w:rsidRPr="006F09CC">
        <w:rPr>
          <w:rFonts w:ascii="Arial" w:eastAsia="Times New Roman" w:hAnsi="Arial" w:cs="Arial"/>
          <w:sz w:val="20"/>
          <w:szCs w:val="20"/>
          <w:u w:val="single"/>
        </w:rPr>
        <w:t>Net Operating Profit</w:t>
      </w:r>
      <w:r w:rsidRPr="006F09CC">
        <w:rPr>
          <w:rFonts w:ascii="Arial" w:eastAsia="Times New Roman" w:hAnsi="Arial" w:cs="Arial"/>
          <w:sz w:val="20"/>
          <w:szCs w:val="20"/>
        </w:rPr>
        <w:t xml:space="preserve">” means, with respect to a given fiscal year, the net income of the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Operating Group, determined according to GAAP without consolidation of Funds, as adjusted by (</w:t>
      </w:r>
      <w:proofErr w:type="spellStart"/>
      <w:r w:rsidRPr="006F09CC">
        <w:rPr>
          <w:rFonts w:ascii="Arial" w:eastAsia="Times New Roman" w:hAnsi="Arial" w:cs="Arial"/>
          <w:sz w:val="20"/>
          <w:szCs w:val="20"/>
        </w:rPr>
        <w:t>i</w:t>
      </w:r>
      <w:proofErr w:type="spellEnd"/>
      <w:r w:rsidRPr="006F09CC">
        <w:rPr>
          <w:rFonts w:ascii="Arial" w:eastAsia="Times New Roman" w:hAnsi="Arial" w:cs="Arial"/>
          <w:sz w:val="20"/>
          <w:szCs w:val="20"/>
        </w:rPr>
        <w:t>) adding back (A) the total compensation expense recognized with respect to the vesting of OCGH units granted on or before May 25, 2007 plus (B) 50% of the compensation expense recognized with respect to the vesting of OCGH units granted after May 25, 2007, (ii) excluding incentive income (net of incentive income compensation expense) and phantom equity expense, (iii) excluding Net Investment Income and (iv) excluding compensation expense relating to individuals entitled to payments in respect of Net Operating Profit and Net Investment Income.</w:t>
      </w:r>
    </w:p>
    <w:p w:rsidR="006F09CC" w:rsidRPr="006F09CC" w:rsidRDefault="006F09CC" w:rsidP="006F09CC">
      <w:pPr>
        <w:spacing w:before="180"/>
        <w:ind w:left="1399" w:firstLine="612"/>
        <w:rPr>
          <w:rFonts w:ascii="Times New Roman" w:eastAsia="Times New Roman" w:hAnsi="Times New Roman" w:cs="Times New Roman"/>
          <w:sz w:val="24"/>
          <w:szCs w:val="24"/>
        </w:rPr>
      </w:pPr>
      <w:r w:rsidRPr="006F09CC">
        <w:rPr>
          <w:rFonts w:ascii="Arial" w:eastAsia="Times New Roman" w:hAnsi="Arial" w:cs="Arial"/>
          <w:sz w:val="20"/>
          <w:szCs w:val="20"/>
        </w:rPr>
        <w:t>“</w:t>
      </w:r>
      <w:r w:rsidRPr="006F09CC">
        <w:rPr>
          <w:rFonts w:ascii="Arial" w:eastAsia="Times New Roman" w:hAnsi="Arial" w:cs="Arial"/>
          <w:sz w:val="20"/>
          <w:szCs w:val="20"/>
          <w:u w:val="single"/>
        </w:rPr>
        <w:t>Net Incentive Income</w:t>
      </w:r>
      <w:r w:rsidRPr="006F09CC">
        <w:rPr>
          <w:rFonts w:ascii="Arial" w:eastAsia="Times New Roman" w:hAnsi="Arial" w:cs="Arial"/>
          <w:sz w:val="20"/>
          <w:szCs w:val="20"/>
        </w:rPr>
        <w:t>” means, with respect to a given fiscal year, (</w:t>
      </w:r>
      <w:proofErr w:type="spellStart"/>
      <w:r w:rsidRPr="006F09CC">
        <w:rPr>
          <w:rFonts w:ascii="Arial" w:eastAsia="Times New Roman" w:hAnsi="Arial" w:cs="Arial"/>
          <w:sz w:val="20"/>
          <w:szCs w:val="20"/>
        </w:rPr>
        <w:t>i</w:t>
      </w:r>
      <w:proofErr w:type="spellEnd"/>
      <w:r w:rsidRPr="006F09CC">
        <w:rPr>
          <w:rFonts w:ascii="Arial" w:eastAsia="Times New Roman" w:hAnsi="Arial" w:cs="Arial"/>
          <w:sz w:val="20"/>
          <w:szCs w:val="20"/>
        </w:rPr>
        <w:t xml:space="preserve">) all incentive income earned by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that is derived from any Fund (other than non-evergreen Funds which held their final closings before January 1, 2003), net of (ii) all participation in such income granted to any party by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(other than participation through “Common Series Interests” in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and the payments in</w:t>
      </w:r>
    </w:p>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24"/>
          <w:szCs w:val="24"/>
        </w:rPr>
        <w:pict>
          <v:rect id="_x0000_i1027" style="width:468pt;height:2.25pt" o:hralign="center" o:hrstd="t" o:hrnoshade="t" o:hr="t" fillcolor="#999" stroked="f"/>
        </w:pict>
      </w:r>
    </w:p>
    <w:p w:rsidR="006F09CC" w:rsidRPr="006F09CC" w:rsidRDefault="006F09CC" w:rsidP="006F09CC">
      <w:pPr>
        <w:ind w:left="1399"/>
        <w:rPr>
          <w:rFonts w:ascii="Times New Roman" w:eastAsia="Times New Roman" w:hAnsi="Times New Roman" w:cs="Times New Roman"/>
          <w:sz w:val="24"/>
          <w:szCs w:val="24"/>
        </w:rPr>
      </w:pPr>
      <w:r w:rsidRPr="006F09CC">
        <w:rPr>
          <w:rFonts w:ascii="Arial" w:eastAsia="Times New Roman" w:hAnsi="Arial" w:cs="Arial"/>
          <w:sz w:val="20"/>
          <w:szCs w:val="20"/>
        </w:rPr>
        <w:t xml:space="preserve">respect of Net Incentive Income granted hereunder), including any such participation through “Points Series Interests” and “Net Carry Series Interests” in the </w:t>
      </w:r>
      <w:proofErr w:type="spellStart"/>
      <w:r w:rsidRPr="006F09CC">
        <w:rPr>
          <w:rFonts w:ascii="Arial" w:eastAsia="Times New Roman" w:hAnsi="Arial" w:cs="Arial"/>
          <w:sz w:val="20"/>
          <w:szCs w:val="20"/>
        </w:rPr>
        <w:t>PoolCos</w:t>
      </w:r>
      <w:proofErr w:type="spellEnd"/>
      <w:r w:rsidRPr="006F09CC">
        <w:rPr>
          <w:rFonts w:ascii="Arial" w:eastAsia="Times New Roman" w:hAnsi="Arial" w:cs="Arial"/>
          <w:sz w:val="20"/>
          <w:szCs w:val="20"/>
        </w:rPr>
        <w:t xml:space="preserve">, and (iii) as adjusted to take into account payments in respect of Net Incentive Income granted hereunder and other participations in such incentive income as determined by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consistent with past practice.</w:t>
      </w:r>
    </w:p>
    <w:p w:rsidR="006F09CC" w:rsidRPr="006F09CC" w:rsidRDefault="006F09CC" w:rsidP="006F09CC">
      <w:pPr>
        <w:spacing w:before="180"/>
        <w:ind w:left="1399" w:firstLine="612"/>
        <w:rPr>
          <w:rFonts w:ascii="Times New Roman" w:eastAsia="Times New Roman" w:hAnsi="Times New Roman" w:cs="Times New Roman"/>
          <w:sz w:val="24"/>
          <w:szCs w:val="24"/>
        </w:rPr>
      </w:pPr>
      <w:r w:rsidRPr="006F09CC">
        <w:rPr>
          <w:rFonts w:ascii="Arial" w:eastAsia="Times New Roman" w:hAnsi="Arial" w:cs="Arial"/>
          <w:sz w:val="20"/>
          <w:szCs w:val="20"/>
        </w:rPr>
        <w:t>“</w:t>
      </w:r>
      <w:proofErr w:type="spellStart"/>
      <w:r w:rsidRPr="006F09CC">
        <w:rPr>
          <w:rFonts w:ascii="Arial" w:eastAsia="Times New Roman" w:hAnsi="Arial" w:cs="Arial"/>
          <w:sz w:val="20"/>
          <w:szCs w:val="20"/>
          <w:u w:val="single"/>
        </w:rPr>
        <w:t>Oaktree</w:t>
      </w:r>
      <w:proofErr w:type="spellEnd"/>
      <w:r w:rsidRPr="006F09CC">
        <w:rPr>
          <w:rFonts w:ascii="Arial" w:eastAsia="Times New Roman" w:hAnsi="Arial" w:cs="Arial"/>
          <w:sz w:val="20"/>
          <w:szCs w:val="20"/>
          <w:u w:val="single"/>
        </w:rPr>
        <w:t xml:space="preserve"> Operating Group</w:t>
      </w:r>
      <w:r w:rsidRPr="006F09CC">
        <w:rPr>
          <w:rFonts w:ascii="Arial" w:eastAsia="Times New Roman" w:hAnsi="Arial" w:cs="Arial"/>
          <w:sz w:val="20"/>
          <w:szCs w:val="20"/>
        </w:rPr>
        <w:t xml:space="preserve">” means, collectively, the entities that control the general partners and investment advisors of the Funds, in which </w:t>
      </w:r>
      <w:proofErr w:type="spellStart"/>
      <w:r w:rsidRPr="006F09CC">
        <w:rPr>
          <w:rFonts w:ascii="Arial" w:eastAsia="Times New Roman" w:hAnsi="Arial" w:cs="Arial"/>
          <w:sz w:val="20"/>
          <w:szCs w:val="20"/>
        </w:rPr>
        <w:t>Oaktree</w:t>
      </w:r>
      <w:proofErr w:type="spellEnd"/>
      <w:r w:rsidRPr="006F09CC">
        <w:rPr>
          <w:rFonts w:ascii="Arial" w:eastAsia="Times New Roman" w:hAnsi="Arial" w:cs="Arial"/>
          <w:sz w:val="20"/>
          <w:szCs w:val="20"/>
        </w:rPr>
        <w:t xml:space="preserve"> Capital Group, LLC has a minority economic interest and indirect control.</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Net Incentive Income, Net Investment Income, Net Operating Profits and the amount of any management fee offsets for any applicable Fund will be determined in accordance with the partnership agreement, separate account agreement, advisory agreement, side letter or other relevant document(s) governing or binding upon the applicable Fund.</w: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6. </w:t>
      </w:r>
      <w:r w:rsidRPr="006F09CC">
        <w:rPr>
          <w:rFonts w:ascii="Arial" w:eastAsia="Times New Roman" w:hAnsi="Arial" w:cs="Arial"/>
          <w:sz w:val="20"/>
          <w:szCs w:val="20"/>
          <w:u w:val="single"/>
        </w:rPr>
        <w:t>Governing Law</w:t>
      </w:r>
      <w:r w:rsidRPr="006F09CC">
        <w:rPr>
          <w:rFonts w:ascii="Arial" w:eastAsia="Times New Roman" w:hAnsi="Arial" w:cs="Arial"/>
          <w:sz w:val="20"/>
          <w:szCs w:val="20"/>
        </w:rPr>
        <w:t>. This Agreement shall be construed and enforced, along with any rights, remedies, or obligations provided for hereunder, in accordance with the laws of the State of California applicable to contracts made and to be performed entirely within the State of California.</w:t>
      </w:r>
    </w:p>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24"/>
          <w:szCs w:val="24"/>
        </w:rPr>
        <w:pict>
          <v:rect id="_x0000_i1028" style="width:468pt;height:2.25pt" o:hralign="center" o:hrstd="t" o:hrnoshade="t" o:hr="t" fillcolor="#999" stroked="f"/>
        </w:pict>
      </w:r>
    </w:p>
    <w:p w:rsidR="006F09CC" w:rsidRPr="006F09CC" w:rsidRDefault="006F09CC" w:rsidP="006F09CC">
      <w:pPr>
        <w:spacing w:before="180"/>
        <w:ind w:left="0" w:firstLine="612"/>
        <w:rPr>
          <w:rFonts w:ascii="Times New Roman" w:eastAsia="Times New Roman" w:hAnsi="Times New Roman" w:cs="Times New Roman"/>
          <w:sz w:val="24"/>
          <w:szCs w:val="24"/>
        </w:rPr>
      </w:pPr>
      <w:r w:rsidRPr="006F09CC">
        <w:rPr>
          <w:rFonts w:ascii="Arial" w:eastAsia="Times New Roman" w:hAnsi="Arial" w:cs="Arial"/>
          <w:sz w:val="20"/>
          <w:szCs w:val="20"/>
        </w:rPr>
        <w:t>8. </w:t>
      </w:r>
      <w:r w:rsidRPr="006F09CC">
        <w:rPr>
          <w:rFonts w:ascii="Arial" w:eastAsia="Times New Roman" w:hAnsi="Arial" w:cs="Arial"/>
          <w:sz w:val="20"/>
          <w:szCs w:val="20"/>
          <w:u w:val="single"/>
        </w:rPr>
        <w:t>Counterparts</w:t>
      </w:r>
      <w:r w:rsidRPr="006F09CC">
        <w:rPr>
          <w:rFonts w:ascii="Arial" w:eastAsia="Times New Roman" w:hAnsi="Arial" w:cs="Arial"/>
          <w:sz w:val="20"/>
          <w:szCs w:val="20"/>
        </w:rPr>
        <w:t>. This Agreement may be executed in multiple counterparts, each of which shall be deemed an original, but all of which together shall constitute one and the same instrument.</w:t>
      </w:r>
    </w:p>
    <w:p w:rsidR="006F09CC" w:rsidRPr="006F09CC" w:rsidRDefault="006F09CC" w:rsidP="006F09CC">
      <w:pPr>
        <w:ind w:left="0"/>
        <w:rPr>
          <w:rFonts w:ascii="Times New Roman" w:eastAsia="Times New Roman" w:hAnsi="Times New Roman" w:cs="Times New Roman"/>
          <w:sz w:val="18"/>
          <w:szCs w:val="18"/>
        </w:rPr>
      </w:pPr>
      <w:r w:rsidRPr="006F09CC">
        <w:rPr>
          <w:rFonts w:ascii="Times New Roman" w:eastAsia="Times New Roman" w:hAnsi="Times New Roman" w:cs="Times New Roman"/>
          <w:sz w:val="18"/>
          <w:szCs w:val="18"/>
        </w:rPr>
        <w:t> </w:t>
      </w:r>
    </w:p>
    <w:tbl>
      <w:tblPr>
        <w:tblW w:w="2000" w:type="pct"/>
        <w:jc w:val="right"/>
        <w:tblCellMar>
          <w:left w:w="0" w:type="dxa"/>
          <w:right w:w="0" w:type="dxa"/>
        </w:tblCellMar>
        <w:tblLook w:val="04A0" w:firstRow="1" w:lastRow="0" w:firstColumn="1" w:lastColumn="0" w:noHBand="0" w:noVBand="1"/>
      </w:tblPr>
      <w:tblGrid>
        <w:gridCol w:w="290"/>
        <w:gridCol w:w="38"/>
        <w:gridCol w:w="3416"/>
      </w:tblGrid>
      <w:tr w:rsidR="006F09CC" w:rsidRPr="006F09CC" w:rsidTr="006F09CC">
        <w:trPr>
          <w:jc w:val="right"/>
        </w:trPr>
        <w:tc>
          <w:tcPr>
            <w:tcW w:w="350" w:type="pct"/>
            <w:vAlign w:val="center"/>
            <w:hideMark/>
          </w:tcPr>
          <w:p w:rsidR="006F09CC" w:rsidRPr="006F09CC" w:rsidRDefault="006F09CC" w:rsidP="006F09CC">
            <w:pPr>
              <w:ind w:left="0"/>
              <w:rPr>
                <w:rFonts w:ascii="Times New Roman" w:eastAsia="Times New Roman" w:hAnsi="Times New Roman" w:cs="Times New Roman"/>
                <w:sz w:val="18"/>
                <w:szCs w:val="18"/>
              </w:rPr>
            </w:pPr>
          </w:p>
        </w:tc>
        <w:tc>
          <w:tcPr>
            <w:tcW w:w="50" w:type="pct"/>
            <w:vAlign w:val="bottom"/>
            <w:hideMark/>
          </w:tcPr>
          <w:p w:rsidR="006F09CC" w:rsidRPr="006F09CC" w:rsidRDefault="006F09CC" w:rsidP="006F09CC">
            <w:pPr>
              <w:ind w:left="0"/>
              <w:rPr>
                <w:rFonts w:ascii="Times New Roman" w:eastAsia="Times New Roman" w:hAnsi="Times New Roman" w:cs="Times New Roman"/>
                <w:sz w:val="20"/>
                <w:szCs w:val="20"/>
              </w:rPr>
            </w:pPr>
          </w:p>
        </w:tc>
        <w:tc>
          <w:tcPr>
            <w:tcW w:w="4600" w:type="pct"/>
            <w:vAlign w:val="center"/>
            <w:hideMark/>
          </w:tcPr>
          <w:p w:rsidR="006F09CC" w:rsidRPr="006F09CC" w:rsidRDefault="006F09CC" w:rsidP="006F09CC">
            <w:pPr>
              <w:ind w:left="0"/>
              <w:rPr>
                <w:rFonts w:ascii="Times New Roman" w:eastAsia="Times New Roman" w:hAnsi="Times New Roman" w:cs="Times New Roman"/>
                <w:sz w:val="20"/>
                <w:szCs w:val="20"/>
              </w:rPr>
            </w:pPr>
          </w:p>
        </w:tc>
      </w:tr>
      <w:tr w:rsidR="006F09CC" w:rsidRPr="006F09CC" w:rsidTr="006F09CC">
        <w:trPr>
          <w:jc w:val="right"/>
        </w:trPr>
        <w:tc>
          <w:tcPr>
            <w:tcW w:w="0" w:type="auto"/>
            <w:gridSpan w:val="3"/>
            <w:hideMark/>
          </w:tcPr>
          <w:p w:rsidR="006F09CC" w:rsidRPr="006F09CC" w:rsidRDefault="006F09CC" w:rsidP="006F09CC">
            <w:pPr>
              <w:spacing w:before="100" w:beforeAutospacing="1" w:after="100" w:afterAutospacing="1"/>
              <w:ind w:left="240" w:hanging="240"/>
              <w:rPr>
                <w:rFonts w:ascii="Times New Roman" w:eastAsia="Times New Roman" w:hAnsi="Times New Roman" w:cs="Times New Roman"/>
                <w:sz w:val="24"/>
                <w:szCs w:val="24"/>
              </w:rPr>
            </w:pPr>
            <w:r w:rsidRPr="006F09CC">
              <w:rPr>
                <w:rFonts w:ascii="Arial" w:eastAsia="Times New Roman" w:hAnsi="Arial" w:cs="Arial"/>
                <w:sz w:val="20"/>
                <w:szCs w:val="20"/>
              </w:rPr>
              <w:t>Sincerely,</w:t>
            </w:r>
          </w:p>
        </w:tc>
      </w:tr>
      <w:tr w:rsidR="006F09CC" w:rsidRPr="006F09CC" w:rsidTr="006F09CC">
        <w:trPr>
          <w:trHeight w:val="240"/>
          <w:jc w:val="right"/>
        </w:trPr>
        <w:tc>
          <w:tcPr>
            <w:tcW w:w="0" w:type="auto"/>
            <w:gridSpan w:val="3"/>
            <w:vAlign w:val="center"/>
            <w:hideMark/>
          </w:tcPr>
          <w:p w:rsidR="006F09CC" w:rsidRPr="006F09CC" w:rsidRDefault="006F09CC" w:rsidP="006F09CC">
            <w:pPr>
              <w:ind w:left="0"/>
              <w:rPr>
                <w:rFonts w:ascii="Times New Roman" w:eastAsia="Times New Roman" w:hAnsi="Times New Roman" w:cs="Times New Roman"/>
                <w:sz w:val="24"/>
                <w:szCs w:val="24"/>
              </w:rPr>
            </w:pPr>
          </w:p>
        </w:tc>
      </w:tr>
      <w:tr w:rsidR="006F09CC" w:rsidRPr="006F09CC" w:rsidTr="006F09CC">
        <w:trPr>
          <w:jc w:val="right"/>
        </w:trPr>
        <w:tc>
          <w:tcPr>
            <w:tcW w:w="0" w:type="auto"/>
            <w:gridSpan w:val="3"/>
            <w:hideMark/>
          </w:tcPr>
          <w:p w:rsidR="006F09CC" w:rsidRPr="006F09CC" w:rsidRDefault="006F09CC" w:rsidP="006F09CC">
            <w:pPr>
              <w:spacing w:before="100" w:beforeAutospacing="1" w:after="100" w:afterAutospacing="1"/>
              <w:ind w:left="240" w:hanging="240"/>
              <w:rPr>
                <w:rFonts w:ascii="Times New Roman" w:eastAsia="Times New Roman" w:hAnsi="Times New Roman" w:cs="Times New Roman"/>
                <w:sz w:val="24"/>
                <w:szCs w:val="24"/>
              </w:rPr>
            </w:pPr>
            <w:r w:rsidRPr="006F09CC">
              <w:rPr>
                <w:rFonts w:ascii="Arial" w:eastAsia="Times New Roman" w:hAnsi="Arial" w:cs="Arial"/>
                <w:b/>
                <w:bCs/>
                <w:sz w:val="20"/>
                <w:szCs w:val="20"/>
              </w:rPr>
              <w:t>O</w:t>
            </w:r>
            <w:r w:rsidRPr="006F09CC">
              <w:rPr>
                <w:rFonts w:ascii="Arial" w:eastAsia="Times New Roman" w:hAnsi="Arial" w:cs="Arial"/>
                <w:b/>
                <w:bCs/>
                <w:sz w:val="15"/>
                <w:szCs w:val="15"/>
              </w:rPr>
              <w:t>AKTREE</w:t>
            </w:r>
            <w:r w:rsidRPr="006F09CC">
              <w:rPr>
                <w:rFonts w:ascii="Arial" w:eastAsia="Times New Roman" w:hAnsi="Arial" w:cs="Arial"/>
                <w:b/>
                <w:bCs/>
                <w:sz w:val="20"/>
                <w:szCs w:val="20"/>
              </w:rPr>
              <w:t> C</w:t>
            </w:r>
            <w:r w:rsidRPr="006F09CC">
              <w:rPr>
                <w:rFonts w:ascii="Arial" w:eastAsia="Times New Roman" w:hAnsi="Arial" w:cs="Arial"/>
                <w:b/>
                <w:bCs/>
                <w:sz w:val="15"/>
                <w:szCs w:val="15"/>
              </w:rPr>
              <w:t>APITAL</w:t>
            </w:r>
            <w:r w:rsidRPr="006F09CC">
              <w:rPr>
                <w:rFonts w:ascii="Arial" w:eastAsia="Times New Roman" w:hAnsi="Arial" w:cs="Arial"/>
                <w:b/>
                <w:bCs/>
                <w:sz w:val="20"/>
                <w:szCs w:val="20"/>
              </w:rPr>
              <w:t> M</w:t>
            </w:r>
            <w:r w:rsidRPr="006F09CC">
              <w:rPr>
                <w:rFonts w:ascii="Arial" w:eastAsia="Times New Roman" w:hAnsi="Arial" w:cs="Arial"/>
                <w:b/>
                <w:bCs/>
                <w:sz w:val="15"/>
                <w:szCs w:val="15"/>
              </w:rPr>
              <w:t>ANAGEMENT</w:t>
            </w:r>
            <w:r w:rsidRPr="006F09CC">
              <w:rPr>
                <w:rFonts w:ascii="Arial" w:eastAsia="Times New Roman" w:hAnsi="Arial" w:cs="Arial"/>
                <w:b/>
                <w:bCs/>
                <w:sz w:val="20"/>
                <w:szCs w:val="20"/>
              </w:rPr>
              <w:t>, L.P.</w:t>
            </w:r>
          </w:p>
        </w:tc>
      </w:tr>
      <w:tr w:rsidR="006F09CC" w:rsidRPr="006F09CC" w:rsidTr="006F09CC">
        <w:trPr>
          <w:trHeight w:val="240"/>
          <w:jc w:val="right"/>
        </w:trPr>
        <w:tc>
          <w:tcPr>
            <w:tcW w:w="0" w:type="auto"/>
            <w:vAlign w:val="center"/>
            <w:hideMark/>
          </w:tcPr>
          <w:p w:rsidR="006F09CC" w:rsidRPr="006F09CC" w:rsidRDefault="006F09CC" w:rsidP="006F09CC">
            <w:pPr>
              <w:ind w:left="0"/>
              <w:rPr>
                <w:rFonts w:ascii="Times New Roman" w:eastAsia="Times New Roman" w:hAnsi="Times New Roman" w:cs="Times New Roman"/>
                <w:sz w:val="24"/>
                <w:szCs w:val="24"/>
              </w:rPr>
            </w:pPr>
          </w:p>
        </w:tc>
        <w:tc>
          <w:tcPr>
            <w:tcW w:w="0" w:type="auto"/>
            <w:gridSpan w:val="2"/>
            <w:vAlign w:val="center"/>
            <w:hideMark/>
          </w:tcPr>
          <w:p w:rsidR="006F09CC" w:rsidRPr="006F09CC" w:rsidRDefault="006F09CC" w:rsidP="006F09CC">
            <w:pPr>
              <w:ind w:left="0"/>
              <w:rPr>
                <w:rFonts w:ascii="Times New Roman" w:eastAsia="Times New Roman" w:hAnsi="Times New Roman" w:cs="Times New Roman"/>
                <w:sz w:val="20"/>
                <w:szCs w:val="20"/>
              </w:rPr>
            </w:pPr>
          </w:p>
        </w:tc>
      </w:tr>
      <w:tr w:rsidR="006F09CC" w:rsidRPr="006F09CC" w:rsidTr="006F09CC">
        <w:trPr>
          <w:jc w:val="right"/>
        </w:trPr>
        <w:tc>
          <w:tcPr>
            <w:tcW w:w="0" w:type="auto"/>
            <w:hideMark/>
          </w:tcPr>
          <w:p w:rsidR="006F09CC" w:rsidRPr="006F09CC" w:rsidRDefault="006F09CC" w:rsidP="006F09CC">
            <w:pPr>
              <w:spacing w:before="100" w:beforeAutospacing="1" w:after="100" w:afterAutospacing="1"/>
              <w:ind w:left="240" w:hanging="240"/>
              <w:rPr>
                <w:rFonts w:ascii="Times New Roman" w:eastAsia="Times New Roman" w:hAnsi="Times New Roman" w:cs="Times New Roman"/>
                <w:sz w:val="24"/>
                <w:szCs w:val="24"/>
              </w:rPr>
            </w:pPr>
            <w:r w:rsidRPr="006F09CC">
              <w:rPr>
                <w:rFonts w:ascii="Arial" w:eastAsia="Times New Roman" w:hAnsi="Arial" w:cs="Arial"/>
                <w:sz w:val="20"/>
                <w:szCs w:val="20"/>
              </w:rPr>
              <w:t>By:</w:t>
            </w: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0" w:type="auto"/>
            <w:vAlign w:val="bottom"/>
            <w:hideMark/>
          </w:tcPr>
          <w:p w:rsidR="006F09CC" w:rsidRPr="006F09CC" w:rsidRDefault="006F09CC" w:rsidP="006F09CC">
            <w:pPr>
              <w:pBdr>
                <w:bottom w:val="single" w:sz="6" w:space="0" w:color="000000"/>
              </w:pBdr>
              <w:spacing w:after="15"/>
              <w:ind w:left="0"/>
              <w:rPr>
                <w:rFonts w:ascii="Times New Roman" w:eastAsia="Times New Roman" w:hAnsi="Times New Roman" w:cs="Times New Roman"/>
                <w:sz w:val="24"/>
                <w:szCs w:val="24"/>
              </w:rPr>
            </w:pPr>
            <w:r w:rsidRPr="006F09CC">
              <w:rPr>
                <w:rFonts w:ascii="Arial" w:eastAsia="Times New Roman" w:hAnsi="Arial" w:cs="Arial"/>
                <w:sz w:val="20"/>
                <w:szCs w:val="20"/>
              </w:rPr>
              <w:t> </w:t>
            </w:r>
          </w:p>
        </w:tc>
      </w:tr>
      <w:tr w:rsidR="006F09CC" w:rsidRPr="006F09CC" w:rsidTr="006F09CC">
        <w:trPr>
          <w:jc w:val="right"/>
        </w:trPr>
        <w:tc>
          <w:tcPr>
            <w:tcW w:w="0" w:type="auto"/>
            <w:hideMark/>
          </w:tcPr>
          <w:p w:rsidR="006F09CC" w:rsidRPr="006F09CC" w:rsidRDefault="006F09CC" w:rsidP="006F09CC">
            <w:pPr>
              <w:ind w:left="0"/>
              <w:rPr>
                <w:rFonts w:ascii="Times New Roman" w:eastAsia="Times New Roman" w:hAnsi="Times New Roman" w:cs="Times New Roman"/>
                <w:sz w:val="24"/>
                <w:szCs w:val="24"/>
              </w:rPr>
            </w:pP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Name:</w:t>
            </w:r>
          </w:p>
        </w:tc>
      </w:tr>
      <w:tr w:rsidR="006F09CC" w:rsidRPr="006F09CC" w:rsidTr="006F09CC">
        <w:trPr>
          <w:jc w:val="right"/>
        </w:trPr>
        <w:tc>
          <w:tcPr>
            <w:tcW w:w="0" w:type="auto"/>
            <w:hideMark/>
          </w:tcPr>
          <w:p w:rsidR="006F09CC" w:rsidRPr="006F09CC" w:rsidRDefault="006F09CC" w:rsidP="006F09CC">
            <w:pPr>
              <w:ind w:left="0"/>
              <w:rPr>
                <w:rFonts w:ascii="Times New Roman" w:eastAsia="Times New Roman" w:hAnsi="Times New Roman" w:cs="Times New Roman"/>
                <w:sz w:val="24"/>
                <w:szCs w:val="24"/>
              </w:rPr>
            </w:pP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Title:</w:t>
            </w:r>
          </w:p>
        </w:tc>
      </w:tr>
      <w:tr w:rsidR="006F09CC" w:rsidRPr="006F09CC" w:rsidTr="006F09CC">
        <w:trPr>
          <w:trHeight w:val="240"/>
          <w:jc w:val="right"/>
        </w:trPr>
        <w:tc>
          <w:tcPr>
            <w:tcW w:w="0" w:type="auto"/>
            <w:vAlign w:val="center"/>
            <w:hideMark/>
          </w:tcPr>
          <w:p w:rsidR="006F09CC" w:rsidRPr="006F09CC" w:rsidRDefault="006F09CC" w:rsidP="006F09CC">
            <w:pPr>
              <w:ind w:left="0"/>
              <w:rPr>
                <w:rFonts w:ascii="Times New Roman" w:eastAsia="Times New Roman" w:hAnsi="Times New Roman" w:cs="Times New Roman"/>
                <w:sz w:val="24"/>
                <w:szCs w:val="24"/>
              </w:rPr>
            </w:pPr>
          </w:p>
        </w:tc>
        <w:tc>
          <w:tcPr>
            <w:tcW w:w="0" w:type="auto"/>
            <w:gridSpan w:val="2"/>
            <w:vAlign w:val="center"/>
            <w:hideMark/>
          </w:tcPr>
          <w:p w:rsidR="006F09CC" w:rsidRPr="006F09CC" w:rsidRDefault="006F09CC" w:rsidP="006F09CC">
            <w:pPr>
              <w:ind w:left="0"/>
              <w:rPr>
                <w:rFonts w:ascii="Times New Roman" w:eastAsia="Times New Roman" w:hAnsi="Times New Roman" w:cs="Times New Roman"/>
                <w:sz w:val="20"/>
                <w:szCs w:val="20"/>
              </w:rPr>
            </w:pPr>
          </w:p>
        </w:tc>
      </w:tr>
      <w:tr w:rsidR="006F09CC" w:rsidRPr="006F09CC" w:rsidTr="006F09CC">
        <w:trPr>
          <w:jc w:val="right"/>
        </w:trPr>
        <w:tc>
          <w:tcPr>
            <w:tcW w:w="0" w:type="auto"/>
            <w:hideMark/>
          </w:tcPr>
          <w:p w:rsidR="006F09CC" w:rsidRPr="006F09CC" w:rsidRDefault="006F09CC" w:rsidP="006F09CC">
            <w:pPr>
              <w:spacing w:before="100" w:beforeAutospacing="1" w:after="100" w:afterAutospacing="1"/>
              <w:ind w:left="240" w:hanging="240"/>
              <w:rPr>
                <w:rFonts w:ascii="Times New Roman" w:eastAsia="Times New Roman" w:hAnsi="Times New Roman" w:cs="Times New Roman"/>
                <w:sz w:val="24"/>
                <w:szCs w:val="24"/>
              </w:rPr>
            </w:pPr>
            <w:r w:rsidRPr="006F09CC">
              <w:rPr>
                <w:rFonts w:ascii="Arial" w:eastAsia="Times New Roman" w:hAnsi="Arial" w:cs="Arial"/>
                <w:sz w:val="20"/>
                <w:szCs w:val="20"/>
              </w:rPr>
              <w:t>By:</w:t>
            </w: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0" w:type="auto"/>
            <w:vAlign w:val="bottom"/>
            <w:hideMark/>
          </w:tcPr>
          <w:p w:rsidR="006F09CC" w:rsidRPr="006F09CC" w:rsidRDefault="006F09CC" w:rsidP="006F09CC">
            <w:pPr>
              <w:pBdr>
                <w:bottom w:val="single" w:sz="6" w:space="0" w:color="000000"/>
              </w:pBdr>
              <w:spacing w:after="15"/>
              <w:ind w:left="0"/>
              <w:rPr>
                <w:rFonts w:ascii="Times New Roman" w:eastAsia="Times New Roman" w:hAnsi="Times New Roman" w:cs="Times New Roman"/>
                <w:sz w:val="24"/>
                <w:szCs w:val="24"/>
              </w:rPr>
            </w:pPr>
            <w:r w:rsidRPr="006F09CC">
              <w:rPr>
                <w:rFonts w:ascii="Arial" w:eastAsia="Times New Roman" w:hAnsi="Arial" w:cs="Arial"/>
                <w:sz w:val="20"/>
                <w:szCs w:val="20"/>
              </w:rPr>
              <w:t> </w:t>
            </w:r>
          </w:p>
        </w:tc>
      </w:tr>
      <w:tr w:rsidR="006F09CC" w:rsidRPr="006F09CC" w:rsidTr="006F09CC">
        <w:trPr>
          <w:jc w:val="right"/>
        </w:trPr>
        <w:tc>
          <w:tcPr>
            <w:tcW w:w="0" w:type="auto"/>
            <w:hideMark/>
          </w:tcPr>
          <w:p w:rsidR="006F09CC" w:rsidRPr="006F09CC" w:rsidRDefault="006F09CC" w:rsidP="006F09CC">
            <w:pPr>
              <w:ind w:left="0"/>
              <w:rPr>
                <w:rFonts w:ascii="Times New Roman" w:eastAsia="Times New Roman" w:hAnsi="Times New Roman" w:cs="Times New Roman"/>
                <w:sz w:val="24"/>
                <w:szCs w:val="24"/>
              </w:rPr>
            </w:pP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Name:</w:t>
            </w:r>
          </w:p>
        </w:tc>
      </w:tr>
      <w:tr w:rsidR="006F09CC" w:rsidRPr="006F09CC" w:rsidTr="006F09CC">
        <w:trPr>
          <w:jc w:val="right"/>
        </w:trPr>
        <w:tc>
          <w:tcPr>
            <w:tcW w:w="0" w:type="auto"/>
            <w:hideMark/>
          </w:tcPr>
          <w:p w:rsidR="006F09CC" w:rsidRPr="006F09CC" w:rsidRDefault="006F09CC" w:rsidP="006F09CC">
            <w:pPr>
              <w:ind w:left="0"/>
              <w:rPr>
                <w:rFonts w:ascii="Times New Roman" w:eastAsia="Times New Roman" w:hAnsi="Times New Roman" w:cs="Times New Roman"/>
                <w:sz w:val="24"/>
                <w:szCs w:val="24"/>
              </w:rPr>
            </w:pP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Times New Roman" w:eastAsia="Times New Roman" w:hAnsi="Times New Roman" w:cs="Times New Roman"/>
                <w:sz w:val="15"/>
                <w:szCs w:val="15"/>
              </w:rPr>
              <w:t> </w:t>
            </w:r>
          </w:p>
        </w:tc>
        <w:tc>
          <w:tcPr>
            <w:tcW w:w="0" w:type="auto"/>
            <w:vAlign w:val="bottom"/>
            <w:hideMark/>
          </w:tcPr>
          <w:p w:rsidR="006F09CC" w:rsidRPr="006F09CC" w:rsidRDefault="006F09CC" w:rsidP="006F09CC">
            <w:pPr>
              <w:ind w:left="0"/>
              <w:rPr>
                <w:rFonts w:ascii="Times New Roman" w:eastAsia="Times New Roman" w:hAnsi="Times New Roman" w:cs="Times New Roman"/>
                <w:sz w:val="24"/>
                <w:szCs w:val="24"/>
              </w:rPr>
            </w:pPr>
            <w:r w:rsidRPr="006F09CC">
              <w:rPr>
                <w:rFonts w:ascii="Arial" w:eastAsia="Times New Roman" w:hAnsi="Arial" w:cs="Arial"/>
                <w:sz w:val="20"/>
                <w:szCs w:val="20"/>
              </w:rPr>
              <w:t>Title:</w:t>
            </w:r>
          </w:p>
        </w:tc>
      </w:tr>
    </w:tbl>
    <w:p w:rsidR="006F09CC" w:rsidRPr="006F09CC" w:rsidRDefault="006F09CC" w:rsidP="006F09CC">
      <w:pPr>
        <w:ind w:left="0"/>
        <w:rPr>
          <w:rFonts w:ascii="Times New Roman" w:eastAsia="Times New Roman" w:hAnsi="Times New Roman" w:cs="Times New Roman"/>
          <w:sz w:val="27"/>
          <w:szCs w:val="27"/>
        </w:rPr>
      </w:pPr>
      <w:r w:rsidRPr="006F09CC">
        <w:rPr>
          <w:rFonts w:ascii="Times New Roman" w:eastAsia="Times New Roman" w:hAnsi="Times New Roman" w:cs="Times New Roman"/>
          <w:sz w:val="27"/>
          <w:szCs w:val="27"/>
        </w:rPr>
        <w:t> </w:t>
      </w:r>
    </w:p>
    <w:tbl>
      <w:tblPr>
        <w:tblW w:w="2000" w:type="pct"/>
        <w:tblCellMar>
          <w:left w:w="0" w:type="dxa"/>
          <w:right w:w="0" w:type="dxa"/>
        </w:tblCellMar>
        <w:tblLook w:val="04A0" w:firstRow="1" w:lastRow="0" w:firstColumn="1" w:lastColumn="0" w:noHBand="0" w:noVBand="1"/>
      </w:tblPr>
      <w:tblGrid>
        <w:gridCol w:w="3744"/>
      </w:tblGrid>
      <w:tr w:rsidR="006F09CC" w:rsidRPr="006F09CC" w:rsidTr="006F09CC">
        <w:tc>
          <w:tcPr>
            <w:tcW w:w="5000" w:type="pct"/>
            <w:vAlign w:val="center"/>
            <w:hideMark/>
          </w:tcPr>
          <w:p w:rsidR="006F09CC" w:rsidRPr="006F09CC" w:rsidRDefault="006F09CC" w:rsidP="006F09CC">
            <w:pPr>
              <w:ind w:left="0"/>
              <w:rPr>
                <w:rFonts w:ascii="Times New Roman" w:eastAsia="Times New Roman" w:hAnsi="Times New Roman" w:cs="Times New Roman"/>
                <w:sz w:val="27"/>
                <w:szCs w:val="27"/>
              </w:rPr>
            </w:pPr>
          </w:p>
        </w:tc>
      </w:tr>
      <w:tr w:rsidR="006F09CC" w:rsidRPr="006F09CC" w:rsidTr="006F09CC">
        <w:tc>
          <w:tcPr>
            <w:tcW w:w="0" w:type="auto"/>
            <w:hideMark/>
          </w:tcPr>
          <w:p w:rsidR="006F09CC" w:rsidRPr="006F09CC" w:rsidRDefault="006F09CC" w:rsidP="006F09CC">
            <w:pPr>
              <w:spacing w:before="100" w:beforeAutospacing="1" w:after="100" w:afterAutospacing="1"/>
              <w:ind w:left="240" w:hanging="240"/>
              <w:rPr>
                <w:rFonts w:ascii="Times New Roman" w:eastAsia="Times New Roman" w:hAnsi="Times New Roman" w:cs="Times New Roman"/>
                <w:sz w:val="24"/>
                <w:szCs w:val="24"/>
              </w:rPr>
            </w:pPr>
            <w:r w:rsidRPr="006F09CC">
              <w:rPr>
                <w:rFonts w:ascii="Arial" w:eastAsia="Times New Roman" w:hAnsi="Arial" w:cs="Arial"/>
                <w:b/>
                <w:bCs/>
                <w:sz w:val="20"/>
                <w:szCs w:val="20"/>
              </w:rPr>
              <w:t>ACKNOWLEDGED AND CONFIRMED:</w:t>
            </w:r>
          </w:p>
        </w:tc>
      </w:tr>
      <w:tr w:rsidR="006F09CC" w:rsidRPr="006F09CC" w:rsidTr="006F09CC">
        <w:trPr>
          <w:trHeight w:val="480"/>
        </w:trPr>
        <w:tc>
          <w:tcPr>
            <w:tcW w:w="0" w:type="auto"/>
            <w:vAlign w:val="center"/>
            <w:hideMark/>
          </w:tcPr>
          <w:p w:rsidR="006F09CC" w:rsidRPr="006F09CC" w:rsidRDefault="006F09CC" w:rsidP="006F09CC">
            <w:pPr>
              <w:ind w:left="0"/>
              <w:rPr>
                <w:rFonts w:ascii="Times New Roman" w:eastAsia="Times New Roman" w:hAnsi="Times New Roman" w:cs="Times New Roman"/>
                <w:sz w:val="24"/>
                <w:szCs w:val="24"/>
              </w:rPr>
            </w:pPr>
          </w:p>
        </w:tc>
      </w:tr>
      <w:tr w:rsidR="006F09CC" w:rsidRPr="006F09CC" w:rsidTr="006F09CC">
        <w:tc>
          <w:tcPr>
            <w:tcW w:w="0" w:type="auto"/>
            <w:hideMark/>
          </w:tcPr>
          <w:p w:rsidR="006F09CC" w:rsidRPr="006F09CC" w:rsidRDefault="006F09CC" w:rsidP="006F09CC">
            <w:pPr>
              <w:pBdr>
                <w:bottom w:val="single" w:sz="4" w:space="0" w:color="000000"/>
              </w:pBdr>
              <w:spacing w:after="30" w:line="30" w:lineRule="atLeast"/>
              <w:ind w:left="0"/>
              <w:rPr>
                <w:rFonts w:ascii="Times New Roman" w:eastAsia="Times New Roman" w:hAnsi="Times New Roman" w:cs="Times New Roman"/>
                <w:sz w:val="24"/>
                <w:szCs w:val="24"/>
              </w:rPr>
            </w:pPr>
            <w:r w:rsidRPr="006F09CC">
              <w:rPr>
                <w:rFonts w:ascii="Times New Roman" w:eastAsia="Times New Roman" w:hAnsi="Times New Roman" w:cs="Times New Roman"/>
                <w:sz w:val="24"/>
                <w:szCs w:val="24"/>
              </w:rPr>
              <w:t> </w:t>
            </w:r>
          </w:p>
          <w:p w:rsidR="006F09CC" w:rsidRPr="006F09CC" w:rsidRDefault="006F09CC" w:rsidP="006F09CC">
            <w:pPr>
              <w:spacing w:after="15"/>
              <w:ind w:left="0"/>
              <w:rPr>
                <w:rFonts w:ascii="Times New Roman" w:eastAsia="Times New Roman" w:hAnsi="Times New Roman" w:cs="Times New Roman"/>
                <w:sz w:val="24"/>
                <w:szCs w:val="24"/>
              </w:rPr>
            </w:pPr>
            <w:r w:rsidRPr="006F09CC">
              <w:rPr>
                <w:rFonts w:ascii="Arial" w:eastAsia="Times New Roman" w:hAnsi="Arial" w:cs="Arial"/>
                <w:sz w:val="20"/>
                <w:szCs w:val="20"/>
              </w:rPr>
              <w:t>[Name]</w:t>
            </w:r>
          </w:p>
        </w:tc>
      </w:tr>
    </w:tbl>
    <w:p w:rsidR="00B90F86" w:rsidRDefault="00B90F86"/>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CC"/>
    <w:rsid w:val="006828CC"/>
    <w:rsid w:val="006F09CC"/>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3D689-2DA8-4FA6-8B31-30E94F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9CC"/>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1621</Words>
  <Characters>9242</Characters>
  <DocSecurity>0</DocSecurity>
  <Lines>77</Lines>
  <Paragraphs>21</Paragraphs>
  <ScaleCrop>false</ScaleCrop>
  <Company/>
  <LinksUpToDate>false</LinksUpToDate>
  <CharactersWithSpaces>10842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