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5C71" w14:textId="77777777" w:rsidR="00490859" w:rsidRDefault="00000000">
      <w:pPr>
        <w:pStyle w:val="Title"/>
      </w:pPr>
      <w:bookmarkStart w:id="0" w:name="Page_1"/>
      <w:bookmarkEnd w:id="0"/>
      <w:r>
        <w:t>Certificate of Service</w:t>
      </w:r>
    </w:p>
    <w:p w14:paraId="66AC156B" w14:textId="77777777" w:rsidR="00490859" w:rsidRDefault="00000000">
      <w:pPr>
        <w:pStyle w:val="BodyText"/>
        <w:spacing w:before="2"/>
        <w:ind w:left="3388" w:right="3385"/>
        <w:jc w:val="center"/>
      </w:pPr>
      <w:r>
        <w:t>[sample]</w:t>
      </w:r>
    </w:p>
    <w:p w14:paraId="72BE96D0" w14:textId="77777777" w:rsidR="00490859" w:rsidRDefault="00490859">
      <w:pPr>
        <w:pStyle w:val="BodyText"/>
        <w:spacing w:before="4"/>
      </w:pPr>
    </w:p>
    <w:p w14:paraId="14ACADD0" w14:textId="77777777" w:rsidR="00490859" w:rsidRDefault="00000000">
      <w:pPr>
        <w:pStyle w:val="BodyText"/>
        <w:spacing w:line="242" w:lineRule="auto"/>
        <w:ind w:left="120" w:right="115" w:firstLine="719"/>
        <w:jc w:val="both"/>
      </w:pPr>
      <w:r>
        <w:t>As required by Texas Rule of Appellate Procedure 6.3 and 9.5(b), (d), (e), I certify that I have served this document on all other parties—which</w:t>
      </w:r>
      <w:r>
        <w:rPr>
          <w:spacing w:val="-45"/>
        </w:rPr>
        <w:t xml:space="preserve"> </w:t>
      </w:r>
      <w:r>
        <w:t>are listed below—on [date] as</w:t>
      </w:r>
      <w:r>
        <w:rPr>
          <w:spacing w:val="6"/>
        </w:rPr>
        <w:t xml:space="preserve"> </w:t>
      </w:r>
      <w:r>
        <w:t>follows:</w:t>
      </w:r>
    </w:p>
    <w:p w14:paraId="3F94CEF7" w14:textId="77777777" w:rsidR="00490859" w:rsidRDefault="00490859">
      <w:pPr>
        <w:pStyle w:val="BodyText"/>
        <w:spacing w:before="10"/>
        <w:rPr>
          <w:sz w:val="27"/>
        </w:rPr>
      </w:pPr>
    </w:p>
    <w:p w14:paraId="4AD4C1BB" w14:textId="77777777" w:rsidR="00490859" w:rsidRDefault="00000000">
      <w:pPr>
        <w:pStyle w:val="BodyText"/>
        <w:spacing w:line="242" w:lineRule="auto"/>
        <w:ind w:left="1560" w:right="854"/>
      </w:pPr>
      <w:r>
        <w:t>[name of party’s attorney or name of pro se party] [address of party’s attorney or address of pro se party] Attorney for [name of party represented by that attorney] By (check all that apply)</w:t>
      </w:r>
    </w:p>
    <w:p w14:paraId="5F190144" w14:textId="38404DE7" w:rsidR="00490859" w:rsidRDefault="003B68EF">
      <w:pPr>
        <w:pStyle w:val="BodyText"/>
        <w:tabs>
          <w:tab w:val="left" w:pos="3719"/>
        </w:tabs>
        <w:spacing w:line="320" w:lineRule="exact"/>
        <w:ind w:left="3000"/>
      </w:pPr>
      <w:r>
        <w:rPr>
          <w:rFonts w:ascii="Bookman Old Style"/>
        </w:rPr>
        <w:sym w:font="Wingdings 2" w:char="F0A3"/>
      </w:r>
      <w:r w:rsidR="00000000">
        <w:rPr>
          <w:rFonts w:ascii="Bookman Old Style"/>
        </w:rPr>
        <w:tab/>
      </w:r>
      <w:r w:rsidR="00000000">
        <w:t>personal</w:t>
      </w:r>
      <w:r w:rsidR="00000000">
        <w:rPr>
          <w:spacing w:val="1"/>
        </w:rPr>
        <w:t xml:space="preserve"> </w:t>
      </w:r>
      <w:r w:rsidR="00000000">
        <w:t>delivery</w:t>
      </w:r>
    </w:p>
    <w:p w14:paraId="5D5281D7" w14:textId="62BF1D50" w:rsidR="00490859" w:rsidRDefault="003B68EF">
      <w:pPr>
        <w:pStyle w:val="BodyText"/>
        <w:tabs>
          <w:tab w:val="left" w:pos="3719"/>
        </w:tabs>
        <w:spacing w:line="324" w:lineRule="exact"/>
        <w:ind w:left="3000"/>
      </w:pPr>
      <w:r>
        <w:rPr>
          <w:rFonts w:ascii="Bookman Old Style"/>
        </w:rPr>
        <w:sym w:font="Wingdings 2" w:char="F0A3"/>
      </w:r>
      <w:r w:rsidR="00000000">
        <w:rPr>
          <w:rFonts w:ascii="Bookman Old Style"/>
        </w:rPr>
        <w:tab/>
      </w:r>
      <w:r w:rsidR="00000000">
        <w:t>mail</w:t>
      </w:r>
    </w:p>
    <w:p w14:paraId="414C03C6" w14:textId="68FF551A" w:rsidR="00490859" w:rsidRDefault="003B68EF">
      <w:pPr>
        <w:pStyle w:val="BodyText"/>
        <w:tabs>
          <w:tab w:val="left" w:pos="3719"/>
        </w:tabs>
        <w:spacing w:line="324" w:lineRule="exact"/>
        <w:ind w:left="3000"/>
      </w:pPr>
      <w:r>
        <w:rPr>
          <w:rFonts w:ascii="Bookman Old Style"/>
        </w:rPr>
        <w:sym w:font="Wingdings 2" w:char="F0A3"/>
      </w:r>
      <w:r w:rsidR="00000000">
        <w:rPr>
          <w:rFonts w:ascii="Bookman Old Style"/>
        </w:rPr>
        <w:tab/>
      </w:r>
      <w:r w:rsidR="00000000">
        <w:t>commercial delivery</w:t>
      </w:r>
      <w:r w:rsidR="00000000">
        <w:rPr>
          <w:spacing w:val="-2"/>
        </w:rPr>
        <w:t xml:space="preserve"> </w:t>
      </w:r>
      <w:r w:rsidR="00000000">
        <w:t>service</w:t>
      </w:r>
    </w:p>
    <w:p w14:paraId="1C39A7A3" w14:textId="4C9C0158" w:rsidR="00490859" w:rsidRDefault="003B68EF">
      <w:pPr>
        <w:pStyle w:val="BodyText"/>
        <w:tabs>
          <w:tab w:val="left" w:pos="3719"/>
        </w:tabs>
        <w:spacing w:line="475" w:lineRule="auto"/>
        <w:ind w:left="840" w:right="5501" w:firstLine="2159"/>
      </w:pPr>
      <w:r>
        <w:rPr>
          <w:rFonts w:ascii="Bookman Old Style"/>
        </w:rPr>
        <w:sym w:font="Wingdings 2" w:char="F0A3"/>
      </w:r>
      <w:r w:rsidR="00000000">
        <w:rPr>
          <w:rFonts w:ascii="Bookman Old Style"/>
        </w:rPr>
        <w:tab/>
      </w:r>
      <w:r w:rsidR="00000000">
        <w:rPr>
          <w:spacing w:val="-5"/>
        </w:rPr>
        <w:t xml:space="preserve">fax </w:t>
      </w:r>
      <w:r w:rsidR="00000000">
        <w:t>[repeat for each</w:t>
      </w:r>
      <w:r w:rsidR="00000000">
        <w:rPr>
          <w:spacing w:val="4"/>
        </w:rPr>
        <w:t xml:space="preserve"> </w:t>
      </w:r>
      <w:r w:rsidR="00000000">
        <w:t>party]</w:t>
      </w:r>
    </w:p>
    <w:p w14:paraId="6AE0D07C" w14:textId="77777777" w:rsidR="00490859" w:rsidRDefault="00490859">
      <w:pPr>
        <w:pStyle w:val="BodyText"/>
        <w:rPr>
          <w:sz w:val="20"/>
        </w:rPr>
      </w:pPr>
    </w:p>
    <w:p w14:paraId="4DAB0EB2" w14:textId="77777777" w:rsidR="00490859" w:rsidRDefault="00490859">
      <w:pPr>
        <w:pStyle w:val="BodyText"/>
        <w:rPr>
          <w:sz w:val="20"/>
        </w:rPr>
      </w:pPr>
    </w:p>
    <w:p w14:paraId="365FA100" w14:textId="77777777" w:rsidR="00490859" w:rsidRDefault="00490859">
      <w:pPr>
        <w:pStyle w:val="BodyText"/>
        <w:rPr>
          <w:sz w:val="20"/>
        </w:rPr>
      </w:pPr>
    </w:p>
    <w:p w14:paraId="0DB04AC7" w14:textId="77777777" w:rsidR="00490859" w:rsidRDefault="00000000">
      <w:pPr>
        <w:pStyle w:val="BodyText"/>
        <w:spacing w:before="7"/>
        <w:rPr>
          <w:sz w:val="19"/>
        </w:rPr>
      </w:pPr>
      <w:r>
        <w:pict w14:anchorId="498B49DF">
          <v:shape id="_x0000_s1027" style="position:absolute;margin-left:252pt;margin-top:13.7pt;width:287.95pt;height:.1pt;z-index:-15728640;mso-wrap-distance-left:0;mso-wrap-distance-right:0;mso-position-horizontal-relative:page" coordorigin="5040,274" coordsize="5759,0" o:spt="100" adj="0,,0" path="m5040,274r3027,m8069,274r304,m8376,274r2422,e" filled="f" strokeweight=".31564mm">
            <v:stroke joinstyle="round"/>
            <v:formulas/>
            <v:path arrowok="t" o:connecttype="segments"/>
            <w10:wrap type="topAndBottom" anchorx="page"/>
          </v:shape>
        </w:pict>
      </w:r>
    </w:p>
    <w:p w14:paraId="3F317C99" w14:textId="77777777" w:rsidR="00490859" w:rsidRDefault="00000000">
      <w:pPr>
        <w:pStyle w:val="BodyText"/>
        <w:ind w:left="3720"/>
      </w:pPr>
      <w:r>
        <w:t>[Signature of certifying attorney or pro se party]</w:t>
      </w:r>
    </w:p>
    <w:p w14:paraId="6885DE49" w14:textId="77777777" w:rsidR="00490859" w:rsidRDefault="00490859">
      <w:pPr>
        <w:pStyle w:val="BodyText"/>
        <w:rPr>
          <w:sz w:val="20"/>
        </w:rPr>
      </w:pPr>
    </w:p>
    <w:p w14:paraId="72AD7527" w14:textId="77777777" w:rsidR="00490859" w:rsidRDefault="00490859">
      <w:pPr>
        <w:pStyle w:val="BodyText"/>
        <w:rPr>
          <w:sz w:val="20"/>
        </w:rPr>
      </w:pPr>
    </w:p>
    <w:p w14:paraId="037442D2" w14:textId="77777777" w:rsidR="00490859" w:rsidRDefault="00490859">
      <w:pPr>
        <w:pStyle w:val="BodyText"/>
        <w:rPr>
          <w:sz w:val="20"/>
        </w:rPr>
      </w:pPr>
    </w:p>
    <w:p w14:paraId="1E342A43" w14:textId="77777777" w:rsidR="00490859" w:rsidRDefault="00490859">
      <w:pPr>
        <w:pStyle w:val="BodyText"/>
        <w:rPr>
          <w:sz w:val="20"/>
        </w:rPr>
      </w:pPr>
    </w:p>
    <w:p w14:paraId="52461A1D" w14:textId="77777777" w:rsidR="00490859" w:rsidRDefault="00000000">
      <w:pPr>
        <w:pStyle w:val="BodyText"/>
        <w:spacing w:before="4"/>
        <w:rPr>
          <w:sz w:val="27"/>
        </w:rPr>
      </w:pPr>
      <w:r>
        <w:pict w14:anchorId="7F9DC08E">
          <v:shape id="_x0000_s1026" style="position:absolute;margin-left:252pt;margin-top:18.15pt;width:4in;height:.1pt;z-index:-15728128;mso-wrap-distance-left:0;mso-wrap-distance-right:0;mso-position-horizontal-relative:page" coordorigin="5040,363" coordsize="5760,0" o:spt="100" adj="0,,0" path="m5040,363r1665,m6708,363r304,m7015,363r3785,e" filled="f" strokeweight=".31564mm">
            <v:stroke joinstyle="round"/>
            <v:formulas/>
            <v:path arrowok="t" o:connecttype="segments"/>
            <w10:wrap type="topAndBottom" anchorx="page"/>
          </v:shape>
        </w:pict>
      </w:r>
    </w:p>
    <w:p w14:paraId="6664B934" w14:textId="77777777" w:rsidR="00490859" w:rsidRDefault="00000000">
      <w:pPr>
        <w:pStyle w:val="BodyText"/>
        <w:ind w:left="3720"/>
      </w:pPr>
      <w:r>
        <w:t>[Date]</w:t>
      </w:r>
    </w:p>
    <w:p w14:paraId="4121E498" w14:textId="77777777" w:rsidR="00490859" w:rsidRDefault="00490859">
      <w:pPr>
        <w:pStyle w:val="BodyText"/>
      </w:pPr>
    </w:p>
    <w:p w14:paraId="4C4B79DA" w14:textId="77777777" w:rsidR="00490859" w:rsidRDefault="00490859">
      <w:pPr>
        <w:pStyle w:val="BodyText"/>
      </w:pPr>
    </w:p>
    <w:p w14:paraId="068E89D9" w14:textId="77777777" w:rsidR="00490859" w:rsidRDefault="00490859">
      <w:pPr>
        <w:pStyle w:val="BodyText"/>
        <w:spacing w:before="3"/>
        <w:rPr>
          <w:sz w:val="29"/>
        </w:rPr>
      </w:pPr>
    </w:p>
    <w:p w14:paraId="254B01A8" w14:textId="77777777" w:rsidR="00490859" w:rsidRDefault="00000000">
      <w:pPr>
        <w:pStyle w:val="BodyText"/>
        <w:spacing w:before="1" w:line="242" w:lineRule="auto"/>
        <w:ind w:left="119" w:right="115"/>
        <w:jc w:val="both"/>
      </w:pPr>
      <w:r>
        <w:rPr>
          <w:b/>
          <w:spacing w:val="2"/>
        </w:rPr>
        <w:t>N</w:t>
      </w:r>
      <w:r>
        <w:rPr>
          <w:b/>
          <w:spacing w:val="2"/>
          <w:sz w:val="22"/>
        </w:rPr>
        <w:t>OTES</w:t>
      </w:r>
      <w:r>
        <w:rPr>
          <w:b/>
          <w:spacing w:val="2"/>
        </w:rPr>
        <w:t xml:space="preserve">: </w:t>
      </w:r>
      <w:r>
        <w:t>Pursuant to Texas Rule of Appellate Procedure 6.3, a party’s lead counsel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served.</w:t>
      </w:r>
      <w:r>
        <w:rPr>
          <w:spacing w:val="49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t>attorneys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party</w:t>
      </w:r>
      <w:r>
        <w:rPr>
          <w:spacing w:val="-16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 xml:space="preserve">optional, but must be listed above if </w:t>
      </w:r>
      <w:r>
        <w:rPr>
          <w:spacing w:val="2"/>
        </w:rPr>
        <w:t xml:space="preserve">they </w:t>
      </w:r>
      <w:r>
        <w:t>are served. Pursuant to Texas Rule of Appellate Procedure 52.7(c), the record must be served on each party in an original proceeding, including a respondent trial</w:t>
      </w:r>
      <w:r>
        <w:rPr>
          <w:spacing w:val="12"/>
        </w:rPr>
        <w:t xml:space="preserve"> </w:t>
      </w:r>
      <w:r>
        <w:t>judge.</w:t>
      </w:r>
    </w:p>
    <w:sectPr w:rsidR="00490859"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859"/>
    <w:rsid w:val="003B68EF"/>
    <w:rsid w:val="00490859"/>
    <w:rsid w:val="00F9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48B0BE"/>
  <w15:docId w15:val="{3EB2684E-017C-4493-A283-679CAA21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6"/>
      <w:ind w:left="3388" w:right="338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