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9"/>
        <w:ind w:left="1089" w:right="1108" w:firstLine="0"/>
        <w:jc w:val="center"/>
        <w:rPr>
          <w:rFonts w:ascii="Book Antiqua"/>
          <w:b/>
          <w:sz w:val="28"/>
        </w:rPr>
      </w:pPr>
      <w:r>
        <w:rPr>
          <w:rFonts w:ascii="Book Antiqua"/>
          <w:b/>
          <w:sz w:val="28"/>
        </w:rPr>
        <w:t>REAL ESTATE LIMITED PARTNERSHIP AGREEMENT</w:t>
      </w:r>
    </w:p>
    <w:p>
      <w:pPr>
        <w:pStyle w:val="BodyText"/>
        <w:tabs>
          <w:tab w:pos="5666" w:val="left" w:leader="none"/>
          <w:tab w:pos="8461" w:val="left" w:leader="none"/>
        </w:tabs>
        <w:spacing w:line="206" w:lineRule="auto" w:before="152"/>
        <w:ind w:left="100" w:right="119"/>
      </w:pPr>
      <w:r>
        <w:rPr>
          <w:w w:val="105"/>
        </w:rPr>
        <w:t>THIS AGREEMENT is made and entered </w:t>
      </w:r>
      <w:r>
        <w:rPr>
          <w:spacing w:val="18"/>
          <w:w w:val="105"/>
        </w:rPr>
        <w:t> </w:t>
      </w:r>
      <w:r>
        <w:rPr>
          <w:w w:val="105"/>
        </w:rPr>
        <w:t>into</w:t>
      </w:r>
      <w:r>
        <w:rPr>
          <w:spacing w:val="11"/>
          <w:w w:val="105"/>
        </w:rPr>
        <w:t> </w:t>
      </w:r>
      <w:r>
        <w:rPr>
          <w:w w:val="105"/>
        </w:rPr>
        <w:t>this</w:t>
      </w:r>
      <w:r>
        <w:rPr>
          <w:w w:val="105"/>
          <w:u w:val="single"/>
        </w:rPr>
        <w:t> </w:t>
        <w:tab/>
      </w:r>
      <w:r>
        <w:rPr>
          <w:w w:val="105"/>
        </w:rPr>
        <w:t>day</w:t>
      </w:r>
      <w:r>
        <w:rPr>
          <w:spacing w:val="13"/>
          <w:w w:val="105"/>
        </w:rPr>
        <w:t> </w:t>
      </w:r>
      <w:r>
        <w:rPr>
          <w:w w:val="105"/>
        </w:rPr>
        <w:t>of</w:t>
      </w:r>
      <w:r>
        <w:rPr>
          <w:w w:val="105"/>
          <w:u w:val="single"/>
        </w:rPr>
        <w:t> </w:t>
        <w:tab/>
      </w:r>
      <w:r>
        <w:rPr>
          <w:w w:val="105"/>
        </w:rPr>
        <w:t>,</w:t>
      </w:r>
      <w:r>
        <w:rPr>
          <w:w w:val="105"/>
          <w:u w:val="single"/>
        </w:rPr>
        <w:t> </w:t>
      </w:r>
      <w:r>
        <w:rPr>
          <w:w w:val="105"/>
        </w:rPr>
        <w:t>, </w:t>
      </w:r>
      <w:r>
        <w:rPr>
          <w:spacing w:val="-4"/>
          <w:w w:val="105"/>
        </w:rPr>
        <w:t>by, </w:t>
      </w:r>
      <w:r>
        <w:rPr>
          <w:w w:val="105"/>
        </w:rPr>
        <w:t>between, and among the General Partners whose names and addresses are set out in Schedule 1, attached hereto, (hereinafter referred to as the ("General Partners"), and the Limited Partners whose names and addresses are set out in Schedule 2, attached hereto, (hereinafter referred to as the "Limited</w:t>
      </w:r>
      <w:r>
        <w:rPr>
          <w:spacing w:val="-9"/>
          <w:w w:val="105"/>
        </w:rPr>
        <w:t> </w:t>
      </w:r>
      <w:r>
        <w:rPr>
          <w:w w:val="105"/>
        </w:rPr>
        <w:t>Partners").</w:t>
      </w:r>
    </w:p>
    <w:p>
      <w:pPr>
        <w:pStyle w:val="Heading1"/>
        <w:numPr>
          <w:ilvl w:val="0"/>
          <w:numId w:val="1"/>
        </w:numPr>
        <w:tabs>
          <w:tab w:pos="819" w:val="left" w:leader="none"/>
          <w:tab w:pos="820" w:val="left" w:leader="none"/>
        </w:tabs>
        <w:spacing w:line="240" w:lineRule="auto" w:before="191" w:after="0"/>
        <w:ind w:left="820" w:right="0" w:hanging="720"/>
        <w:jc w:val="left"/>
      </w:pPr>
      <w:r>
        <w:rPr>
          <w:w w:val="105"/>
        </w:rPr>
        <w:t>Name and</w:t>
      </w:r>
      <w:r>
        <w:rPr>
          <w:spacing w:val="2"/>
          <w:w w:val="105"/>
        </w:rPr>
        <w:t> </w:t>
      </w:r>
      <w:r>
        <w:rPr>
          <w:w w:val="105"/>
        </w:rPr>
        <w:t>Business.</w:t>
      </w:r>
    </w:p>
    <w:p>
      <w:pPr>
        <w:pStyle w:val="BodyText"/>
        <w:tabs>
          <w:tab w:pos="5481" w:val="left" w:leader="none"/>
          <w:tab w:pos="8269" w:val="left" w:leader="none"/>
          <w:tab w:pos="8335" w:val="left" w:leader="none"/>
        </w:tabs>
        <w:spacing w:line="206" w:lineRule="auto" w:before="95"/>
        <w:ind w:left="100" w:right="118"/>
      </w:pPr>
      <w:r>
        <w:rPr>
          <w:w w:val="105"/>
        </w:rPr>
        <w:t>The  name  of  the  partnership </w:t>
      </w:r>
      <w:r>
        <w:rPr>
          <w:spacing w:val="19"/>
          <w:w w:val="105"/>
        </w:rPr>
        <w:t> </w:t>
      </w:r>
      <w:r>
        <w:rPr>
          <w:w w:val="105"/>
        </w:rPr>
        <w:t>shall </w:t>
      </w:r>
      <w:r>
        <w:rPr>
          <w:spacing w:val="2"/>
          <w:w w:val="105"/>
        </w:rPr>
        <w:t> </w:t>
      </w:r>
      <w:r>
        <w:rPr>
          <w:w w:val="105"/>
        </w:rPr>
        <w:t>be</w:t>
      </w:r>
      <w:r>
        <w:rPr>
          <w:w w:val="105"/>
          <w:u w:val="single"/>
        </w:rPr>
        <w:t> </w:t>
        <w:tab/>
        <w:tab/>
      </w:r>
      <w:r>
        <w:rPr>
          <w:w w:val="105"/>
        </w:rPr>
        <w:t>, (hereinafter referred to as the "Partnership"), and the principal office and place of business of the Partnership shall be at</w:t>
      </w:r>
      <w:r>
        <w:rPr>
          <w:w w:val="105"/>
          <w:u w:val="single"/>
        </w:rPr>
        <w:t> </w:t>
        <w:tab/>
      </w:r>
      <w:r>
        <w:rPr>
          <w:w w:val="105"/>
        </w:rPr>
        <w:t>, </w:t>
      </w:r>
      <w:r>
        <w:rPr>
          <w:spacing w:val="15"/>
          <w:w w:val="105"/>
        </w:rPr>
        <w:t> </w:t>
      </w:r>
      <w:r>
        <w:rPr>
          <w:w w:val="105"/>
        </w:rPr>
        <w:t>City </w:t>
      </w:r>
      <w:r>
        <w:rPr>
          <w:spacing w:val="18"/>
          <w:w w:val="105"/>
        </w:rPr>
        <w:t> </w:t>
      </w:r>
      <w:r>
        <w:rPr>
          <w:w w:val="105"/>
        </w:rPr>
        <w:t>of</w:t>
      </w:r>
      <w:r>
        <w:rPr>
          <w:w w:val="105"/>
          <w:u w:val="single"/>
        </w:rPr>
        <w:t> </w:t>
        <w:tab/>
        <w:tab/>
      </w:r>
      <w:r>
        <w:rPr>
          <w:w w:val="105"/>
        </w:rPr>
        <w:t>, County</w:t>
      </w:r>
      <w:r>
        <w:rPr>
          <w:spacing w:val="34"/>
          <w:w w:val="105"/>
        </w:rPr>
        <w:t> </w:t>
      </w:r>
      <w:r>
        <w:rPr>
          <w:spacing w:val="-7"/>
          <w:w w:val="105"/>
        </w:rPr>
        <w:t>of</w:t>
      </w:r>
    </w:p>
    <w:p>
      <w:pPr>
        <w:pStyle w:val="BodyText"/>
        <w:tabs>
          <w:tab w:pos="1999" w:val="left" w:leader="none"/>
          <w:tab w:pos="5219" w:val="left" w:leader="none"/>
          <w:tab w:pos="7792" w:val="left" w:leader="none"/>
        </w:tabs>
        <w:spacing w:line="206" w:lineRule="auto" w:before="1"/>
        <w:ind w:left="100" w:right="118"/>
      </w:pPr>
      <w:r>
        <w:rPr>
          <w:w w:val="103"/>
          <w:u w:val="single"/>
        </w:rPr>
        <w:t> </w:t>
      </w:r>
      <w:r>
        <w:rPr>
          <w:u w:val="single"/>
        </w:rPr>
        <w:tab/>
      </w:r>
      <w:r>
        <w:rPr>
          <w:w w:val="105"/>
        </w:rPr>
        <w:t>,</w:t>
      </w:r>
      <w:r>
        <w:rPr>
          <w:spacing w:val="3"/>
          <w:w w:val="105"/>
        </w:rPr>
        <w:t> </w:t>
      </w:r>
      <w:r>
        <w:rPr>
          <w:w w:val="105"/>
        </w:rPr>
        <w:t>State</w:t>
      </w:r>
      <w:r>
        <w:rPr>
          <w:spacing w:val="5"/>
          <w:w w:val="105"/>
        </w:rPr>
        <w:t> </w:t>
      </w:r>
      <w:r>
        <w:rPr>
          <w:w w:val="105"/>
        </w:rPr>
        <w:t>of</w:t>
      </w:r>
      <w:r>
        <w:rPr>
          <w:w w:val="105"/>
          <w:u w:val="single"/>
        </w:rPr>
        <w:t> </w:t>
        <w:tab/>
      </w:r>
      <w:r>
        <w:rPr>
          <w:w w:val="105"/>
        </w:rPr>
        <w:t>. The parties hereby form a Limited Partnership pursuant to the provisions of the Partnership Laws of the </w:t>
      </w:r>
      <w:r>
        <w:rPr>
          <w:spacing w:val="5"/>
          <w:w w:val="105"/>
        </w:rPr>
        <w:t> </w:t>
      </w:r>
      <w:r>
        <w:rPr>
          <w:w w:val="105"/>
        </w:rPr>
        <w:t>State</w:t>
      </w:r>
      <w:r>
        <w:rPr>
          <w:spacing w:val="5"/>
          <w:w w:val="105"/>
        </w:rPr>
        <w:t> </w:t>
      </w:r>
      <w:r>
        <w:rPr>
          <w:w w:val="105"/>
        </w:rPr>
        <w:t>of</w:t>
      </w:r>
      <w:r>
        <w:rPr>
          <w:w w:val="105"/>
          <w:u w:val="single"/>
        </w:rPr>
        <w:t> </w:t>
        <w:tab/>
      </w:r>
      <w:r>
        <w:rPr>
          <w:w w:val="105"/>
        </w:rPr>
        <w:t>for the purpose of investing in real estate, the operation thereof for income, and holding for investment, as determined by the General Partners, including, but not limited to, real estate leases, or participation therein and subsequent sale thereof. The Partnership may enter into any other investments, ventures and business arrangements with respect to real estate deemed prudent by the General Partners in order to achieve successful operations for the</w:t>
      </w:r>
      <w:r>
        <w:rPr>
          <w:spacing w:val="1"/>
          <w:w w:val="105"/>
        </w:rPr>
        <w:t> </w:t>
      </w:r>
      <w:r>
        <w:rPr>
          <w:w w:val="105"/>
        </w:rPr>
        <w:t>Partnership.</w:t>
      </w:r>
    </w:p>
    <w:p>
      <w:pPr>
        <w:pStyle w:val="Heading1"/>
        <w:numPr>
          <w:ilvl w:val="0"/>
          <w:numId w:val="1"/>
        </w:numPr>
        <w:tabs>
          <w:tab w:pos="819" w:val="left" w:leader="none"/>
          <w:tab w:pos="820" w:val="left" w:leader="none"/>
        </w:tabs>
        <w:spacing w:line="240" w:lineRule="auto" w:before="193" w:after="0"/>
        <w:ind w:left="820" w:right="0" w:hanging="720"/>
        <w:jc w:val="left"/>
      </w:pPr>
      <w:r>
        <w:rPr>
          <w:w w:val="105"/>
        </w:rPr>
        <w:t>Term.</w:t>
      </w:r>
    </w:p>
    <w:p>
      <w:pPr>
        <w:pStyle w:val="BodyText"/>
        <w:tabs>
          <w:tab w:pos="1694" w:val="left" w:leader="none"/>
          <w:tab w:pos="3752" w:val="left" w:leader="none"/>
          <w:tab w:pos="7038" w:val="left" w:leader="none"/>
        </w:tabs>
        <w:spacing w:line="206" w:lineRule="auto" w:before="94"/>
        <w:ind w:left="100" w:right="119"/>
      </w:pPr>
      <w:r>
        <w:rPr>
          <w:w w:val="105"/>
        </w:rPr>
        <w:t>The  term  of  the  Partnership  shall  begin  on  the </w:t>
      </w:r>
      <w:r>
        <w:rPr>
          <w:w w:val="105"/>
          <w:u w:val="single"/>
        </w:rPr>
        <w:t>     </w:t>
      </w:r>
      <w:r>
        <w:rPr>
          <w:w w:val="105"/>
        </w:rPr>
        <w:t> </w:t>
      </w:r>
      <w:r>
        <w:rPr>
          <w:spacing w:val="21"/>
          <w:w w:val="105"/>
        </w:rPr>
        <w:t> </w:t>
      </w:r>
      <w:r>
        <w:rPr>
          <w:w w:val="105"/>
        </w:rPr>
        <w:t>day</w:t>
      </w:r>
      <w:r>
        <w:rPr>
          <w:spacing w:val="23"/>
          <w:w w:val="105"/>
        </w:rPr>
        <w:t> </w:t>
      </w:r>
      <w:r>
        <w:rPr>
          <w:w w:val="105"/>
        </w:rPr>
        <w:t>of</w:t>
      </w:r>
      <w:r>
        <w:rPr>
          <w:w w:val="105"/>
          <w:u w:val="single"/>
        </w:rPr>
        <w:t> </w:t>
        <w:tab/>
      </w:r>
      <w:r>
        <w:rPr>
          <w:w w:val="105"/>
        </w:rPr>
        <w:t>,</w:t>
      </w:r>
      <w:r>
        <w:rPr>
          <w:w w:val="105"/>
          <w:u w:val="single"/>
        </w:rPr>
        <w:t>   </w:t>
      </w:r>
      <w:r>
        <w:rPr>
          <w:w w:val="105"/>
        </w:rPr>
        <w:t>, and  shall continue until</w:t>
      </w:r>
      <w:r>
        <w:rPr>
          <w:spacing w:val="-1"/>
          <w:w w:val="105"/>
        </w:rPr>
        <w:t> </w:t>
      </w:r>
      <w:r>
        <w:rPr>
          <w:w w:val="105"/>
        </w:rPr>
        <w:t>the</w:t>
      </w:r>
      <w:r>
        <w:rPr>
          <w:w w:val="105"/>
          <w:u w:val="single"/>
        </w:rPr>
        <w:t> </w:t>
        <w:tab/>
      </w:r>
      <w:r>
        <w:rPr>
          <w:w w:val="105"/>
        </w:rPr>
        <w:t>day of</w:t>
      </w:r>
      <w:r>
        <w:rPr>
          <w:w w:val="105"/>
          <w:u w:val="single"/>
        </w:rPr>
        <w:t> </w:t>
        <w:tab/>
      </w:r>
      <w:r>
        <w:rPr>
          <w:w w:val="105"/>
        </w:rPr>
        <w:t>,</w:t>
      </w:r>
      <w:r>
        <w:rPr>
          <w:w w:val="105"/>
          <w:u w:val="single"/>
        </w:rPr>
        <w:t> </w:t>
      </w:r>
      <w:r>
        <w:rPr>
          <w:w w:val="105"/>
        </w:rPr>
        <w:t>, unless terminated earlier as hereinafter</w:t>
      </w:r>
      <w:r>
        <w:rPr>
          <w:spacing w:val="-8"/>
          <w:w w:val="105"/>
        </w:rPr>
        <w:t> </w:t>
      </w:r>
      <w:r>
        <w:rPr>
          <w:w w:val="105"/>
        </w:rPr>
        <w:t>provided.</w:t>
      </w:r>
    </w:p>
    <w:p>
      <w:pPr>
        <w:pStyle w:val="Heading1"/>
        <w:numPr>
          <w:ilvl w:val="0"/>
          <w:numId w:val="1"/>
        </w:numPr>
        <w:tabs>
          <w:tab w:pos="819" w:val="left" w:leader="none"/>
          <w:tab w:pos="820" w:val="left" w:leader="none"/>
        </w:tabs>
        <w:spacing w:line="240" w:lineRule="auto" w:before="196" w:after="0"/>
        <w:ind w:left="820" w:right="0" w:hanging="720"/>
        <w:jc w:val="left"/>
      </w:pPr>
      <w:r>
        <w:rPr>
          <w:w w:val="105"/>
        </w:rPr>
        <w:t>Contributions of General</w:t>
      </w:r>
      <w:r>
        <w:rPr>
          <w:spacing w:val="1"/>
          <w:w w:val="105"/>
        </w:rPr>
        <w:t> </w:t>
      </w:r>
      <w:r>
        <w:rPr>
          <w:w w:val="105"/>
        </w:rPr>
        <w:t>Partners.</w:t>
      </w:r>
    </w:p>
    <w:p>
      <w:pPr>
        <w:pStyle w:val="ListParagraph"/>
        <w:numPr>
          <w:ilvl w:val="1"/>
          <w:numId w:val="1"/>
        </w:numPr>
        <w:tabs>
          <w:tab w:pos="1540" w:val="left" w:leader="none"/>
        </w:tabs>
        <w:spacing w:line="206" w:lineRule="auto" w:before="94" w:after="0"/>
        <w:ind w:left="1540" w:right="118" w:hanging="720"/>
        <w:jc w:val="both"/>
        <w:rPr>
          <w:sz w:val="19"/>
        </w:rPr>
      </w:pPr>
      <w:r>
        <w:rPr>
          <w:w w:val="105"/>
          <w:sz w:val="19"/>
        </w:rPr>
        <w:t>Cash: The General Partners shall contribute to the Partnership capital the cash amount</w:t>
      </w:r>
      <w:r>
        <w:rPr>
          <w:spacing w:val="49"/>
          <w:w w:val="105"/>
          <w:sz w:val="19"/>
        </w:rPr>
        <w:t> </w:t>
      </w:r>
      <w:r>
        <w:rPr>
          <w:w w:val="105"/>
          <w:sz w:val="19"/>
        </w:rPr>
        <w:t>set opposite their names in the attached Exhibit</w:t>
      </w:r>
      <w:r>
        <w:rPr>
          <w:spacing w:val="4"/>
          <w:w w:val="105"/>
          <w:sz w:val="19"/>
        </w:rPr>
        <w:t> </w:t>
      </w:r>
      <w:r>
        <w:rPr>
          <w:w w:val="105"/>
          <w:sz w:val="19"/>
        </w:rPr>
        <w:t>"A".</w:t>
      </w:r>
    </w:p>
    <w:p>
      <w:pPr>
        <w:pStyle w:val="BodyText"/>
        <w:spacing w:before="1"/>
        <w:ind w:left="0"/>
        <w:jc w:val="left"/>
        <w:rPr>
          <w:sz w:val="16"/>
        </w:rPr>
      </w:pPr>
    </w:p>
    <w:p>
      <w:pPr>
        <w:pStyle w:val="ListParagraph"/>
        <w:numPr>
          <w:ilvl w:val="1"/>
          <w:numId w:val="1"/>
        </w:numPr>
        <w:tabs>
          <w:tab w:pos="1540" w:val="left" w:leader="none"/>
        </w:tabs>
        <w:spacing w:line="206" w:lineRule="auto" w:before="0" w:after="0"/>
        <w:ind w:left="1540" w:right="116" w:hanging="720"/>
        <w:jc w:val="both"/>
        <w:rPr>
          <w:sz w:val="19"/>
        </w:rPr>
      </w:pPr>
      <w:r>
        <w:rPr>
          <w:w w:val="105"/>
          <w:sz w:val="19"/>
        </w:rPr>
        <w:t>Other than Cash: In addition to the foregoing cash contributions, the General Partners shall contribute to the Partnership capital all of their right, title and interest in and to certain real property presently under a contract for sale and purchase, a copy of which is attached hereto as Exhibit "B", and the Partnership accepts the foregoing contributions and assumes all the obligations of the Purchaser under the aforementioned contract for sale and purchase, except that all incidental charges, fees and expenses in connection</w:t>
      </w:r>
      <w:r>
        <w:rPr>
          <w:spacing w:val="49"/>
          <w:w w:val="105"/>
          <w:sz w:val="19"/>
        </w:rPr>
        <w:t> </w:t>
      </w:r>
      <w:r>
        <w:rPr>
          <w:w w:val="105"/>
          <w:sz w:val="19"/>
        </w:rPr>
        <w:t>with taking title to the aforementioned real property, such as title insurance costs, legal fees, recording charges, and the like, in excess of the amount to be contributed toward the payment of such expenses by the Seller under said contract, shall be borne by the General Partners. The deposit made by the General Partners on the execution of the aforementioned contract shall be credited against their agreed capital</w:t>
      </w:r>
      <w:r>
        <w:rPr>
          <w:spacing w:val="-6"/>
          <w:w w:val="105"/>
          <w:sz w:val="19"/>
        </w:rPr>
        <w:t> </w:t>
      </w:r>
      <w:r>
        <w:rPr>
          <w:w w:val="105"/>
          <w:sz w:val="19"/>
        </w:rPr>
        <w:t>contributions.</w:t>
      </w:r>
    </w:p>
    <w:p>
      <w:pPr>
        <w:pStyle w:val="Heading1"/>
        <w:numPr>
          <w:ilvl w:val="0"/>
          <w:numId w:val="1"/>
        </w:numPr>
        <w:tabs>
          <w:tab w:pos="819" w:val="left" w:leader="none"/>
          <w:tab w:pos="820" w:val="left" w:leader="none"/>
        </w:tabs>
        <w:spacing w:line="240" w:lineRule="auto" w:before="194" w:after="0"/>
        <w:ind w:left="820" w:right="0" w:hanging="720"/>
        <w:jc w:val="left"/>
      </w:pPr>
      <w:r>
        <w:rPr>
          <w:w w:val="105"/>
        </w:rPr>
        <w:t>Capital Contributions of Limited</w:t>
      </w:r>
      <w:r>
        <w:rPr>
          <w:spacing w:val="3"/>
          <w:w w:val="105"/>
        </w:rPr>
        <w:t> </w:t>
      </w:r>
      <w:r>
        <w:rPr>
          <w:w w:val="105"/>
        </w:rPr>
        <w:t>Partners.</w:t>
      </w:r>
    </w:p>
    <w:p>
      <w:pPr>
        <w:pStyle w:val="BodyText"/>
        <w:spacing w:line="206" w:lineRule="auto" w:before="95"/>
        <w:ind w:left="100" w:right="116"/>
      </w:pPr>
      <w:r>
        <w:rPr>
          <w:w w:val="105"/>
        </w:rPr>
        <w:t>The Limited Partners shall contribute to the Partnership capital the cash amounts set opposite their  names in the attached Exhibit</w:t>
      </w:r>
      <w:r>
        <w:rPr>
          <w:spacing w:val="5"/>
          <w:w w:val="105"/>
        </w:rPr>
        <w:t> </w:t>
      </w:r>
      <w:r>
        <w:rPr>
          <w:w w:val="105"/>
        </w:rPr>
        <w:t>"C".</w:t>
      </w:r>
    </w:p>
    <w:p>
      <w:pPr>
        <w:pStyle w:val="Heading1"/>
        <w:numPr>
          <w:ilvl w:val="0"/>
          <w:numId w:val="1"/>
        </w:numPr>
        <w:tabs>
          <w:tab w:pos="819" w:val="left" w:leader="none"/>
          <w:tab w:pos="820" w:val="left" w:leader="none"/>
        </w:tabs>
        <w:spacing w:line="240" w:lineRule="auto" w:before="195" w:after="0"/>
        <w:ind w:left="820" w:right="0" w:hanging="720"/>
        <w:jc w:val="left"/>
      </w:pPr>
      <w:r>
        <w:rPr>
          <w:w w:val="105"/>
        </w:rPr>
        <w:t>Profits and</w:t>
      </w:r>
      <w:r>
        <w:rPr>
          <w:spacing w:val="2"/>
          <w:w w:val="105"/>
        </w:rPr>
        <w:t> </w:t>
      </w:r>
      <w:r>
        <w:rPr>
          <w:w w:val="105"/>
        </w:rPr>
        <w:t>Losses.</w:t>
      </w:r>
    </w:p>
    <w:p>
      <w:pPr>
        <w:pStyle w:val="ListParagraph"/>
        <w:numPr>
          <w:ilvl w:val="1"/>
          <w:numId w:val="1"/>
        </w:numPr>
        <w:tabs>
          <w:tab w:pos="1540" w:val="left" w:leader="none"/>
        </w:tabs>
        <w:spacing w:line="206" w:lineRule="auto" w:before="95" w:after="0"/>
        <w:ind w:left="1540" w:right="117" w:hanging="720"/>
        <w:jc w:val="both"/>
        <w:rPr>
          <w:sz w:val="19"/>
        </w:rPr>
      </w:pPr>
      <w:r>
        <w:rPr>
          <w:w w:val="105"/>
          <w:sz w:val="19"/>
        </w:rPr>
        <w:t>The net profits and losses of the Partnership shall be divided and borne by each of the partners in the proportions set opposite his or her name in the attached Exhibit "D", subject, however, insofar as the Limited Partners are concerned, to the limitation of their liability to the amount of their individual investment, as therein provided.</w:t>
      </w:r>
    </w:p>
    <w:p>
      <w:pPr>
        <w:pStyle w:val="BodyText"/>
        <w:spacing w:before="1"/>
        <w:ind w:left="0"/>
        <w:jc w:val="left"/>
        <w:rPr>
          <w:sz w:val="16"/>
        </w:rPr>
      </w:pPr>
    </w:p>
    <w:p>
      <w:pPr>
        <w:pStyle w:val="ListParagraph"/>
        <w:numPr>
          <w:ilvl w:val="1"/>
          <w:numId w:val="1"/>
        </w:numPr>
        <w:tabs>
          <w:tab w:pos="1540" w:val="left" w:leader="none"/>
          <w:tab w:pos="5176" w:val="left" w:leader="none"/>
        </w:tabs>
        <w:spacing w:line="206" w:lineRule="auto" w:before="0" w:after="0"/>
        <w:ind w:left="1540" w:right="118" w:hanging="720"/>
        <w:jc w:val="both"/>
        <w:rPr>
          <w:sz w:val="19"/>
        </w:rPr>
      </w:pPr>
      <w:r>
        <w:rPr>
          <w:w w:val="105"/>
          <w:sz w:val="19"/>
        </w:rPr>
        <w:t>The fiscal year of the Partnership shall be the calendar year. Notwithstanding anything to the contrary contained in subparagraph (a) of this paragraph, if in any fiscal year subsequent to</w:t>
      </w:r>
      <w:r>
        <w:rPr>
          <w:spacing w:val="3"/>
          <w:w w:val="105"/>
          <w:sz w:val="19"/>
        </w:rPr>
        <w:t> </w:t>
      </w:r>
      <w:r>
        <w:rPr>
          <w:w w:val="105"/>
          <w:sz w:val="19"/>
        </w:rPr>
        <w:t>December</w:t>
      </w:r>
      <w:r>
        <w:rPr>
          <w:spacing w:val="2"/>
          <w:w w:val="105"/>
          <w:sz w:val="19"/>
        </w:rPr>
        <w:t> </w:t>
      </w:r>
      <w:r>
        <w:rPr>
          <w:w w:val="105"/>
          <w:sz w:val="19"/>
        </w:rPr>
        <w:t>31,</w:t>
      </w:r>
      <w:r>
        <w:rPr>
          <w:w w:val="105"/>
          <w:sz w:val="19"/>
          <w:u w:val="single"/>
        </w:rPr>
        <w:t> </w:t>
        <w:tab/>
      </w:r>
      <w:r>
        <w:rPr>
          <w:w w:val="105"/>
          <w:sz w:val="19"/>
        </w:rPr>
        <w:t>, Partnership net profits distributable among the</w:t>
      </w:r>
    </w:p>
    <w:p>
      <w:pPr>
        <w:pStyle w:val="BodyText"/>
        <w:tabs>
          <w:tab w:pos="6919" w:val="left" w:leader="none"/>
          <w:tab w:pos="7791" w:val="left" w:leader="none"/>
        </w:tabs>
        <w:spacing w:line="230" w:lineRule="exact"/>
        <w:jc w:val="left"/>
      </w:pPr>
      <w:r>
        <w:rPr>
          <w:w w:val="105"/>
        </w:rPr>
        <w:t>Limited  Partners  are  not  equal  to </w:t>
      </w:r>
      <w:r>
        <w:rPr>
          <w:spacing w:val="27"/>
          <w:w w:val="105"/>
        </w:rPr>
        <w:t> </w:t>
      </w:r>
      <w:r>
        <w:rPr>
          <w:w w:val="105"/>
        </w:rPr>
        <w:t>at </w:t>
      </w:r>
      <w:r>
        <w:rPr>
          <w:spacing w:val="4"/>
          <w:w w:val="105"/>
        </w:rPr>
        <w:t> </w:t>
      </w:r>
      <w:r>
        <w:rPr>
          <w:w w:val="105"/>
        </w:rPr>
        <w:t>least</w:t>
      </w:r>
      <w:r>
        <w:rPr>
          <w:w w:val="105"/>
          <w:u w:val="single"/>
        </w:rPr>
        <w:t> </w:t>
        <w:tab/>
      </w:r>
      <w:r>
        <w:rPr>
          <w:w w:val="105"/>
        </w:rPr>
        <w:t>(</w:t>
      </w:r>
      <w:r>
        <w:rPr>
          <w:w w:val="105"/>
          <w:u w:val="single"/>
        </w:rPr>
        <w:t> </w:t>
        <w:tab/>
      </w:r>
      <w:r>
        <w:rPr>
          <w:w w:val="105"/>
        </w:rPr>
        <w:t>%)  percent  of </w:t>
      </w:r>
      <w:r>
        <w:rPr>
          <w:spacing w:val="13"/>
          <w:w w:val="105"/>
        </w:rPr>
        <w:t> </w:t>
      </w:r>
      <w:r>
        <w:rPr>
          <w:w w:val="105"/>
        </w:rPr>
        <w:t>the</w:t>
      </w:r>
    </w:p>
    <w:p>
      <w:pPr>
        <w:pStyle w:val="BodyText"/>
        <w:spacing w:line="204" w:lineRule="auto"/>
        <w:ind w:right="116"/>
      </w:pPr>
      <w:r>
        <w:rPr>
          <w:w w:val="105"/>
        </w:rPr>
        <w:t>aggregate original cash contributions made to the capital of the Partnership by the Limited Partners, as such capital contributions may have been reduced by any distributions  previously  made  to  such  Limited  Partners  out  of  the  proceeds  of </w:t>
      </w:r>
      <w:r>
        <w:rPr>
          <w:spacing w:val="48"/>
          <w:w w:val="105"/>
        </w:rPr>
        <w:t> </w:t>
      </w:r>
      <w:r>
        <w:rPr>
          <w:w w:val="105"/>
        </w:rPr>
        <w:t>any</w:t>
      </w:r>
    </w:p>
    <w:p>
      <w:pPr>
        <w:spacing w:after="0" w:line="204" w:lineRule="auto"/>
        <w:sectPr>
          <w:type w:val="continuous"/>
          <w:pgSz w:w="12240" w:h="15840"/>
          <w:pgMar w:top="1360" w:bottom="280" w:left="1340" w:right="1320"/>
        </w:sectPr>
      </w:pPr>
    </w:p>
    <w:p>
      <w:pPr>
        <w:pStyle w:val="Heading1"/>
        <w:spacing w:before="61"/>
        <w:ind w:left="1089" w:right="1108" w:firstLine="0"/>
        <w:jc w:val="center"/>
      </w:pPr>
      <w:r>
        <w:rPr>
          <w:w w:val="105"/>
        </w:rPr>
        <w:t>- 2 -</w:t>
      </w:r>
    </w:p>
    <w:p>
      <w:pPr>
        <w:pStyle w:val="BodyText"/>
        <w:ind w:left="0"/>
        <w:jc w:val="left"/>
        <w:rPr>
          <w:rFonts w:ascii="Book Antiqua"/>
          <w:b/>
          <w:sz w:val="22"/>
        </w:rPr>
      </w:pPr>
    </w:p>
    <w:p>
      <w:pPr>
        <w:pStyle w:val="BodyText"/>
        <w:spacing w:before="4"/>
        <w:ind w:left="0"/>
        <w:jc w:val="left"/>
        <w:rPr>
          <w:rFonts w:ascii="Book Antiqua"/>
          <w:b/>
        </w:rPr>
      </w:pPr>
    </w:p>
    <w:p>
      <w:pPr>
        <w:pStyle w:val="BodyText"/>
        <w:spacing w:line="206" w:lineRule="auto"/>
        <w:ind w:right="118"/>
      </w:pPr>
      <w:r>
        <w:rPr>
          <w:w w:val="105"/>
        </w:rPr>
        <w:t>mortgage refinancing, then the share of Partnership net profits distributable among the General Partners for such year shall be reduced to the extent of any such deficiency. This subparagraph shall be deemed null and void at and after such time as the Limited Partners shall have received aggregate total distributions from the Partnership, however arising, equal to 125% of the aggregate cash contributions made by the Limited Partners.</w:t>
      </w:r>
    </w:p>
    <w:p>
      <w:pPr>
        <w:pStyle w:val="BodyText"/>
        <w:spacing w:before="2"/>
        <w:ind w:left="0"/>
        <w:jc w:val="left"/>
        <w:rPr>
          <w:sz w:val="16"/>
        </w:rPr>
      </w:pPr>
    </w:p>
    <w:p>
      <w:pPr>
        <w:pStyle w:val="ListParagraph"/>
        <w:numPr>
          <w:ilvl w:val="1"/>
          <w:numId w:val="1"/>
        </w:numPr>
        <w:tabs>
          <w:tab w:pos="1539" w:val="left" w:leader="none"/>
          <w:tab w:pos="1540" w:val="left" w:leader="none"/>
        </w:tabs>
        <w:spacing w:line="206" w:lineRule="auto" w:before="0" w:after="0"/>
        <w:ind w:left="1540" w:right="115" w:hanging="720"/>
        <w:jc w:val="both"/>
        <w:rPr>
          <w:sz w:val="19"/>
        </w:rPr>
      </w:pPr>
      <w:r>
        <w:rPr>
          <w:w w:val="105"/>
          <w:sz w:val="19"/>
        </w:rPr>
        <w:t>In determining the share of Partnership net profits to which each partner shall be  entitled, the Partnership profits shall be determined without taking into account any deduction for the following: (1) depreciation, and (2) the regular accounting fees of the Partnership and any expenses relating to distributing Partnership profits. The foregoing regular accounting fees and distribution expenses shall be borne by, and charged against, the distributed profits share of the General Partners in the proportions set opposite their names in the attached Exhibit "E". All depreciation and other deductions shall be allocated among the partners in proportion to their cash capital</w:t>
      </w:r>
      <w:r>
        <w:rPr>
          <w:spacing w:val="2"/>
          <w:w w:val="105"/>
          <w:sz w:val="19"/>
        </w:rPr>
        <w:t> </w:t>
      </w:r>
      <w:r>
        <w:rPr>
          <w:w w:val="105"/>
          <w:sz w:val="19"/>
        </w:rPr>
        <w:t>contributions.</w:t>
      </w:r>
    </w:p>
    <w:p>
      <w:pPr>
        <w:pStyle w:val="Heading1"/>
        <w:numPr>
          <w:ilvl w:val="0"/>
          <w:numId w:val="1"/>
        </w:numPr>
        <w:tabs>
          <w:tab w:pos="819" w:val="left" w:leader="none"/>
          <w:tab w:pos="820" w:val="left" w:leader="none"/>
        </w:tabs>
        <w:spacing w:line="240" w:lineRule="auto" w:before="193" w:after="0"/>
        <w:ind w:left="820" w:right="0" w:hanging="720"/>
        <w:jc w:val="left"/>
      </w:pPr>
      <w:r>
        <w:rPr>
          <w:w w:val="105"/>
        </w:rPr>
        <w:t>Mortgage</w:t>
      </w:r>
      <w:r>
        <w:rPr>
          <w:spacing w:val="1"/>
          <w:w w:val="105"/>
        </w:rPr>
        <w:t> </w:t>
      </w:r>
      <w:r>
        <w:rPr>
          <w:w w:val="105"/>
        </w:rPr>
        <w:t>Refinancing.</w:t>
      </w:r>
    </w:p>
    <w:p>
      <w:pPr>
        <w:pStyle w:val="BodyText"/>
        <w:spacing w:line="206" w:lineRule="auto" w:before="95"/>
        <w:ind w:left="100" w:right="116"/>
      </w:pPr>
      <w:r>
        <w:rPr>
          <w:w w:val="105"/>
        </w:rPr>
        <w:t>If net proceeds of a refinancing of any mortgage, constituting a lien against real property, held by the Partnership, exceed the principal balance of the mortgage immediately prior to such refinancing, and</w:t>
      </w:r>
      <w:r>
        <w:rPr>
          <w:spacing w:val="49"/>
          <w:w w:val="105"/>
        </w:rPr>
        <w:t> </w:t>
      </w:r>
      <w:r>
        <w:rPr>
          <w:w w:val="105"/>
        </w:rPr>
        <w:t>such proceeds of refinancing are received by the Partnership, then such net proceeds shall be distributed among the partners in the same ratios as set forth in paragraph 5(a)</w:t>
      </w:r>
      <w:r>
        <w:rPr>
          <w:spacing w:val="9"/>
          <w:w w:val="105"/>
        </w:rPr>
        <w:t> </w:t>
      </w:r>
      <w:r>
        <w:rPr>
          <w:w w:val="105"/>
        </w:rPr>
        <w:t>hereof.</w:t>
      </w:r>
    </w:p>
    <w:p>
      <w:pPr>
        <w:pStyle w:val="Heading1"/>
        <w:numPr>
          <w:ilvl w:val="0"/>
          <w:numId w:val="1"/>
        </w:numPr>
        <w:tabs>
          <w:tab w:pos="819" w:val="left" w:leader="none"/>
          <w:tab w:pos="820" w:val="left" w:leader="none"/>
        </w:tabs>
        <w:spacing w:line="240" w:lineRule="auto" w:before="191" w:after="0"/>
        <w:ind w:left="820" w:right="0" w:hanging="720"/>
        <w:jc w:val="left"/>
      </w:pPr>
      <w:r>
        <w:rPr>
          <w:w w:val="105"/>
        </w:rPr>
        <w:t>Sale of</w:t>
      </w:r>
      <w:r>
        <w:rPr>
          <w:spacing w:val="1"/>
          <w:w w:val="105"/>
        </w:rPr>
        <w:t> </w:t>
      </w:r>
      <w:r>
        <w:rPr>
          <w:w w:val="105"/>
        </w:rPr>
        <w:t>Assets.</w:t>
      </w:r>
    </w:p>
    <w:p>
      <w:pPr>
        <w:pStyle w:val="BodyText"/>
        <w:spacing w:line="204" w:lineRule="auto" w:before="101"/>
        <w:ind w:left="100" w:right="116"/>
      </w:pPr>
      <w:r>
        <w:rPr>
          <w:w w:val="105"/>
        </w:rPr>
        <w:t>If the real property or any other asset held by the Partnership is sold, the net proceeds realized from such sale, including the net proceeds derived from the sale or satisfaction of any purchase money mortgage, shall be allocated as follows:</w:t>
      </w:r>
    </w:p>
    <w:p>
      <w:pPr>
        <w:pStyle w:val="BodyText"/>
        <w:spacing w:before="7"/>
        <w:ind w:left="0"/>
        <w:jc w:val="left"/>
        <w:rPr>
          <w:sz w:val="16"/>
        </w:rPr>
      </w:pPr>
    </w:p>
    <w:p>
      <w:pPr>
        <w:pStyle w:val="ListParagraph"/>
        <w:numPr>
          <w:ilvl w:val="1"/>
          <w:numId w:val="1"/>
        </w:numPr>
        <w:tabs>
          <w:tab w:pos="1540" w:val="left" w:leader="none"/>
        </w:tabs>
        <w:spacing w:line="206" w:lineRule="auto" w:before="0" w:after="0"/>
        <w:ind w:left="1540" w:right="119" w:hanging="720"/>
        <w:jc w:val="both"/>
        <w:rPr>
          <w:sz w:val="19"/>
        </w:rPr>
      </w:pPr>
      <w:r>
        <w:rPr>
          <w:w w:val="105"/>
          <w:sz w:val="19"/>
        </w:rPr>
        <w:t>Each partner shall receive an amount equal to the cash contributions made to the original capital of the Partnership as set forth in paragraphs 3 and 4 hereof, reduced by any amounts such partner may previously have received out of the net proceeds received as a result of refinancing any mortgage constituting a lien against Partnership</w:t>
      </w:r>
      <w:r>
        <w:rPr>
          <w:spacing w:val="-4"/>
          <w:w w:val="105"/>
          <w:sz w:val="19"/>
        </w:rPr>
        <w:t> </w:t>
      </w:r>
      <w:r>
        <w:rPr>
          <w:w w:val="105"/>
          <w:sz w:val="19"/>
        </w:rPr>
        <w:t>property.</w:t>
      </w:r>
    </w:p>
    <w:p>
      <w:pPr>
        <w:pStyle w:val="BodyText"/>
        <w:spacing w:before="6"/>
        <w:ind w:left="0"/>
        <w:jc w:val="left"/>
        <w:rPr>
          <w:sz w:val="9"/>
        </w:rPr>
      </w:pPr>
    </w:p>
    <w:p>
      <w:pPr>
        <w:pStyle w:val="ListParagraph"/>
        <w:numPr>
          <w:ilvl w:val="1"/>
          <w:numId w:val="1"/>
        </w:numPr>
        <w:tabs>
          <w:tab w:pos="1539" w:val="left" w:leader="none"/>
          <w:tab w:pos="1540" w:val="left" w:leader="none"/>
          <w:tab w:pos="4053" w:val="left" w:leader="none"/>
          <w:tab w:pos="4970" w:val="left" w:leader="none"/>
        </w:tabs>
        <w:spacing w:line="240" w:lineRule="auto" w:before="62" w:after="0"/>
        <w:ind w:left="1540" w:right="0" w:hanging="720"/>
        <w:jc w:val="left"/>
        <w:rPr>
          <w:sz w:val="19"/>
        </w:rPr>
      </w:pPr>
      <w:r>
        <w:rPr>
          <w:w w:val="105"/>
          <w:sz w:val="19"/>
        </w:rPr>
        <w:t>The </w:t>
      </w:r>
      <w:r>
        <w:rPr>
          <w:spacing w:val="49"/>
          <w:w w:val="105"/>
          <w:sz w:val="19"/>
        </w:rPr>
        <w:t> </w:t>
      </w:r>
      <w:r>
        <w:rPr>
          <w:w w:val="105"/>
          <w:sz w:val="19"/>
        </w:rPr>
        <w:t>next</w:t>
      </w:r>
      <w:r>
        <w:rPr>
          <w:w w:val="105"/>
          <w:sz w:val="19"/>
          <w:u w:val="single"/>
        </w:rPr>
        <w:t> </w:t>
        <w:tab/>
      </w:r>
      <w:r>
        <w:rPr>
          <w:w w:val="105"/>
          <w:sz w:val="19"/>
        </w:rPr>
        <w:t>(</w:t>
      </w:r>
      <w:r>
        <w:rPr>
          <w:w w:val="105"/>
          <w:sz w:val="19"/>
          <w:u w:val="single"/>
        </w:rPr>
        <w:t> </w:t>
        <w:tab/>
      </w:r>
      <w:r>
        <w:rPr>
          <w:w w:val="105"/>
          <w:sz w:val="19"/>
        </w:rPr>
        <w:t>%) percent, after the allocations set forth</w:t>
      </w:r>
      <w:r>
        <w:rPr>
          <w:spacing w:val="44"/>
          <w:w w:val="105"/>
          <w:sz w:val="19"/>
        </w:rPr>
        <w:t> </w:t>
      </w:r>
      <w:r>
        <w:rPr>
          <w:w w:val="105"/>
          <w:sz w:val="19"/>
        </w:rPr>
        <w:t>in</w:t>
      </w:r>
    </w:p>
    <w:p>
      <w:pPr>
        <w:pStyle w:val="BodyText"/>
        <w:tabs>
          <w:tab w:pos="8339" w:val="left" w:leader="none"/>
          <w:tab w:pos="9222" w:val="left" w:leader="none"/>
        </w:tabs>
        <w:spacing w:line="221" w:lineRule="exact"/>
        <w:jc w:val="left"/>
      </w:pPr>
      <w:r>
        <w:rPr>
          <w:w w:val="105"/>
        </w:rPr>
        <w:t>subparagraph </w:t>
      </w:r>
      <w:r>
        <w:rPr>
          <w:spacing w:val="15"/>
          <w:w w:val="105"/>
        </w:rPr>
        <w:t> </w:t>
      </w:r>
      <w:r>
        <w:rPr>
          <w:w w:val="105"/>
        </w:rPr>
        <w:t>(a) </w:t>
      </w:r>
      <w:r>
        <w:rPr>
          <w:spacing w:val="14"/>
          <w:w w:val="105"/>
        </w:rPr>
        <w:t> </w:t>
      </w:r>
      <w:r>
        <w:rPr>
          <w:w w:val="105"/>
        </w:rPr>
        <w:t>of </w:t>
      </w:r>
      <w:r>
        <w:rPr>
          <w:spacing w:val="14"/>
          <w:w w:val="105"/>
        </w:rPr>
        <w:t> </w:t>
      </w:r>
      <w:r>
        <w:rPr>
          <w:w w:val="105"/>
        </w:rPr>
        <w:t>this </w:t>
      </w:r>
      <w:r>
        <w:rPr>
          <w:spacing w:val="15"/>
          <w:w w:val="105"/>
        </w:rPr>
        <w:t> </w:t>
      </w:r>
      <w:r>
        <w:rPr>
          <w:w w:val="105"/>
        </w:rPr>
        <w:t>paragraph, </w:t>
      </w:r>
      <w:r>
        <w:rPr>
          <w:spacing w:val="15"/>
          <w:w w:val="105"/>
        </w:rPr>
        <w:t> </w:t>
      </w:r>
      <w:r>
        <w:rPr>
          <w:w w:val="105"/>
        </w:rPr>
        <w:t>shall </w:t>
      </w:r>
      <w:r>
        <w:rPr>
          <w:spacing w:val="14"/>
          <w:w w:val="105"/>
        </w:rPr>
        <w:t> </w:t>
      </w:r>
      <w:r>
        <w:rPr>
          <w:w w:val="105"/>
        </w:rPr>
        <w:t>be </w:t>
      </w:r>
      <w:r>
        <w:rPr>
          <w:spacing w:val="15"/>
          <w:w w:val="105"/>
        </w:rPr>
        <w:t> </w:t>
      </w:r>
      <w:r>
        <w:rPr>
          <w:w w:val="105"/>
        </w:rPr>
        <w:t>divided</w:t>
      </w:r>
      <w:r>
        <w:rPr>
          <w:w w:val="105"/>
          <w:u w:val="single"/>
        </w:rPr>
        <w:t> </w:t>
        <w:tab/>
      </w:r>
      <w:r>
        <w:rPr>
          <w:w w:val="105"/>
        </w:rPr>
        <w:t>(</w:t>
      </w:r>
      <w:r>
        <w:rPr>
          <w:w w:val="105"/>
          <w:u w:val="single"/>
        </w:rPr>
        <w:t> </w:t>
        <w:tab/>
      </w:r>
      <w:r>
        <w:rPr>
          <w:w w:val="105"/>
        </w:rPr>
        <w:t>%)</w:t>
      </w:r>
    </w:p>
    <w:p>
      <w:pPr>
        <w:pStyle w:val="BodyText"/>
        <w:tabs>
          <w:tab w:pos="3347" w:val="left" w:leader="none"/>
          <w:tab w:pos="4182" w:val="left" w:leader="none"/>
        </w:tabs>
        <w:spacing w:line="206" w:lineRule="auto"/>
        <w:ind w:right="118"/>
      </w:pPr>
      <w:r>
        <w:rPr>
          <w:w w:val="105"/>
        </w:rPr>
        <w:t>percent among the General Partners in the proportions set forth in paragraph 5(c) hereof, and</w:t>
      </w:r>
      <w:r>
        <w:rPr>
          <w:w w:val="105"/>
          <w:u w:val="single"/>
        </w:rPr>
        <w:t> </w:t>
        <w:tab/>
      </w:r>
      <w:r>
        <w:rPr>
          <w:w w:val="105"/>
        </w:rPr>
        <w:t>(</w:t>
      </w:r>
      <w:r>
        <w:rPr>
          <w:w w:val="105"/>
          <w:u w:val="single"/>
        </w:rPr>
        <w:t> </w:t>
        <w:tab/>
      </w:r>
      <w:r>
        <w:rPr>
          <w:w w:val="105"/>
        </w:rPr>
        <w:t>%) percent among the Limited Partners in the proportions to which their capital contributions set forth in paragraph 4 hereof bear to each</w:t>
      </w:r>
      <w:r>
        <w:rPr>
          <w:spacing w:val="-8"/>
          <w:w w:val="105"/>
        </w:rPr>
        <w:t> </w:t>
      </w:r>
      <w:r>
        <w:rPr>
          <w:w w:val="105"/>
        </w:rPr>
        <w:t>other.</w:t>
      </w:r>
    </w:p>
    <w:p>
      <w:pPr>
        <w:pStyle w:val="BodyText"/>
        <w:ind w:left="0"/>
        <w:jc w:val="left"/>
        <w:rPr>
          <w:sz w:val="22"/>
        </w:rPr>
      </w:pPr>
    </w:p>
    <w:p>
      <w:pPr>
        <w:pStyle w:val="BodyText"/>
        <w:ind w:left="0"/>
        <w:jc w:val="left"/>
        <w:rPr>
          <w:sz w:val="22"/>
        </w:rPr>
      </w:pPr>
    </w:p>
    <w:p>
      <w:pPr>
        <w:pStyle w:val="BodyText"/>
        <w:spacing w:before="7"/>
        <w:ind w:left="0"/>
        <w:jc w:val="left"/>
        <w:rPr>
          <w:sz w:val="20"/>
        </w:rPr>
      </w:pPr>
    </w:p>
    <w:p>
      <w:pPr>
        <w:spacing w:line="228" w:lineRule="auto" w:before="0"/>
        <w:ind w:left="100" w:right="0" w:firstLine="0"/>
        <w:jc w:val="left"/>
        <w:rPr>
          <w:rFonts w:ascii="Book Antiqua"/>
          <w:b/>
          <w:sz w:val="29"/>
        </w:rPr>
      </w:pPr>
      <w:r>
        <w:rPr>
          <w:rFonts w:ascii="Book Antiqua"/>
          <w:b/>
          <w:w w:val="105"/>
          <w:sz w:val="29"/>
        </w:rPr>
        <w:t>THIS IS A 5-PAGE AGREEMENT with another 8 pages of attached schedules. GET THE FULL FORM AT </w:t>
      </w:r>
      <w:hyperlink r:id="rId5">
        <w:r>
          <w:rPr>
            <w:rFonts w:ascii="Book Antiqua"/>
            <w:b/>
            <w:color w:val="0000FF"/>
            <w:w w:val="105"/>
            <w:sz w:val="29"/>
            <w:u w:val="single" w:color="0000FF"/>
          </w:rPr>
          <w:t>www.megadox.com/d/7362</w:t>
        </w:r>
        <w:r>
          <w:rPr>
            <w:rFonts w:ascii="Book Antiqua"/>
            <w:b/>
            <w:w w:val="105"/>
            <w:sz w:val="29"/>
          </w:rPr>
          <w:t>.</w:t>
        </w:r>
      </w:hyperlink>
    </w:p>
    <w:sectPr>
      <w:pgSz w:w="12240" w:h="15840"/>
      <w:pgMar w:top="6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Palatino Linotype">
    <w:altName w:val="Palatino Linotype"/>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720"/>
        <w:jc w:val="left"/>
      </w:pPr>
      <w:rPr>
        <w:rFonts w:hint="default" w:ascii="Book Antiqua" w:hAnsi="Book Antiqua" w:eastAsia="Book Antiqua" w:cs="Book Antiqua"/>
        <w:b/>
        <w:bCs/>
        <w:spacing w:val="0"/>
        <w:w w:val="103"/>
        <w:sz w:val="19"/>
        <w:szCs w:val="19"/>
      </w:rPr>
    </w:lvl>
    <w:lvl w:ilvl="1">
      <w:start w:val="1"/>
      <w:numFmt w:val="lowerLetter"/>
      <w:lvlText w:val="(%2)"/>
      <w:lvlJc w:val="left"/>
      <w:pPr>
        <w:ind w:left="1540" w:hanging="720"/>
        <w:jc w:val="left"/>
      </w:pPr>
      <w:rPr>
        <w:rFonts w:hint="default" w:ascii="Palatino Linotype" w:hAnsi="Palatino Linotype" w:eastAsia="Palatino Linotype" w:cs="Palatino Linotype"/>
        <w:spacing w:val="0"/>
        <w:w w:val="103"/>
        <w:sz w:val="19"/>
        <w:szCs w:val="19"/>
      </w:rPr>
    </w:lvl>
    <w:lvl w:ilvl="2">
      <w:start w:val="0"/>
      <w:numFmt w:val="bullet"/>
      <w:lvlText w:val="•"/>
      <w:lvlJc w:val="left"/>
      <w:pPr>
        <w:ind w:left="2433" w:hanging="720"/>
      </w:pPr>
      <w:rPr>
        <w:rFonts w:hint="default"/>
      </w:rPr>
    </w:lvl>
    <w:lvl w:ilvl="3">
      <w:start w:val="0"/>
      <w:numFmt w:val="bullet"/>
      <w:lvlText w:val="•"/>
      <w:lvlJc w:val="left"/>
      <w:pPr>
        <w:ind w:left="3326" w:hanging="720"/>
      </w:pPr>
      <w:rPr>
        <w:rFonts w:hint="default"/>
      </w:rPr>
    </w:lvl>
    <w:lvl w:ilvl="4">
      <w:start w:val="0"/>
      <w:numFmt w:val="bullet"/>
      <w:lvlText w:val="•"/>
      <w:lvlJc w:val="left"/>
      <w:pPr>
        <w:ind w:left="4220" w:hanging="720"/>
      </w:pPr>
      <w:rPr>
        <w:rFonts w:hint="default"/>
      </w:rPr>
    </w:lvl>
    <w:lvl w:ilvl="5">
      <w:start w:val="0"/>
      <w:numFmt w:val="bullet"/>
      <w:lvlText w:val="•"/>
      <w:lvlJc w:val="left"/>
      <w:pPr>
        <w:ind w:left="5113" w:hanging="720"/>
      </w:pPr>
      <w:rPr>
        <w:rFonts w:hint="default"/>
      </w:rPr>
    </w:lvl>
    <w:lvl w:ilvl="6">
      <w:start w:val="0"/>
      <w:numFmt w:val="bullet"/>
      <w:lvlText w:val="•"/>
      <w:lvlJc w:val="left"/>
      <w:pPr>
        <w:ind w:left="6006" w:hanging="720"/>
      </w:pPr>
      <w:rPr>
        <w:rFonts w:hint="default"/>
      </w:rPr>
    </w:lvl>
    <w:lvl w:ilvl="7">
      <w:start w:val="0"/>
      <w:numFmt w:val="bullet"/>
      <w:lvlText w:val="•"/>
      <w:lvlJc w:val="left"/>
      <w:pPr>
        <w:ind w:left="6900" w:hanging="720"/>
      </w:pPr>
      <w:rPr>
        <w:rFonts w:hint="default"/>
      </w:rPr>
    </w:lvl>
    <w:lvl w:ilvl="8">
      <w:start w:val="0"/>
      <w:numFmt w:val="bullet"/>
      <w:lvlText w:val="•"/>
      <w:lvlJc w:val="left"/>
      <w:pPr>
        <w:ind w:left="7793"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BodyText" w:type="paragraph">
    <w:name w:val="Body Text"/>
    <w:basedOn w:val="Normal"/>
    <w:uiPriority w:val="1"/>
    <w:qFormat/>
    <w:pPr>
      <w:ind w:left="1540"/>
      <w:jc w:val="both"/>
    </w:pPr>
    <w:rPr>
      <w:rFonts w:ascii="Palatino Linotype" w:hAnsi="Palatino Linotype" w:eastAsia="Palatino Linotype" w:cs="Palatino Linotype"/>
      <w:sz w:val="19"/>
      <w:szCs w:val="19"/>
    </w:rPr>
  </w:style>
  <w:style w:styleId="Heading1" w:type="paragraph">
    <w:name w:val="Heading 1"/>
    <w:basedOn w:val="Normal"/>
    <w:uiPriority w:val="1"/>
    <w:qFormat/>
    <w:pPr>
      <w:spacing w:before="191"/>
      <w:ind w:left="820" w:hanging="720"/>
      <w:outlineLvl w:val="1"/>
    </w:pPr>
    <w:rPr>
      <w:rFonts w:ascii="Book Antiqua" w:hAnsi="Book Antiqua" w:eastAsia="Book Antiqua" w:cs="Book Antiqua"/>
      <w:b/>
      <w:bCs/>
      <w:sz w:val="19"/>
      <w:szCs w:val="19"/>
    </w:rPr>
  </w:style>
  <w:style w:styleId="ListParagraph" w:type="paragraph">
    <w:name w:val="List Paragraph"/>
    <w:basedOn w:val="Normal"/>
    <w:uiPriority w:val="1"/>
    <w:qFormat/>
    <w:pPr>
      <w:ind w:left="820" w:hanging="720"/>
    </w:pPr>
    <w:rPr>
      <w:rFonts w:ascii="Palatino Linotype" w:hAnsi="Palatino Linotype" w:eastAsia="Palatino Linotype" w:cs="Palatino Linotype"/>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megadox.com/d/7362"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