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6"/>
        <w:ind w:left="2684" w:right="2664" w:firstLine="0"/>
        <w:jc w:val="center"/>
        <w:rPr>
          <w:sz w:val="36"/>
        </w:rPr>
      </w:pPr>
      <w:r>
        <w:rPr>
          <w:sz w:val="36"/>
        </w:rPr>
        <w:t>PROMISSORY NOTE</w:t>
      </w:r>
    </w:p>
    <w:p>
      <w:pPr>
        <w:pStyle w:val="BodyText"/>
        <w:spacing w:before="6"/>
        <w:rPr>
          <w:sz w:val="34"/>
        </w:rPr>
      </w:pPr>
    </w:p>
    <w:p>
      <w:pPr>
        <w:pStyle w:val="BodyText"/>
        <w:tabs>
          <w:tab w:pos="2295" w:val="left" w:leader="none"/>
          <w:tab w:pos="3317" w:val="left" w:leader="none"/>
          <w:tab w:pos="3748" w:val="left" w:leader="none"/>
        </w:tabs>
        <w:spacing w:line="350" w:lineRule="auto"/>
        <w:ind w:left="120" w:right="5109"/>
      </w:pPr>
      <w:r>
        <w:rPr>
          <w:color w:val="333333"/>
        </w:rPr>
        <w:t>Principal amount:</w:t>
      </w:r>
      <w:r>
        <w:rPr>
          <w:color w:val="333333"/>
          <w:spacing w:val="56"/>
        </w:rPr>
        <w:t> </w:t>
      </w:r>
      <w:r>
        <w:rPr>
          <w:color w:val="333333"/>
        </w:rPr>
        <w:t>$</w:t>
      </w:r>
      <w:r>
        <w:rPr>
          <w:color w:val="333333"/>
          <w:spacing w:val="-1"/>
        </w:rPr>
        <w:t> </w:t>
      </w:r>
      <w:r>
        <w:rPr>
          <w:color w:val="333333"/>
          <w:u w:val="single" w:color="323232"/>
        </w:rPr>
        <w:t> </w:t>
        <w:tab/>
        <w:tab/>
      </w:r>
      <w:r>
        <w:rPr>
          <w:color w:val="333333"/>
        </w:rPr>
        <w:t> Date:</w:t>
      </w:r>
      <w:r>
        <w:rPr>
          <w:color w:val="333333"/>
          <w:u w:val="single" w:color="323232"/>
        </w:rPr>
        <w:t> </w:t>
        <w:tab/>
      </w:r>
      <w:r>
        <w:rPr>
          <w:color w:val="333333"/>
        </w:rPr>
        <w:t>,</w:t>
      </w:r>
      <w:r>
        <w:rPr>
          <w:color w:val="333333"/>
          <w:spacing w:val="-1"/>
        </w:rPr>
        <w:t> </w:t>
      </w:r>
      <w:r>
        <w:rPr>
          <w:color w:val="333333"/>
        </w:rPr>
        <w:t>20</w:t>
      </w:r>
      <w:r>
        <w:rPr>
          <w:color w:val="333333"/>
          <w:u w:val="single" w:color="323232"/>
        </w:rPr>
        <w:t> </w:t>
        <w:tab/>
      </w:r>
    </w:p>
    <w:p>
      <w:pPr>
        <w:pStyle w:val="BodyText"/>
        <w:spacing w:before="8"/>
        <w:rPr>
          <w:sz w:val="26"/>
        </w:rPr>
      </w:pPr>
    </w:p>
    <w:p>
      <w:pPr>
        <w:pStyle w:val="BodyText"/>
        <w:tabs>
          <w:tab w:pos="5236" w:val="left" w:leader="none"/>
        </w:tabs>
        <w:spacing w:before="100"/>
        <w:ind w:left="120"/>
      </w:pPr>
      <w:r>
        <w:rPr>
          <w:color w:val="333333"/>
        </w:rPr>
        <w:t>FOR VALUE</w:t>
      </w:r>
      <w:r>
        <w:rPr>
          <w:color w:val="333333"/>
          <w:spacing w:val="-5"/>
        </w:rPr>
        <w:t> </w:t>
      </w:r>
      <w:r>
        <w:rPr>
          <w:color w:val="333333"/>
        </w:rPr>
        <w:t>RECEIVED,</w:t>
      </w:r>
      <w:r>
        <w:rPr>
          <w:color w:val="333333"/>
          <w:spacing w:val="-2"/>
        </w:rPr>
        <w:t> </w:t>
      </w:r>
      <w:r>
        <w:rPr>
          <w:color w:val="333333"/>
        </w:rPr>
        <w:t>I,</w:t>
      </w:r>
      <w:r>
        <w:rPr>
          <w:color w:val="333333"/>
          <w:u w:val="single" w:color="333333"/>
        </w:rPr>
        <w:t> </w:t>
        <w:tab/>
      </w:r>
      <w:r>
        <w:rPr>
          <w:color w:val="333333"/>
        </w:rPr>
        <w:t>(Borrower) promise</w:t>
      </w:r>
      <w:r>
        <w:rPr>
          <w:color w:val="333333"/>
          <w:spacing w:val="-3"/>
        </w:rPr>
        <w:t> </w:t>
      </w:r>
      <w:r>
        <w:rPr>
          <w:color w:val="333333"/>
        </w:rPr>
        <w:t>to</w:t>
      </w:r>
    </w:p>
    <w:p>
      <w:pPr>
        <w:pStyle w:val="BodyText"/>
        <w:tabs>
          <w:tab w:pos="1924" w:val="left" w:leader="none"/>
          <w:tab w:pos="2035" w:val="left" w:leader="none"/>
          <w:tab w:pos="3451" w:val="left" w:leader="none"/>
          <w:tab w:pos="3794" w:val="left" w:leader="none"/>
          <w:tab w:pos="4892" w:val="left" w:leader="none"/>
          <w:tab w:pos="4962" w:val="left" w:leader="none"/>
          <w:tab w:pos="6023" w:val="left" w:leader="none"/>
          <w:tab w:pos="7060" w:val="left" w:leader="none"/>
          <w:tab w:pos="7689" w:val="left" w:leader="none"/>
          <w:tab w:pos="7799" w:val="left" w:leader="none"/>
          <w:tab w:pos="8239" w:val="left" w:leader="none"/>
        </w:tabs>
        <w:spacing w:line="316" w:lineRule="auto" w:before="87"/>
        <w:ind w:left="120" w:right="120"/>
      </w:pPr>
      <w:r>
        <w:rPr>
          <w:color w:val="333333"/>
        </w:rPr>
        <w:t>repay</w:t>
      </w:r>
      <w:r>
        <w:rPr>
          <w:color w:val="333333"/>
          <w:u w:val="single" w:color="333333"/>
        </w:rPr>
        <w:t> </w:t>
        <w:tab/>
        <w:tab/>
      </w:r>
      <w:r>
        <w:rPr>
          <w:color w:val="333333"/>
        </w:rPr>
        <w:t>(Lender) the</w:t>
      </w:r>
      <w:r>
        <w:rPr>
          <w:color w:val="333333"/>
          <w:spacing w:val="-7"/>
        </w:rPr>
        <w:t> </w:t>
      </w:r>
      <w:r>
        <w:rPr>
          <w:color w:val="333333"/>
        </w:rPr>
        <w:t>sum</w:t>
      </w:r>
      <w:r>
        <w:rPr>
          <w:color w:val="333333"/>
          <w:spacing w:val="-3"/>
        </w:rPr>
        <w:t> </w:t>
      </w:r>
      <w:r>
        <w:rPr>
          <w:color w:val="333333"/>
        </w:rPr>
        <w:t>of</w:t>
      </w:r>
      <w:r>
        <w:rPr>
          <w:color w:val="333333"/>
          <w:u w:val="single" w:color="333333"/>
        </w:rPr>
        <w:t> </w:t>
        <w:tab/>
        <w:tab/>
        <w:tab/>
        <w:tab/>
        <w:tab/>
        <w:tab/>
      </w:r>
      <w:r>
        <w:rPr>
          <w:color w:val="333333"/>
        </w:rPr>
        <w:t>dollars ($</w:t>
      </w:r>
      <w:r>
        <w:rPr>
          <w:color w:val="333333"/>
          <w:u w:val="single" w:color="333333"/>
        </w:rPr>
        <w:t> </w:t>
        <w:tab/>
        <w:tab/>
      </w:r>
      <w:r>
        <w:rPr>
          <w:color w:val="333333"/>
        </w:rPr>
        <w:t>), plus interest at the yearly</w:t>
      </w:r>
      <w:r>
        <w:rPr>
          <w:color w:val="333333"/>
          <w:spacing w:val="-15"/>
        </w:rPr>
        <w:t> </w:t>
      </w:r>
      <w:r>
        <w:rPr>
          <w:color w:val="333333"/>
        </w:rPr>
        <w:t>rate</w:t>
      </w:r>
      <w:r>
        <w:rPr>
          <w:color w:val="333333"/>
          <w:spacing w:val="-1"/>
        </w:rPr>
        <w:t> </w:t>
      </w:r>
      <w:r>
        <w:rPr>
          <w:color w:val="333333"/>
        </w:rPr>
        <w:t>of</w:t>
      </w:r>
      <w:r>
        <w:rPr>
          <w:color w:val="333333"/>
          <w:u w:val="single" w:color="333333"/>
        </w:rPr>
        <w:t> </w:t>
        <w:tab/>
        <w:tab/>
        <w:tab/>
      </w:r>
      <w:r>
        <w:rPr>
          <w:color w:val="333333"/>
          <w:spacing w:val="4"/>
        </w:rPr>
        <w:t>(</w:t>
      </w:r>
      <w:r>
        <w:rPr>
          <w:color w:val="333333"/>
          <w:spacing w:val="4"/>
          <w:u w:val="single" w:color="333333"/>
        </w:rPr>
        <w:t> </w:t>
        <w:tab/>
      </w:r>
      <w:r>
        <w:rPr>
          <w:color w:val="333333"/>
        </w:rPr>
        <w:t>%). Repayment shall be made in monthly payments over a month period, consisting of</w:t>
      </w:r>
      <w:r>
        <w:rPr>
          <w:color w:val="333333"/>
          <w:u w:val="single" w:color="333333"/>
        </w:rPr>
        <w:t> </w:t>
        <w:tab/>
        <w:tab/>
        <w:tab/>
      </w:r>
      <w:r>
        <w:rPr>
          <w:color w:val="333333"/>
        </w:rPr>
        <w:t>($</w:t>
      </w:r>
      <w:r>
        <w:rPr>
          <w:color w:val="333333"/>
          <w:u w:val="single" w:color="333333"/>
        </w:rPr>
        <w:t> </w:t>
        <w:tab/>
        <w:tab/>
      </w:r>
      <w:r>
        <w:rPr>
          <w:color w:val="333333"/>
        </w:rPr>
        <w:t>) per installment</w:t>
      </w:r>
      <w:r>
        <w:rPr>
          <w:color w:val="333333"/>
          <w:spacing w:val="-6"/>
        </w:rPr>
        <w:t> </w:t>
      </w:r>
      <w:r>
        <w:rPr>
          <w:color w:val="333333"/>
        </w:rPr>
        <w:t>on</w:t>
      </w:r>
      <w:r>
        <w:rPr>
          <w:color w:val="333333"/>
          <w:spacing w:val="-2"/>
        </w:rPr>
        <w:t> </w:t>
      </w:r>
      <w:r>
        <w:rPr>
          <w:color w:val="333333"/>
        </w:rPr>
        <w:t>the</w:t>
      </w:r>
      <w:r>
        <w:rPr>
          <w:color w:val="333333"/>
          <w:u w:val="single" w:color="333333"/>
        </w:rPr>
        <w:t> </w:t>
        <w:tab/>
        <w:tab/>
        <w:tab/>
      </w:r>
      <w:r>
        <w:rPr>
          <w:color w:val="333333"/>
        </w:rPr>
        <w:t>day of the month,</w:t>
      </w:r>
      <w:r>
        <w:rPr>
          <w:color w:val="333333"/>
          <w:spacing w:val="-8"/>
        </w:rPr>
        <w:t> </w:t>
      </w:r>
      <w:r>
        <w:rPr>
          <w:color w:val="333333"/>
        </w:rPr>
        <w:t>commencing</w:t>
      </w:r>
      <w:r>
        <w:rPr>
          <w:color w:val="333333"/>
          <w:spacing w:val="-3"/>
        </w:rPr>
        <w:t> </w:t>
      </w:r>
      <w:r>
        <w:rPr>
          <w:color w:val="333333"/>
        </w:rPr>
        <w:t>on</w:t>
      </w:r>
      <w:r>
        <w:rPr>
          <w:color w:val="333333"/>
          <w:u w:val="single" w:color="333333"/>
        </w:rPr>
        <w:t> </w:t>
        <w:tab/>
        <w:tab/>
        <w:tab/>
        <w:tab/>
        <w:tab/>
      </w:r>
      <w:r>
        <w:rPr>
          <w:color w:val="333333"/>
        </w:rPr>
        <w:t>,</w:t>
      </w:r>
      <w:r>
        <w:rPr>
          <w:color w:val="333333"/>
          <w:spacing w:val="1"/>
        </w:rPr>
        <w:t> </w:t>
      </w:r>
      <w:r>
        <w:rPr>
          <w:color w:val="333333"/>
        </w:rPr>
        <w:t>20</w:t>
      </w:r>
      <w:r>
        <w:rPr>
          <w:color w:val="333333"/>
          <w:u w:val="single" w:color="333333"/>
        </w:rPr>
        <w:t> </w:t>
        <w:tab/>
      </w:r>
      <w:r>
        <w:rPr>
          <w:color w:val="333333"/>
        </w:rPr>
        <w:t>, with the final payment</w:t>
      </w:r>
      <w:r>
        <w:rPr>
          <w:color w:val="333333"/>
          <w:spacing w:val="-1"/>
        </w:rPr>
        <w:t> </w:t>
      </w:r>
      <w:r>
        <w:rPr>
          <w:color w:val="333333"/>
        </w:rPr>
        <w:t>due</w:t>
      </w:r>
      <w:r>
        <w:rPr>
          <w:color w:val="333333"/>
          <w:spacing w:val="-2"/>
        </w:rPr>
        <w:t> </w:t>
      </w:r>
      <w:r>
        <w:rPr>
          <w:color w:val="333333"/>
        </w:rPr>
        <w:t>on</w:t>
      </w:r>
      <w:r>
        <w:rPr>
          <w:color w:val="333333"/>
          <w:u w:val="single" w:color="333333"/>
        </w:rPr>
        <w:t> </w:t>
        <w:tab/>
        <w:tab/>
        <w:tab/>
        <w:tab/>
      </w:r>
      <w:r>
        <w:rPr>
          <w:color w:val="333333"/>
        </w:rPr>
        <w:t>, 20</w:t>
      </w:r>
      <w:r>
        <w:rPr>
          <w:color w:val="333333"/>
          <w:u w:val="single" w:color="333333"/>
        </w:rPr>
        <w:t> </w:t>
        <w:tab/>
      </w:r>
      <w:r>
        <w:rPr>
          <w:color w:val="333333"/>
        </w:rPr>
        <w:t>, or until the principal is paid in full. If the Borrower fails to make an installment payment when due or fails to comply with</w:t>
      </w:r>
      <w:r>
        <w:rPr>
          <w:color w:val="333333"/>
          <w:spacing w:val="-5"/>
        </w:rPr>
        <w:t> </w:t>
      </w:r>
      <w:r>
        <w:rPr>
          <w:color w:val="333333"/>
        </w:rPr>
        <w:t>any</w:t>
      </w:r>
      <w:r>
        <w:rPr>
          <w:color w:val="333333"/>
          <w:spacing w:val="-3"/>
        </w:rPr>
        <w:t> </w:t>
      </w:r>
      <w:r>
        <w:rPr>
          <w:color w:val="333333"/>
        </w:rPr>
        <w:t>other</w:t>
      </w:r>
      <w:r>
        <w:rPr>
          <w:color w:val="333333"/>
          <w:spacing w:val="-4"/>
        </w:rPr>
        <w:t> </w:t>
      </w:r>
      <w:r>
        <w:rPr>
          <w:color w:val="333333"/>
        </w:rPr>
        <w:t>term</w:t>
      </w:r>
      <w:r>
        <w:rPr>
          <w:color w:val="333333"/>
          <w:spacing w:val="-4"/>
        </w:rPr>
        <w:t> </w:t>
      </w:r>
      <w:r>
        <w:rPr>
          <w:color w:val="333333"/>
        </w:rPr>
        <w:t>of</w:t>
      </w:r>
      <w:r>
        <w:rPr>
          <w:color w:val="333333"/>
          <w:spacing w:val="-5"/>
        </w:rPr>
        <w:t> </w:t>
      </w:r>
      <w:r>
        <w:rPr>
          <w:color w:val="333333"/>
        </w:rPr>
        <w:t>this</w:t>
      </w:r>
      <w:r>
        <w:rPr>
          <w:color w:val="333333"/>
          <w:spacing w:val="-4"/>
        </w:rPr>
        <w:t> </w:t>
      </w:r>
      <w:r>
        <w:rPr>
          <w:color w:val="333333"/>
        </w:rPr>
        <w:t>promissory</w:t>
      </w:r>
      <w:r>
        <w:rPr>
          <w:color w:val="333333"/>
          <w:spacing w:val="-4"/>
        </w:rPr>
        <w:t> </w:t>
      </w:r>
      <w:r>
        <w:rPr>
          <w:color w:val="333333"/>
        </w:rPr>
        <w:t>note,</w:t>
      </w:r>
      <w:r>
        <w:rPr>
          <w:color w:val="333333"/>
          <w:spacing w:val="-4"/>
        </w:rPr>
        <w:t> </w:t>
      </w:r>
      <w:r>
        <w:rPr>
          <w:color w:val="333333"/>
        </w:rPr>
        <w:t>the</w:t>
      </w:r>
      <w:r>
        <w:rPr>
          <w:color w:val="333333"/>
          <w:spacing w:val="-4"/>
        </w:rPr>
        <w:t> </w:t>
      </w:r>
      <w:r>
        <w:rPr>
          <w:color w:val="333333"/>
        </w:rPr>
        <w:t>loan</w:t>
      </w:r>
      <w:r>
        <w:rPr>
          <w:color w:val="333333"/>
          <w:spacing w:val="-4"/>
        </w:rPr>
        <w:t> </w:t>
      </w:r>
      <w:r>
        <w:rPr>
          <w:color w:val="333333"/>
        </w:rPr>
        <w:t>will</w:t>
      </w:r>
      <w:r>
        <w:rPr>
          <w:color w:val="333333"/>
          <w:spacing w:val="-5"/>
        </w:rPr>
        <w:t> </w:t>
      </w:r>
      <w:r>
        <w:rPr>
          <w:color w:val="333333"/>
        </w:rPr>
        <w:t>be</w:t>
      </w:r>
      <w:r>
        <w:rPr>
          <w:color w:val="333333"/>
          <w:spacing w:val="-4"/>
        </w:rPr>
        <w:t> </w:t>
      </w:r>
      <w:r>
        <w:rPr>
          <w:color w:val="333333"/>
        </w:rPr>
        <w:t>considered</w:t>
      </w:r>
      <w:r>
        <w:rPr>
          <w:color w:val="333333"/>
          <w:spacing w:val="-4"/>
        </w:rPr>
        <w:t> </w:t>
      </w:r>
      <w:r>
        <w:rPr>
          <w:color w:val="333333"/>
        </w:rPr>
        <w:t>in</w:t>
      </w:r>
      <w:r>
        <w:rPr>
          <w:color w:val="333333"/>
          <w:spacing w:val="-4"/>
        </w:rPr>
        <w:t> </w:t>
      </w:r>
      <w:r>
        <w:rPr>
          <w:color w:val="333333"/>
        </w:rPr>
        <w:t>default and the Borrower will contact the Lender promptly to make arrangements to bring the loan back into compliance with the terms above. Every effort will be made by the Borrower to make payments on time, and comply with the terms of this</w:t>
      </w:r>
      <w:r>
        <w:rPr>
          <w:color w:val="333333"/>
          <w:spacing w:val="-2"/>
        </w:rPr>
        <w:t> </w:t>
      </w:r>
      <w:r>
        <w:rPr>
          <w:color w:val="333333"/>
        </w:rPr>
        <w:t>note.</w:t>
      </w:r>
    </w:p>
    <w:p>
      <w:pPr>
        <w:pStyle w:val="BodyText"/>
        <w:spacing w:before="9"/>
        <w:rPr>
          <w:sz w:val="31"/>
        </w:rPr>
      </w:pPr>
    </w:p>
    <w:p>
      <w:pPr>
        <w:pStyle w:val="BodyText"/>
        <w:ind w:left="814"/>
        <w:rPr>
          <w:i/>
        </w:rPr>
      </w:pPr>
      <w:r>
        <w:rPr/>
        <w:pict>
          <v:group style="position:absolute;margin-left:89.694298pt;margin-top:-7.743699pt;width:32.35pt;height:20.45pt;mso-position-horizontal-relative:page;mso-position-vertical-relative:paragraph;z-index:15728640" coordorigin="1794,-155" coordsize="647,409">
            <v:rect style="position:absolute;left:1800;top:248;width:639;height:5" filled="true" fillcolor="#333333" stroked="false">
              <v:fill type="solid"/>
            </v:rect>
            <v:rect style="position:absolute;left:1803;top:-145;width:627;height:383" filled="false" stroked="true" strokeweight="1pt" strokecolor="#000000">
              <v:stroke dashstyle="solid"/>
            </v:rect>
            <w10:wrap type="none"/>
          </v:group>
        </w:pict>
      </w:r>
      <w:r>
        <w:rPr>
          <w:color w:val="333333"/>
        </w:rPr>
        <w:t>- Check Here if there is collateral (</w:t>
      </w:r>
      <w:r>
        <w:rPr>
          <w:i/>
          <w:color w:val="333333"/>
        </w:rPr>
        <w:t>Optional)</w:t>
      </w:r>
    </w:p>
    <w:p>
      <w:pPr>
        <w:pStyle w:val="BodyText"/>
        <w:rPr>
          <w:i/>
          <w:sz w:val="20"/>
        </w:rPr>
      </w:pPr>
    </w:p>
    <w:p>
      <w:pPr>
        <w:pStyle w:val="BodyText"/>
        <w:tabs>
          <w:tab w:pos="2654" w:val="left" w:leader="none"/>
          <w:tab w:pos="6273" w:val="left" w:leader="none"/>
        </w:tabs>
        <w:spacing w:line="316" w:lineRule="auto" w:before="220"/>
        <w:ind w:left="120" w:right="280"/>
      </w:pPr>
      <w:r>
        <w:rPr>
          <w:color w:val="333333"/>
        </w:rPr>
        <w:t>A</w:t>
      </w:r>
      <w:r>
        <w:rPr>
          <w:color w:val="333333"/>
          <w:u w:val="single" w:color="333333"/>
        </w:rPr>
        <w:t> </w:t>
        <w:tab/>
      </w:r>
      <w:r>
        <w:rPr>
          <w:color w:val="333333"/>
        </w:rPr>
        <w:t>to be owned by</w:t>
      </w:r>
      <w:r>
        <w:rPr>
          <w:color w:val="333333"/>
          <w:u w:val="single" w:color="333333"/>
        </w:rPr>
        <w:t> </w:t>
        <w:tab/>
      </w:r>
      <w:r>
        <w:rPr>
          <w:color w:val="333333"/>
        </w:rPr>
        <w:t>, is hereby pledged</w:t>
      </w:r>
      <w:r>
        <w:rPr>
          <w:color w:val="333333"/>
          <w:spacing w:val="-14"/>
        </w:rPr>
        <w:t> </w:t>
      </w:r>
      <w:r>
        <w:rPr>
          <w:color w:val="333333"/>
        </w:rPr>
        <w:t>as security for the note payable, and title to it will transfer to the Lenders in the event of default of payment of the loan. Any proceeds from the sale of the Collateral shall accrue to the Lenders until the note is paid off in</w:t>
      </w:r>
      <w:r>
        <w:rPr>
          <w:color w:val="333333"/>
          <w:spacing w:val="-23"/>
        </w:rPr>
        <w:t> </w:t>
      </w:r>
      <w:r>
        <w:rPr>
          <w:color w:val="333333"/>
        </w:rPr>
        <w:t>full.</w:t>
      </w:r>
    </w:p>
    <w:p>
      <w:pPr>
        <w:pStyle w:val="BodyText"/>
        <w:spacing w:line="316" w:lineRule="auto"/>
        <w:ind w:left="120" w:right="645"/>
      </w:pPr>
      <w:r>
        <w:rPr>
          <w:color w:val="333333"/>
        </w:rPr>
        <w:t>The Borrower may repay this note at any time in whole or in part without premium or penalty. If prepayments are high enough, the loan may be re- amortized. The Borrower must promptly inform the Lender of any change in name or address.</w:t>
      </w:r>
    </w:p>
    <w:p>
      <w:pPr>
        <w:spacing w:after="0" w:line="316" w:lineRule="auto"/>
        <w:sectPr>
          <w:type w:val="continuous"/>
          <w:pgSz w:w="12240" w:h="15840"/>
          <w:pgMar w:top="1360" w:bottom="280" w:left="1680" w:right="1700"/>
        </w:sectPr>
      </w:pPr>
    </w:p>
    <w:p>
      <w:pPr>
        <w:pStyle w:val="BodyText"/>
        <w:rPr>
          <w:sz w:val="20"/>
        </w:rPr>
      </w:pPr>
    </w:p>
    <w:p>
      <w:pPr>
        <w:pStyle w:val="BodyText"/>
        <w:rPr>
          <w:sz w:val="29"/>
        </w:rPr>
      </w:pPr>
    </w:p>
    <w:p>
      <w:pPr>
        <w:spacing w:before="100"/>
        <w:ind w:left="2684" w:right="2665" w:firstLine="0"/>
        <w:jc w:val="center"/>
        <w:rPr>
          <w:rFonts w:ascii="Edwardian Script ITC"/>
          <w:sz w:val="72"/>
        </w:rPr>
      </w:pPr>
      <w:r>
        <w:rPr>
          <w:rFonts w:ascii="Edwardian Script ITC"/>
          <w:color w:val="333333"/>
          <w:sz w:val="72"/>
        </w:rPr>
        <w:t>Signature Page</w:t>
      </w:r>
    </w:p>
    <w:p>
      <w:pPr>
        <w:pStyle w:val="BodyText"/>
        <w:tabs>
          <w:tab w:pos="6819" w:val="left" w:leader="none"/>
        </w:tabs>
        <w:spacing w:before="451"/>
        <w:ind w:left="120"/>
      </w:pPr>
      <w:r>
        <w:rPr>
          <w:color w:val="333333"/>
        </w:rPr>
        <w:t>Borrower’s Signature: </w:t>
      </w:r>
      <w:r>
        <w:rPr>
          <w:color w:val="333333"/>
          <w:u w:val="single" w:color="323232"/>
        </w:rPr>
        <w:t> </w:t>
        <w:tab/>
      </w:r>
    </w:p>
    <w:p>
      <w:pPr>
        <w:pStyle w:val="BodyText"/>
        <w:rPr>
          <w:sz w:val="20"/>
        </w:rPr>
      </w:pPr>
    </w:p>
    <w:p>
      <w:pPr>
        <w:pStyle w:val="BodyText"/>
        <w:tabs>
          <w:tab w:pos="6969" w:val="left" w:leader="none"/>
        </w:tabs>
        <w:spacing w:before="220"/>
        <w:ind w:left="120"/>
      </w:pPr>
      <w:r>
        <w:rPr>
          <w:color w:val="333333"/>
        </w:rPr>
        <w:t>Borrower’s Printed</w:t>
      </w:r>
      <w:r>
        <w:rPr>
          <w:color w:val="333333"/>
          <w:spacing w:val="-4"/>
        </w:rPr>
        <w:t> </w:t>
      </w:r>
      <w:r>
        <w:rPr>
          <w:color w:val="333333"/>
        </w:rPr>
        <w:t>Name:</w:t>
      </w:r>
      <w:r>
        <w:rPr>
          <w:color w:val="333333"/>
          <w:spacing w:val="-1"/>
        </w:rPr>
        <w:t> </w:t>
      </w:r>
      <w:r>
        <w:rPr>
          <w:color w:val="333333"/>
          <w:u w:val="single" w:color="323232"/>
        </w:rPr>
        <w:t> </w:t>
        <w:tab/>
      </w:r>
    </w:p>
    <w:p>
      <w:pPr>
        <w:pStyle w:val="BodyText"/>
        <w:rPr>
          <w:sz w:val="20"/>
        </w:rPr>
      </w:pPr>
    </w:p>
    <w:p>
      <w:pPr>
        <w:pStyle w:val="BodyText"/>
        <w:spacing w:before="220"/>
        <w:ind w:left="120"/>
      </w:pPr>
      <w:r>
        <w:rPr>
          <w:color w:val="333333"/>
        </w:rPr>
        <w:t>Borrower’s</w:t>
      </w:r>
    </w:p>
    <w:p>
      <w:pPr>
        <w:pStyle w:val="BodyText"/>
        <w:tabs>
          <w:tab w:pos="8423" w:val="left" w:leader="none"/>
        </w:tabs>
        <w:spacing w:before="87"/>
        <w:ind w:left="120"/>
      </w:pPr>
      <w:r>
        <w:rPr>
          <w:color w:val="333333"/>
        </w:rPr>
        <w:t>Address: </w:t>
      </w:r>
      <w:r>
        <w:rPr>
          <w:color w:val="333333"/>
          <w:spacing w:val="-1"/>
        </w:rPr>
        <w:t> </w:t>
      </w:r>
      <w:r>
        <w:rPr>
          <w:color w:val="333333"/>
          <w:u w:val="single" w:color="323232"/>
        </w:rPr>
        <w:t> </w:t>
        <w:tab/>
      </w:r>
    </w:p>
    <w:p>
      <w:pPr>
        <w:pStyle w:val="BodyText"/>
        <w:rPr>
          <w:sz w:val="20"/>
        </w:rPr>
      </w:pPr>
    </w:p>
    <w:p>
      <w:pPr>
        <w:pStyle w:val="BodyText"/>
        <w:tabs>
          <w:tab w:pos="4875" w:val="left" w:leader="none"/>
          <w:tab w:pos="5742" w:val="left" w:leader="none"/>
          <w:tab w:pos="8605" w:val="left" w:leader="none"/>
        </w:tabs>
        <w:spacing w:before="220"/>
        <w:ind w:left="120"/>
      </w:pPr>
      <w:r>
        <w:rPr>
          <w:color w:val="333333"/>
        </w:rPr>
        <w:t>Phone(s):</w:t>
      </w:r>
      <w:r>
        <w:rPr>
          <w:color w:val="333333"/>
          <w:u w:val="single" w:color="323232"/>
        </w:rPr>
        <w:t> </w:t>
        <w:tab/>
      </w:r>
      <w:r>
        <w:rPr>
          <w:color w:val="333333"/>
        </w:rPr>
        <w:tab/>
        <w:t>Email:</w:t>
      </w:r>
      <w:r>
        <w:rPr>
          <w:color w:val="333333"/>
          <w:u w:val="single" w:color="323232"/>
        </w:rPr>
        <w:t> </w:t>
        <w:tab/>
      </w:r>
    </w:p>
    <w:p>
      <w:pPr>
        <w:pStyle w:val="BodyText"/>
        <w:rPr>
          <w:sz w:val="20"/>
        </w:rPr>
      </w:pPr>
    </w:p>
    <w:p>
      <w:pPr>
        <w:pStyle w:val="BodyText"/>
        <w:rPr>
          <w:sz w:val="20"/>
        </w:rPr>
      </w:pPr>
    </w:p>
    <w:p>
      <w:pPr>
        <w:pStyle w:val="BodyText"/>
        <w:spacing w:before="3"/>
        <w:rPr>
          <w:sz w:val="22"/>
        </w:rPr>
      </w:pPr>
    </w:p>
    <w:p>
      <w:pPr>
        <w:pStyle w:val="BodyText"/>
        <w:tabs>
          <w:tab w:pos="7554" w:val="left" w:leader="none"/>
        </w:tabs>
        <w:spacing w:before="100"/>
        <w:ind w:left="120"/>
      </w:pPr>
      <w:r>
        <w:rPr>
          <w:color w:val="333333"/>
        </w:rPr>
        <w:t>Lender’s</w:t>
      </w:r>
      <w:r>
        <w:rPr>
          <w:color w:val="333333"/>
          <w:spacing w:val="-7"/>
        </w:rPr>
        <w:t> </w:t>
      </w:r>
      <w:r>
        <w:rPr>
          <w:color w:val="333333"/>
        </w:rPr>
        <w:t>Signature: </w:t>
      </w:r>
      <w:r>
        <w:rPr>
          <w:color w:val="333333"/>
          <w:spacing w:val="1"/>
        </w:rPr>
        <w:t> </w:t>
      </w:r>
      <w:r>
        <w:rPr>
          <w:color w:val="333333"/>
          <w:u w:val="single" w:color="323232"/>
        </w:rPr>
        <w:t> </w:t>
        <w:tab/>
      </w:r>
    </w:p>
    <w:p>
      <w:pPr>
        <w:pStyle w:val="BodyText"/>
        <w:rPr>
          <w:sz w:val="20"/>
        </w:rPr>
      </w:pPr>
    </w:p>
    <w:p>
      <w:pPr>
        <w:pStyle w:val="BodyText"/>
        <w:tabs>
          <w:tab w:pos="7490" w:val="left" w:leader="none"/>
        </w:tabs>
        <w:spacing w:before="220"/>
        <w:ind w:left="120"/>
      </w:pPr>
      <w:r>
        <w:rPr>
          <w:color w:val="333333"/>
        </w:rPr>
        <w:t>Lender’s Printed</w:t>
      </w:r>
      <w:r>
        <w:rPr>
          <w:color w:val="333333"/>
          <w:spacing w:val="-11"/>
        </w:rPr>
        <w:t> </w:t>
      </w:r>
      <w:r>
        <w:rPr>
          <w:color w:val="333333"/>
        </w:rPr>
        <w:t>Name:</w:t>
      </w:r>
      <w:r>
        <w:rPr>
          <w:color w:val="333333"/>
          <w:spacing w:val="-1"/>
        </w:rPr>
        <w:t> </w:t>
      </w:r>
      <w:r>
        <w:rPr>
          <w:color w:val="333333"/>
          <w:u w:val="single" w:color="323232"/>
        </w:rPr>
        <w:t> </w:t>
        <w:tab/>
      </w:r>
    </w:p>
    <w:p>
      <w:pPr>
        <w:pStyle w:val="BodyText"/>
        <w:rPr>
          <w:sz w:val="20"/>
        </w:rPr>
      </w:pPr>
    </w:p>
    <w:p>
      <w:pPr>
        <w:pStyle w:val="BodyText"/>
        <w:spacing w:before="220"/>
        <w:ind w:left="120"/>
      </w:pPr>
      <w:r>
        <w:rPr>
          <w:color w:val="333333"/>
        </w:rPr>
        <w:t>Permanent Address:</w:t>
      </w:r>
    </w:p>
    <w:p>
      <w:pPr>
        <w:pStyle w:val="BodyText"/>
        <w:spacing w:before="5"/>
        <w:rPr>
          <w:sz w:val="25"/>
        </w:rPr>
      </w:pPr>
      <w:r>
        <w:rPr/>
        <w:pict>
          <v:shape style="position:absolute;margin-left:90pt;margin-top:16.749964pt;width:362.75pt;height:.1pt;mso-position-horizontal-relative:page;mso-position-vertical-relative:paragraph;z-index:-15728128;mso-wrap-distance-left:0;mso-wrap-distance-right:0" coordorigin="1800,335" coordsize="7255,0" path="m1800,335l9054,335e" filled="false" stroked="true" strokeweight=".576pt" strokecolor="#323232">
            <v:path arrowok="t"/>
            <v:stroke dashstyle="solid"/>
            <w10:wrap type="topAndBottom"/>
          </v:shape>
        </w:pict>
      </w:r>
    </w:p>
    <w:p>
      <w:pPr>
        <w:pStyle w:val="BodyText"/>
        <w:spacing w:before="8"/>
        <w:rPr>
          <w:sz w:val="29"/>
        </w:rPr>
      </w:pPr>
    </w:p>
    <w:p>
      <w:pPr>
        <w:pStyle w:val="BodyText"/>
        <w:tabs>
          <w:tab w:pos="4449" w:val="left" w:leader="none"/>
          <w:tab w:pos="5663" w:val="left" w:leader="none"/>
          <w:tab w:pos="8681" w:val="left" w:leader="none"/>
        </w:tabs>
        <w:spacing w:before="100"/>
        <w:ind w:left="120"/>
      </w:pPr>
      <w:r>
        <w:rPr>
          <w:color w:val="333333"/>
        </w:rPr>
        <w:t>Phone(s):</w:t>
      </w:r>
      <w:r>
        <w:rPr>
          <w:color w:val="333333"/>
          <w:u w:val="single" w:color="333333"/>
        </w:rPr>
        <w:t> </w:t>
        <w:tab/>
      </w:r>
      <w:r>
        <w:rPr>
          <w:color w:val="333333"/>
        </w:rPr>
        <w:tab/>
        <w:t>Email:</w:t>
      </w:r>
      <w:r>
        <w:rPr>
          <w:color w:val="333333"/>
          <w:u w:val="single" w:color="323232"/>
        </w:rPr>
        <w:t> </w:t>
        <w:tab/>
      </w:r>
    </w:p>
    <w:p>
      <w:pPr>
        <w:pStyle w:val="BodyText"/>
        <w:rPr>
          <w:sz w:val="20"/>
        </w:rPr>
      </w:pPr>
    </w:p>
    <w:p>
      <w:pPr>
        <w:pStyle w:val="BodyText"/>
        <w:rPr>
          <w:sz w:val="20"/>
        </w:rPr>
      </w:pPr>
    </w:p>
    <w:p>
      <w:pPr>
        <w:pStyle w:val="BodyText"/>
        <w:spacing w:before="3"/>
        <w:rPr>
          <w:sz w:val="22"/>
        </w:rPr>
      </w:pPr>
    </w:p>
    <w:p>
      <w:pPr>
        <w:pStyle w:val="BodyText"/>
        <w:spacing w:before="100"/>
        <w:ind w:left="120"/>
      </w:pPr>
      <w:r>
        <w:rPr>
          <w:color w:val="333333"/>
        </w:rPr>
        <w:t>Witness</w:t>
      </w:r>
    </w:p>
    <w:p>
      <w:pPr>
        <w:pStyle w:val="BodyText"/>
        <w:tabs>
          <w:tab w:pos="8744" w:val="left" w:leader="none"/>
        </w:tabs>
        <w:spacing w:before="87"/>
        <w:ind w:left="120"/>
      </w:pPr>
      <w:r>
        <w:rPr>
          <w:color w:val="333333"/>
        </w:rPr>
        <w:t>Signature: </w:t>
      </w:r>
      <w:r>
        <w:rPr>
          <w:color w:val="333333"/>
          <w:spacing w:val="-1"/>
        </w:rPr>
        <w:t> </w:t>
      </w:r>
      <w:r>
        <w:rPr>
          <w:color w:val="333333"/>
          <w:u w:val="single" w:color="323232"/>
        </w:rPr>
        <w:t> </w:t>
        <w:tab/>
      </w:r>
    </w:p>
    <w:p>
      <w:pPr>
        <w:pStyle w:val="BodyText"/>
        <w:rPr>
          <w:sz w:val="20"/>
        </w:rPr>
      </w:pPr>
    </w:p>
    <w:p>
      <w:pPr>
        <w:pStyle w:val="BodyText"/>
        <w:spacing w:before="220"/>
        <w:ind w:left="120"/>
      </w:pPr>
      <w:r>
        <w:rPr>
          <w:color w:val="333333"/>
        </w:rPr>
        <w:t>Witness Printed Name:</w:t>
      </w:r>
    </w:p>
    <w:p>
      <w:pPr>
        <w:pStyle w:val="BodyText"/>
        <w:rPr>
          <w:sz w:val="20"/>
        </w:rPr>
      </w:pPr>
    </w:p>
    <w:p>
      <w:pPr>
        <w:pStyle w:val="BodyText"/>
        <w:rPr>
          <w:sz w:val="20"/>
        </w:rPr>
      </w:pPr>
    </w:p>
    <w:p>
      <w:pPr>
        <w:pStyle w:val="BodyText"/>
        <w:spacing w:before="2"/>
        <w:rPr>
          <w:sz w:val="17"/>
        </w:rPr>
      </w:pPr>
      <w:r>
        <w:rPr/>
        <w:pict>
          <v:shape style="position:absolute;margin-left:90pt;margin-top:12.025537pt;width:347.3pt;height:.1pt;mso-position-horizontal-relative:page;mso-position-vertical-relative:paragraph;z-index:-15727616;mso-wrap-distance-left:0;mso-wrap-distance-right:0" coordorigin="1800,241" coordsize="6946,0" path="m1800,241l8745,241e" filled="false" stroked="true" strokeweight=".576pt" strokecolor="#323232">
            <v:path arrowok="t"/>
            <v:stroke dashstyle="solid"/>
            <w10:wrap type="topAndBottom"/>
          </v:shape>
        </w:pict>
      </w:r>
    </w:p>
    <w:sectPr>
      <w:pgSz w:w="12240" w:h="15840"/>
      <w:pgMar w:top="1500" w:bottom="280" w:left="168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eorgia">
    <w:altName w:val="Georgia"/>
    <w:charset w:val="0"/>
    <w:family w:val="roman"/>
    <w:pitch w:val="variable"/>
  </w:font>
  <w:font w:name="Edwardian Script ITC">
    <w:altName w:val="Edwardian Script ITC"/>
    <w:charset w:val="0"/>
    <w:family w:val="script"/>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rPr>
  </w:style>
  <w:style w:styleId="BodyText" w:type="paragraph">
    <w:name w:val="Body Text"/>
    <w:basedOn w:val="Normal"/>
    <w:uiPriority w:val="1"/>
    <w:qFormat/>
    <w:pPr/>
    <w:rPr>
      <w:rFonts w:ascii="Georgia" w:hAnsi="Georgia" w:eastAsia="Georgia" w:cs="Georgia"/>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
  <DocSecurity>0</DocSecurity>
  <ScaleCrop>false</ScaleCrop>
  <LinksUpToDate>false</LinksUpToDate>
  <SharedDoc>false</SharedDoc>
  <HyperlinksChanged>false</HyperlinksChanged>
  <AppVersion>12.0000</AppVersion>
  <Company/>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