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0264" w14:textId="61970482" w:rsidR="00372791" w:rsidRDefault="00372791">
      <w:pPr>
        <w:pStyle w:val="BodyText"/>
        <w:ind w:left="116"/>
        <w:rPr>
          <w:sz w:val="20"/>
        </w:rPr>
      </w:pPr>
    </w:p>
    <w:p w14:paraId="5E858334" w14:textId="77777777" w:rsidR="00372791" w:rsidRDefault="00372791">
      <w:pPr>
        <w:pStyle w:val="BodyText"/>
        <w:rPr>
          <w:sz w:val="20"/>
        </w:rPr>
      </w:pPr>
    </w:p>
    <w:p w14:paraId="430749AB" w14:textId="77777777" w:rsidR="00372791" w:rsidRDefault="00372791">
      <w:pPr>
        <w:pStyle w:val="BodyText"/>
        <w:rPr>
          <w:sz w:val="20"/>
        </w:rPr>
      </w:pPr>
    </w:p>
    <w:p w14:paraId="09A1EE8E" w14:textId="77777777" w:rsidR="00372791" w:rsidRDefault="00000000">
      <w:pPr>
        <w:spacing w:before="233" w:line="298" w:lineRule="exact"/>
        <w:ind w:left="2670" w:right="3108"/>
        <w:jc w:val="center"/>
        <w:rPr>
          <w:b/>
          <w:sz w:val="28"/>
        </w:rPr>
      </w:pPr>
      <w:r>
        <w:rPr>
          <w:b/>
          <w:sz w:val="28"/>
        </w:rPr>
        <w:t>AUTHORIZATION TO CONSENT</w:t>
      </w:r>
    </w:p>
    <w:p w14:paraId="2449715D" w14:textId="77777777" w:rsidR="00372791" w:rsidRDefault="00000000">
      <w:pPr>
        <w:spacing w:line="284" w:lineRule="exact"/>
        <w:ind w:left="2670" w:right="3108"/>
        <w:jc w:val="center"/>
        <w:rPr>
          <w:b/>
          <w:sz w:val="28"/>
        </w:rPr>
      </w:pPr>
      <w:r>
        <w:rPr>
          <w:b/>
          <w:sz w:val="28"/>
        </w:rPr>
        <w:t>TO MEDICAL/DENTAL CARE OF MINOR</w:t>
      </w:r>
    </w:p>
    <w:p w14:paraId="308EC3F8" w14:textId="77777777" w:rsidR="00372791" w:rsidRDefault="00000000">
      <w:pPr>
        <w:spacing w:line="309" w:lineRule="exact"/>
        <w:ind w:left="2670" w:right="3104"/>
        <w:jc w:val="center"/>
        <w:rPr>
          <w:i/>
          <w:sz w:val="28"/>
        </w:rPr>
      </w:pPr>
      <w:r>
        <w:rPr>
          <w:i/>
          <w:sz w:val="28"/>
        </w:rPr>
        <w:t>California Family Code Section 6910</w:t>
      </w:r>
    </w:p>
    <w:p w14:paraId="7000C9FF" w14:textId="77777777" w:rsidR="00372791" w:rsidRDefault="00372791">
      <w:pPr>
        <w:pStyle w:val="BodyText"/>
        <w:rPr>
          <w:i/>
          <w:sz w:val="30"/>
        </w:rPr>
      </w:pPr>
    </w:p>
    <w:p w14:paraId="695231B9" w14:textId="77777777" w:rsidR="00372791" w:rsidRDefault="00000000">
      <w:pPr>
        <w:pStyle w:val="BodyText"/>
        <w:tabs>
          <w:tab w:val="left" w:pos="7089"/>
        </w:tabs>
        <w:spacing w:before="202" w:line="360" w:lineRule="auto"/>
        <w:ind w:left="1100" w:right="1771" w:firstLine="719"/>
      </w:pPr>
      <w:r>
        <w:t>I</w:t>
      </w:r>
      <w:r>
        <w:rPr>
          <w:spacing w:val="-2"/>
        </w:rPr>
        <w:t xml:space="preserve"> </w:t>
      </w:r>
      <w:r>
        <w:t>authorize,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(an adult into</w:t>
      </w:r>
      <w:r>
        <w:rPr>
          <w:spacing w:val="-11"/>
        </w:rPr>
        <w:t xml:space="preserve"> </w:t>
      </w:r>
      <w:r>
        <w:t>whose care the minor has been entrusted) to consent to medical treatment</w:t>
      </w:r>
      <w:r>
        <w:rPr>
          <w:spacing w:val="-15"/>
        </w:rPr>
        <w:t xml:space="preserve"> </w:t>
      </w:r>
      <w:r>
        <w:t>of</w:t>
      </w:r>
    </w:p>
    <w:p w14:paraId="114A6A3D" w14:textId="77777777" w:rsidR="00372791" w:rsidRDefault="00000000">
      <w:pPr>
        <w:pStyle w:val="BodyText"/>
        <w:tabs>
          <w:tab w:val="left" w:pos="4462"/>
        </w:tabs>
        <w:spacing w:line="360" w:lineRule="auto"/>
        <w:ind w:left="1100" w:right="30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a minor. For the purposes of this authorization, medical treatment is defined</w:t>
      </w:r>
      <w:r>
        <w:rPr>
          <w:spacing w:val="-2"/>
        </w:rPr>
        <w:t xml:space="preserve"> </w:t>
      </w:r>
      <w:r>
        <w:t>as:</w:t>
      </w:r>
    </w:p>
    <w:p w14:paraId="6EDA6C71" w14:textId="77777777" w:rsidR="00372791" w:rsidRDefault="00000000">
      <w:pPr>
        <w:pStyle w:val="ListParagraph"/>
        <w:numPr>
          <w:ilvl w:val="0"/>
          <w:numId w:val="1"/>
        </w:numPr>
        <w:tabs>
          <w:tab w:val="left" w:pos="1821"/>
        </w:tabs>
        <w:rPr>
          <w:sz w:val="28"/>
        </w:rPr>
      </w:pPr>
      <w:r>
        <w:rPr>
          <w:sz w:val="28"/>
        </w:rPr>
        <w:t>X-ray examination, anesthetic, medical or surgical diagnosis or treatment, and hospital care under the general or special supervision and upon the advice of or to be rendered by a physician and surgeon licensed under the Medical Practice Act; and</w:t>
      </w:r>
    </w:p>
    <w:p w14:paraId="4C7F136D" w14:textId="77777777" w:rsidR="00372791" w:rsidRDefault="00000000">
      <w:pPr>
        <w:pStyle w:val="ListParagraph"/>
        <w:numPr>
          <w:ilvl w:val="0"/>
          <w:numId w:val="1"/>
        </w:numPr>
        <w:tabs>
          <w:tab w:val="left" w:pos="1821"/>
        </w:tabs>
        <w:ind w:right="2084"/>
        <w:rPr>
          <w:sz w:val="28"/>
        </w:rPr>
      </w:pPr>
      <w:r>
        <w:rPr>
          <w:sz w:val="28"/>
        </w:rPr>
        <w:t>X-ray examination, anesthetic, dental or surgical diagnosis or treatment, and hospital care by a dentist licensed under the</w:t>
      </w:r>
      <w:r>
        <w:rPr>
          <w:spacing w:val="-32"/>
          <w:sz w:val="28"/>
        </w:rPr>
        <w:t xml:space="preserve"> </w:t>
      </w:r>
      <w:r>
        <w:rPr>
          <w:sz w:val="28"/>
        </w:rPr>
        <w:t>Dental Practice</w:t>
      </w:r>
      <w:r>
        <w:rPr>
          <w:spacing w:val="-1"/>
          <w:sz w:val="28"/>
        </w:rPr>
        <w:t xml:space="preserve"> </w:t>
      </w:r>
      <w:r>
        <w:rPr>
          <w:sz w:val="28"/>
        </w:rPr>
        <w:t>Act.</w:t>
      </w:r>
    </w:p>
    <w:p w14:paraId="4219177C" w14:textId="77777777" w:rsidR="00372791" w:rsidRDefault="00000000">
      <w:pPr>
        <w:pStyle w:val="BodyText"/>
        <w:spacing w:before="253"/>
        <w:ind w:left="1100"/>
      </w:pPr>
      <w:r>
        <w:t>This authorization is made pursuant to California Family Code Section</w:t>
      </w:r>
      <w:r>
        <w:rPr>
          <w:spacing w:val="-32"/>
        </w:rPr>
        <w:t xml:space="preserve"> </w:t>
      </w:r>
      <w:r>
        <w:t>6910.</w:t>
      </w:r>
    </w:p>
    <w:p w14:paraId="57A6D68C" w14:textId="77777777" w:rsidR="00372791" w:rsidRDefault="00372791">
      <w:pPr>
        <w:pStyle w:val="BodyText"/>
        <w:spacing w:before="2"/>
        <w:rPr>
          <w:sz w:val="20"/>
        </w:rPr>
      </w:pPr>
    </w:p>
    <w:p w14:paraId="3681A548" w14:textId="77777777" w:rsidR="00372791" w:rsidRDefault="00000000">
      <w:pPr>
        <w:tabs>
          <w:tab w:val="left" w:pos="6752"/>
          <w:tab w:val="left" w:pos="7175"/>
          <w:tab w:val="left" w:pos="9737"/>
        </w:tabs>
        <w:spacing w:before="89"/>
        <w:ind w:left="1100"/>
        <w:rPr>
          <w:sz w:val="28"/>
        </w:rPr>
      </w:pPr>
      <w:r>
        <w:rPr>
          <w:b/>
          <w:sz w:val="28"/>
        </w:rPr>
        <w:t>Signature</w:t>
      </w:r>
      <w:r>
        <w:rPr>
          <w:sz w:val="28"/>
        </w:rPr>
        <w:t>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Date: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6AE8EA1" w14:textId="77777777" w:rsidR="00372791" w:rsidRDefault="00372791">
      <w:pPr>
        <w:pStyle w:val="BodyText"/>
        <w:spacing w:before="4"/>
        <w:rPr>
          <w:sz w:val="20"/>
        </w:rPr>
      </w:pPr>
    </w:p>
    <w:p w14:paraId="11A2774E" w14:textId="77777777" w:rsidR="00372791" w:rsidRDefault="00000000">
      <w:pPr>
        <w:pStyle w:val="BodyText"/>
        <w:tabs>
          <w:tab w:val="left" w:pos="6305"/>
        </w:tabs>
        <w:spacing w:before="89"/>
        <w:ind w:left="1100"/>
      </w:pPr>
      <w:r>
        <w:t>Print</w:t>
      </w:r>
      <w:r>
        <w:rPr>
          <w:spacing w:val="-5"/>
        </w:rPr>
        <w:t xml:space="preserve"> </w:t>
      </w:r>
      <w:r>
        <w:t xml:space="preserve">Name: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C7A362" w14:textId="77777777" w:rsidR="00372791" w:rsidRDefault="00372791">
      <w:pPr>
        <w:pStyle w:val="BodyText"/>
        <w:spacing w:before="3"/>
        <w:rPr>
          <w:sz w:val="20"/>
        </w:rPr>
      </w:pPr>
    </w:p>
    <w:p w14:paraId="25D3BB59" w14:textId="77777777" w:rsidR="00372791" w:rsidRDefault="00000000">
      <w:pPr>
        <w:pStyle w:val="BodyText"/>
        <w:spacing w:before="89"/>
        <w:ind w:left="1100"/>
      </w:pPr>
      <w:r>
        <w:t>Relationship to minor:</w:t>
      </w:r>
    </w:p>
    <w:p w14:paraId="46C70984" w14:textId="77777777" w:rsidR="00372791" w:rsidRDefault="00372791">
      <w:pPr>
        <w:pStyle w:val="BodyText"/>
        <w:spacing w:before="2"/>
        <w:rPr>
          <w:sz w:val="20"/>
        </w:rPr>
      </w:pPr>
    </w:p>
    <w:p w14:paraId="5CC4F208" w14:textId="77777777" w:rsidR="00372791" w:rsidRDefault="00000000">
      <w:pPr>
        <w:spacing w:before="89"/>
        <w:ind w:left="1191"/>
        <w:rPr>
          <w:b/>
          <w:sz w:val="28"/>
        </w:rPr>
      </w:pPr>
      <w:r>
        <w:rPr>
          <w:noProof/>
        </w:rPr>
        <w:drawing>
          <wp:inline distT="0" distB="0" distL="0" distR="0" wp14:anchorId="32AF68E9" wp14:editId="0E586E11">
            <wp:extent cx="172084" cy="152400"/>
            <wp:effectExtent l="0" t="0" r="0" b="0"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9"/>
          <w:sz w:val="20"/>
        </w:rPr>
        <w:t xml:space="preserve"> </w:t>
      </w:r>
      <w:r>
        <w:rPr>
          <w:b/>
          <w:sz w:val="28"/>
        </w:rPr>
        <w:t>Parent with legal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custody</w:t>
      </w:r>
    </w:p>
    <w:p w14:paraId="0A85F806" w14:textId="77777777" w:rsidR="00372791" w:rsidRDefault="00000000">
      <w:pPr>
        <w:spacing w:before="160"/>
        <w:ind w:left="1191"/>
        <w:rPr>
          <w:b/>
          <w:sz w:val="28"/>
        </w:rPr>
      </w:pPr>
      <w:r>
        <w:rPr>
          <w:noProof/>
        </w:rPr>
        <w:drawing>
          <wp:inline distT="0" distB="0" distL="0" distR="0" wp14:anchorId="71833739" wp14:editId="51EA76A0">
            <wp:extent cx="172084" cy="152400"/>
            <wp:effectExtent l="0" t="0" r="0" b="0"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9"/>
          <w:sz w:val="20"/>
        </w:rPr>
        <w:t xml:space="preserve"> </w:t>
      </w:r>
      <w:r>
        <w:rPr>
          <w:b/>
          <w:sz w:val="28"/>
        </w:rPr>
        <w:t>Guardian with legal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custody</w:t>
      </w:r>
    </w:p>
    <w:p w14:paraId="5088ACDC" w14:textId="77777777" w:rsidR="00372791" w:rsidRDefault="00000000">
      <w:pPr>
        <w:spacing w:before="164"/>
        <w:ind w:left="1191"/>
        <w:rPr>
          <w:sz w:val="28"/>
        </w:rPr>
      </w:pPr>
      <w:r>
        <w:rPr>
          <w:noProof/>
        </w:rPr>
        <w:drawing>
          <wp:inline distT="0" distB="0" distL="0" distR="0" wp14:anchorId="2AD5A7C7" wp14:editId="619233FD">
            <wp:extent cx="172084" cy="152400"/>
            <wp:effectExtent l="0" t="0" r="0" b="0"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9"/>
          <w:sz w:val="20"/>
        </w:rPr>
        <w:t xml:space="preserve"> </w:t>
      </w:r>
      <w:r>
        <w:rPr>
          <w:b/>
          <w:sz w:val="28"/>
        </w:rPr>
        <w:t xml:space="preserve">Relative with Caregiver Affidavit </w:t>
      </w:r>
      <w:r>
        <w:rPr>
          <w:sz w:val="28"/>
        </w:rPr>
        <w:t>(Family Code Section</w:t>
      </w:r>
      <w:r>
        <w:rPr>
          <w:spacing w:val="-10"/>
          <w:sz w:val="28"/>
        </w:rPr>
        <w:t xml:space="preserve"> </w:t>
      </w:r>
      <w:r>
        <w:rPr>
          <w:sz w:val="28"/>
        </w:rPr>
        <w:t>6550)</w:t>
      </w:r>
    </w:p>
    <w:p w14:paraId="265C53FB" w14:textId="77777777" w:rsidR="00372791" w:rsidRDefault="00372791">
      <w:pPr>
        <w:pStyle w:val="BodyText"/>
        <w:rPr>
          <w:sz w:val="20"/>
        </w:rPr>
      </w:pPr>
    </w:p>
    <w:p w14:paraId="3F0E98C7" w14:textId="77777777" w:rsidR="00372791" w:rsidRDefault="00372791">
      <w:pPr>
        <w:pStyle w:val="BodyText"/>
        <w:rPr>
          <w:sz w:val="20"/>
        </w:rPr>
      </w:pPr>
    </w:p>
    <w:p w14:paraId="2E07E6E8" w14:textId="77777777" w:rsidR="00372791" w:rsidRDefault="00372791">
      <w:pPr>
        <w:pStyle w:val="BodyText"/>
        <w:rPr>
          <w:sz w:val="20"/>
        </w:rPr>
      </w:pPr>
    </w:p>
    <w:p w14:paraId="0032193E" w14:textId="77777777" w:rsidR="00372791" w:rsidRDefault="00372791">
      <w:pPr>
        <w:pStyle w:val="BodyText"/>
        <w:rPr>
          <w:sz w:val="20"/>
        </w:rPr>
      </w:pPr>
    </w:p>
    <w:p w14:paraId="1CFF1387" w14:textId="77777777" w:rsidR="00372791" w:rsidRDefault="00372791">
      <w:pPr>
        <w:pStyle w:val="BodyText"/>
        <w:rPr>
          <w:sz w:val="20"/>
        </w:rPr>
      </w:pPr>
    </w:p>
    <w:p w14:paraId="009CD7C6" w14:textId="77777777" w:rsidR="00372791" w:rsidRDefault="00372791">
      <w:pPr>
        <w:pStyle w:val="BodyText"/>
        <w:rPr>
          <w:sz w:val="20"/>
        </w:rPr>
      </w:pPr>
    </w:p>
    <w:p w14:paraId="1C0E6B7F" w14:textId="77777777" w:rsidR="00372791" w:rsidRDefault="00372791">
      <w:pPr>
        <w:pStyle w:val="BodyText"/>
        <w:rPr>
          <w:sz w:val="20"/>
        </w:rPr>
      </w:pPr>
    </w:p>
    <w:p w14:paraId="703EB330" w14:textId="77777777" w:rsidR="00372791" w:rsidRDefault="00372791">
      <w:pPr>
        <w:pStyle w:val="BodyText"/>
        <w:rPr>
          <w:sz w:val="20"/>
        </w:rPr>
      </w:pPr>
    </w:p>
    <w:p w14:paraId="306D2BCA" w14:textId="77777777" w:rsidR="00372791" w:rsidRDefault="00372791">
      <w:pPr>
        <w:pStyle w:val="BodyText"/>
        <w:spacing w:before="6"/>
        <w:rPr>
          <w:sz w:val="29"/>
        </w:rPr>
      </w:pPr>
    </w:p>
    <w:p w14:paraId="6735C377" w14:textId="77777777" w:rsidR="00372791" w:rsidRDefault="00000000">
      <w:pPr>
        <w:spacing w:before="91"/>
        <w:ind w:left="1100"/>
      </w:pPr>
      <w:r>
        <w:t>A photocopy or facsimile of this document shall have the same effect as the original.</w:t>
      </w:r>
    </w:p>
    <w:sectPr w:rsidR="00372791">
      <w:type w:val="continuous"/>
      <w:pgSz w:w="12240" w:h="15840"/>
      <w:pgMar w:top="60" w:right="2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E698A"/>
    <w:multiLevelType w:val="hybridMultilevel"/>
    <w:tmpl w:val="3E303D24"/>
    <w:lvl w:ilvl="0" w:tplc="D81A19AC">
      <w:start w:val="1"/>
      <w:numFmt w:val="decimal"/>
      <w:lvlText w:val="%1."/>
      <w:lvlJc w:val="left"/>
      <w:pPr>
        <w:ind w:left="1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5F2DB62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2" w:tplc="CF8EF436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3" w:tplc="51326930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  <w:lvl w:ilvl="4" w:tplc="B172F9EA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5" w:tplc="2AF44CB0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6" w:tplc="81A65A42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7" w:tplc="F4E0C8D0">
      <w:numFmt w:val="bullet"/>
      <w:lvlText w:val="•"/>
      <w:lvlJc w:val="left"/>
      <w:pPr>
        <w:ind w:left="8442" w:hanging="360"/>
      </w:pPr>
      <w:rPr>
        <w:rFonts w:hint="default"/>
        <w:lang w:val="en-US" w:eastAsia="en-US" w:bidi="ar-SA"/>
      </w:rPr>
    </w:lvl>
    <w:lvl w:ilvl="8" w:tplc="68D65D06">
      <w:numFmt w:val="bullet"/>
      <w:lvlText w:val="•"/>
      <w:lvlJc w:val="left"/>
      <w:pPr>
        <w:ind w:left="9388" w:hanging="360"/>
      </w:pPr>
      <w:rPr>
        <w:rFonts w:hint="default"/>
        <w:lang w:val="en-US" w:eastAsia="en-US" w:bidi="ar-SA"/>
      </w:rPr>
    </w:lvl>
  </w:abstractNum>
  <w:num w:numId="1" w16cid:durableId="444932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791"/>
    <w:rsid w:val="00372791"/>
    <w:rsid w:val="00CB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D11DA"/>
  <w15:docId w15:val="{B8D0A9F1-F708-478B-8109-09143953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20" w:right="181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155</Words>
  <Characters>890</Characters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