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6732" w:rsidRDefault="00686732">
      <w:pPr>
        <w:spacing w:line="200" w:lineRule="exact"/>
        <w:rPr>
          <w:rFonts w:ascii="Times New Roman" w:eastAsia="Times New Roman" w:hAnsi="Times New Roman"/>
          <w:sz w:val="24"/>
        </w:rPr>
      </w:pPr>
    </w:p>
    <w:p w:rsidR="00686732" w:rsidRDefault="00686732">
      <w:pPr>
        <w:spacing w:line="200" w:lineRule="exact"/>
        <w:rPr>
          <w:rFonts w:ascii="Times New Roman" w:eastAsia="Times New Roman" w:hAnsi="Times New Roman"/>
          <w:sz w:val="24"/>
        </w:rPr>
      </w:pPr>
    </w:p>
    <w:p w:rsidR="00686732" w:rsidRDefault="00686732">
      <w:pPr>
        <w:spacing w:line="200" w:lineRule="exact"/>
        <w:rPr>
          <w:rFonts w:ascii="Times New Roman" w:eastAsia="Times New Roman" w:hAnsi="Times New Roman"/>
          <w:sz w:val="24"/>
        </w:rPr>
      </w:pPr>
    </w:p>
    <w:p w:rsidR="00686732" w:rsidRDefault="00686732">
      <w:pPr>
        <w:spacing w:line="200" w:lineRule="exact"/>
        <w:rPr>
          <w:rFonts w:ascii="Times New Roman" w:eastAsia="Times New Roman" w:hAnsi="Times New Roman"/>
          <w:sz w:val="24"/>
        </w:rPr>
      </w:pPr>
    </w:p>
    <w:p w:rsidR="00686732" w:rsidRDefault="00686732">
      <w:pPr>
        <w:spacing w:line="200" w:lineRule="exact"/>
        <w:rPr>
          <w:rFonts w:ascii="Times New Roman" w:eastAsia="Times New Roman" w:hAnsi="Times New Roman"/>
          <w:sz w:val="24"/>
        </w:rPr>
      </w:pPr>
    </w:p>
    <w:p w:rsidR="00686732" w:rsidRDefault="00686732">
      <w:pPr>
        <w:spacing w:line="200" w:lineRule="exact"/>
        <w:rPr>
          <w:rFonts w:ascii="Times New Roman" w:eastAsia="Times New Roman" w:hAnsi="Times New Roman"/>
          <w:sz w:val="24"/>
        </w:rPr>
      </w:pPr>
    </w:p>
    <w:p w:rsidR="00686732" w:rsidRDefault="00686732">
      <w:pPr>
        <w:spacing w:line="384" w:lineRule="exact"/>
        <w:rPr>
          <w:rFonts w:ascii="Times New Roman" w:eastAsia="Times New Roman" w:hAnsi="Times New Roman"/>
          <w:sz w:val="24"/>
        </w:rPr>
      </w:pPr>
    </w:p>
    <w:p w:rsidR="00686732" w:rsidRPr="00AB6E9A" w:rsidRDefault="00AB6E9A">
      <w:pPr>
        <w:spacing w:line="0" w:lineRule="atLeast"/>
        <w:rPr>
          <w:rFonts w:ascii="Times New Roman" w:eastAsia="Times New Roman" w:hAnsi="Times New Roman"/>
          <w:color w:val="6C0239"/>
          <w:sz w:val="48"/>
        </w:rPr>
      </w:pPr>
      <w:r w:rsidRPr="00AB6E9A">
        <w:rPr>
          <w:rFonts w:ascii="Times New Roman" w:eastAsia="Times New Roman" w:hAnsi="Times New Roman"/>
          <w:color w:val="6C0239"/>
          <w:sz w:val="48"/>
        </w:rPr>
        <w:t>How to Brief Cases</w:t>
      </w:r>
    </w:p>
    <w:p w:rsidR="00686732" w:rsidRPr="00AB6E9A" w:rsidRDefault="00686732">
      <w:pPr>
        <w:spacing w:line="114" w:lineRule="exact"/>
        <w:rPr>
          <w:rFonts w:ascii="Times New Roman" w:eastAsia="Times New Roman" w:hAnsi="Times New Roman"/>
          <w:sz w:val="48"/>
        </w:rPr>
      </w:pPr>
    </w:p>
    <w:p w:rsidR="00686732" w:rsidRPr="00AB6E9A" w:rsidRDefault="00AB6E9A" w:rsidP="00AB6E9A">
      <w:pPr>
        <w:spacing w:line="294" w:lineRule="auto"/>
        <w:jc w:val="both"/>
        <w:rPr>
          <w:rFonts w:ascii="Arial" w:eastAsia="Arial" w:hAnsi="Arial"/>
          <w:sz w:val="28"/>
        </w:rPr>
      </w:pPr>
      <w:r w:rsidRPr="00AB6E9A">
        <w:rPr>
          <w:rFonts w:ascii="Arial" w:eastAsia="Arial" w:hAnsi="Arial"/>
          <w:sz w:val="28"/>
        </w:rPr>
        <w:t xml:space="preserve">To fully understand the law with respect to business, you need to be able to read and understand court decisions. To make this task easier, you can use a method of case analysis that is called </w:t>
      </w:r>
      <w:r w:rsidRPr="00AB6E9A">
        <w:rPr>
          <w:rFonts w:ascii="Times New Roman" w:eastAsia="Times New Roman" w:hAnsi="Times New Roman"/>
          <w:i/>
          <w:sz w:val="28"/>
        </w:rPr>
        <w:t>briefing.</w:t>
      </w:r>
      <w:r w:rsidRPr="00AB6E9A">
        <w:rPr>
          <w:rFonts w:ascii="Arial" w:eastAsia="Arial" w:hAnsi="Arial"/>
          <w:sz w:val="28"/>
        </w:rPr>
        <w:t xml:space="preserve"> There is a fairly standard procedure that you can follow when you “brief” any court case. You must first read the case opinion carefully. When you feel you understand the case, you can prepare a brief of it.</w:t>
      </w:r>
    </w:p>
    <w:p w:rsidR="00686732" w:rsidRPr="00AB6E9A" w:rsidRDefault="00686732">
      <w:pPr>
        <w:spacing w:line="2" w:lineRule="exact"/>
        <w:rPr>
          <w:rFonts w:ascii="Times New Roman" w:eastAsia="Times New Roman" w:hAnsi="Times New Roman"/>
          <w:sz w:val="48"/>
        </w:rPr>
      </w:pPr>
    </w:p>
    <w:p w:rsidR="00686732" w:rsidRPr="00AB6E9A" w:rsidRDefault="00AB6E9A" w:rsidP="00AB6E9A">
      <w:pPr>
        <w:spacing w:line="246" w:lineRule="auto"/>
        <w:ind w:firstLine="240"/>
        <w:jc w:val="both"/>
        <w:rPr>
          <w:rFonts w:ascii="Arial" w:eastAsia="Arial" w:hAnsi="Arial"/>
          <w:sz w:val="36"/>
        </w:rPr>
      </w:pPr>
      <w:r w:rsidRPr="00AB6E9A">
        <w:rPr>
          <w:rFonts w:ascii="Arial" w:eastAsia="Arial" w:hAnsi="Arial"/>
          <w:sz w:val="36"/>
        </w:rPr>
        <w:t>Although the format of the brief may vary, typically it will present the essentials of the case under headings such as those listed below.</w:t>
      </w:r>
    </w:p>
    <w:p w:rsidR="00686732" w:rsidRPr="00AB6E9A" w:rsidRDefault="00686732" w:rsidP="00AB6E9A">
      <w:pPr>
        <w:spacing w:line="105" w:lineRule="exact"/>
        <w:rPr>
          <w:rFonts w:ascii="Times New Roman" w:eastAsia="Times New Roman" w:hAnsi="Times New Roman"/>
          <w:sz w:val="48"/>
        </w:rPr>
      </w:pPr>
    </w:p>
    <w:p w:rsidR="00686732" w:rsidRPr="00AB6E9A" w:rsidRDefault="00A67EF6" w:rsidP="00AB6E9A">
      <w:pPr>
        <w:numPr>
          <w:ilvl w:val="0"/>
          <w:numId w:val="1"/>
        </w:numPr>
        <w:tabs>
          <w:tab w:val="left" w:pos="180"/>
        </w:tabs>
        <w:spacing w:line="257" w:lineRule="auto"/>
        <w:ind w:left="180" w:hanging="180"/>
        <w:rPr>
          <w:rFonts w:ascii="Times New Roman" w:eastAsia="Times New Roman" w:hAnsi="Times New Roman"/>
          <w:b/>
          <w:color w:val="6C0239"/>
          <w:sz w:val="36"/>
        </w:rPr>
      </w:pPr>
      <w:r>
        <w:rPr>
          <w:rFonts w:ascii="Arial" w:eastAsia="Arial" w:hAnsi="Arial"/>
          <w:b/>
          <w:sz w:val="36"/>
        </w:rPr>
        <w:t xml:space="preserve">. </w:t>
      </w:r>
      <w:r w:rsidR="00AB6E9A" w:rsidRPr="00AB6E9A">
        <w:rPr>
          <w:rFonts w:ascii="Arial" w:eastAsia="Arial" w:hAnsi="Arial"/>
          <w:b/>
          <w:sz w:val="36"/>
        </w:rPr>
        <w:t xml:space="preserve">Citation. </w:t>
      </w:r>
      <w:r w:rsidR="00AB6E9A" w:rsidRPr="00AB6E9A">
        <w:rPr>
          <w:rFonts w:ascii="Arial" w:eastAsia="Arial" w:hAnsi="Arial"/>
          <w:sz w:val="36"/>
        </w:rPr>
        <w:t>Give the full citation for the case, including the name of the case, the date it was</w:t>
      </w:r>
      <w:r w:rsidR="00AB6E9A" w:rsidRPr="00AB6E9A">
        <w:rPr>
          <w:rFonts w:ascii="Arial" w:eastAsia="Arial" w:hAnsi="Arial"/>
          <w:b/>
          <w:sz w:val="36"/>
        </w:rPr>
        <w:t xml:space="preserve"> </w:t>
      </w:r>
      <w:r w:rsidR="00AB6E9A" w:rsidRPr="00AB6E9A">
        <w:rPr>
          <w:rFonts w:ascii="Arial" w:eastAsia="Arial" w:hAnsi="Arial"/>
          <w:sz w:val="36"/>
        </w:rPr>
        <w:t>decided, and the court that decided it.</w:t>
      </w:r>
    </w:p>
    <w:p w:rsidR="00686732" w:rsidRPr="00AB6E9A" w:rsidRDefault="00686732" w:rsidP="00AB6E9A">
      <w:pPr>
        <w:spacing w:line="35" w:lineRule="exact"/>
        <w:rPr>
          <w:rFonts w:ascii="Times New Roman" w:eastAsia="Times New Roman" w:hAnsi="Times New Roman"/>
          <w:b/>
          <w:color w:val="6C0239"/>
          <w:sz w:val="36"/>
        </w:rPr>
      </w:pPr>
    </w:p>
    <w:p w:rsidR="00686732" w:rsidRPr="00AB6E9A" w:rsidRDefault="00A67EF6" w:rsidP="00AB6E9A">
      <w:pPr>
        <w:numPr>
          <w:ilvl w:val="0"/>
          <w:numId w:val="1"/>
        </w:numPr>
        <w:tabs>
          <w:tab w:val="left" w:pos="180"/>
        </w:tabs>
        <w:spacing w:line="287" w:lineRule="auto"/>
        <w:ind w:left="180" w:hanging="180"/>
        <w:rPr>
          <w:rFonts w:ascii="Times New Roman" w:eastAsia="Times New Roman" w:hAnsi="Times New Roman"/>
          <w:b/>
          <w:color w:val="6C0239"/>
          <w:sz w:val="32"/>
        </w:rPr>
      </w:pPr>
      <w:r>
        <w:rPr>
          <w:rFonts w:ascii="Arial" w:eastAsia="Arial" w:hAnsi="Arial"/>
          <w:b/>
          <w:sz w:val="32"/>
        </w:rPr>
        <w:t xml:space="preserve">. </w:t>
      </w:r>
      <w:r w:rsidR="00AB6E9A" w:rsidRPr="00AB6E9A">
        <w:rPr>
          <w:rFonts w:ascii="Arial" w:eastAsia="Arial" w:hAnsi="Arial"/>
          <w:b/>
          <w:sz w:val="32"/>
        </w:rPr>
        <w:t xml:space="preserve">Facts. </w:t>
      </w:r>
      <w:r w:rsidR="00AB6E9A" w:rsidRPr="00AB6E9A">
        <w:rPr>
          <w:rFonts w:ascii="Arial" w:eastAsia="Arial" w:hAnsi="Arial"/>
          <w:sz w:val="32"/>
        </w:rPr>
        <w:t>Briefly indicate (a) the reasons for the lawsuit; (b) the identity and arguments of the</w:t>
      </w:r>
      <w:r w:rsidR="00AB6E9A" w:rsidRPr="00AB6E9A">
        <w:rPr>
          <w:rFonts w:ascii="Arial" w:eastAsia="Arial" w:hAnsi="Arial"/>
          <w:b/>
          <w:sz w:val="32"/>
        </w:rPr>
        <w:t xml:space="preserve"> </w:t>
      </w:r>
      <w:r w:rsidR="00AB6E9A" w:rsidRPr="00AB6E9A">
        <w:rPr>
          <w:rFonts w:ascii="Arial" w:eastAsia="Arial" w:hAnsi="Arial"/>
          <w:sz w:val="32"/>
        </w:rPr>
        <w:t>plaintiff(s) and defendant(s), respectively; and (c) the lower court’s decision—if appropriate.</w:t>
      </w:r>
    </w:p>
    <w:p w:rsidR="00686732" w:rsidRPr="00AB6E9A" w:rsidRDefault="00686732" w:rsidP="00AB6E9A">
      <w:pPr>
        <w:spacing w:line="11" w:lineRule="exact"/>
        <w:rPr>
          <w:rFonts w:ascii="Times New Roman" w:eastAsia="Times New Roman" w:hAnsi="Times New Roman"/>
          <w:b/>
          <w:color w:val="6C0239"/>
          <w:sz w:val="32"/>
        </w:rPr>
      </w:pPr>
    </w:p>
    <w:p w:rsidR="00686732" w:rsidRPr="00AB6E9A" w:rsidRDefault="00A67EF6" w:rsidP="00AB6E9A">
      <w:pPr>
        <w:numPr>
          <w:ilvl w:val="0"/>
          <w:numId w:val="1"/>
        </w:numPr>
        <w:tabs>
          <w:tab w:val="left" w:pos="180"/>
        </w:tabs>
        <w:spacing w:line="257" w:lineRule="auto"/>
        <w:ind w:left="180" w:hanging="180"/>
        <w:rPr>
          <w:rFonts w:ascii="Times New Roman" w:eastAsia="Times New Roman" w:hAnsi="Times New Roman"/>
          <w:b/>
          <w:color w:val="6C0239"/>
          <w:sz w:val="36"/>
        </w:rPr>
      </w:pPr>
      <w:r>
        <w:rPr>
          <w:rFonts w:ascii="Arial" w:eastAsia="Arial" w:hAnsi="Arial"/>
          <w:b/>
          <w:sz w:val="36"/>
        </w:rPr>
        <w:t xml:space="preserve">. </w:t>
      </w:r>
      <w:r w:rsidR="00AB6E9A" w:rsidRPr="00AB6E9A">
        <w:rPr>
          <w:rFonts w:ascii="Arial" w:eastAsia="Arial" w:hAnsi="Arial"/>
          <w:b/>
          <w:sz w:val="36"/>
        </w:rPr>
        <w:t xml:space="preserve">Issue. </w:t>
      </w:r>
      <w:r w:rsidR="00AB6E9A" w:rsidRPr="00AB6E9A">
        <w:rPr>
          <w:rFonts w:ascii="Arial" w:eastAsia="Arial" w:hAnsi="Arial"/>
          <w:sz w:val="36"/>
        </w:rPr>
        <w:t>Concisely phrase, in the form of a question, the essential issue before the court. (If more</w:t>
      </w:r>
      <w:r w:rsidR="00AB6E9A" w:rsidRPr="00AB6E9A">
        <w:rPr>
          <w:rFonts w:ascii="Arial" w:eastAsia="Arial" w:hAnsi="Arial"/>
          <w:b/>
          <w:sz w:val="36"/>
        </w:rPr>
        <w:t xml:space="preserve"> </w:t>
      </w:r>
      <w:r w:rsidR="00AB6E9A" w:rsidRPr="00AB6E9A">
        <w:rPr>
          <w:rFonts w:ascii="Arial" w:eastAsia="Arial" w:hAnsi="Arial"/>
          <w:sz w:val="36"/>
        </w:rPr>
        <w:t>than one issue is involved, you may have two—or even more—questions here.)</w:t>
      </w:r>
    </w:p>
    <w:p w:rsidR="00686732" w:rsidRPr="00AB6E9A" w:rsidRDefault="00686732" w:rsidP="00AB6E9A">
      <w:pPr>
        <w:spacing w:line="35" w:lineRule="exact"/>
        <w:rPr>
          <w:rFonts w:ascii="Times New Roman" w:eastAsia="Times New Roman" w:hAnsi="Times New Roman"/>
          <w:b/>
          <w:color w:val="6C0239"/>
          <w:sz w:val="36"/>
        </w:rPr>
      </w:pPr>
    </w:p>
    <w:p w:rsidR="00686732" w:rsidRPr="00AB6E9A" w:rsidRDefault="00A67EF6" w:rsidP="00AB6E9A">
      <w:pPr>
        <w:numPr>
          <w:ilvl w:val="0"/>
          <w:numId w:val="1"/>
        </w:numPr>
        <w:tabs>
          <w:tab w:val="left" w:pos="180"/>
        </w:tabs>
        <w:spacing w:line="257" w:lineRule="auto"/>
        <w:ind w:left="180" w:hanging="180"/>
        <w:rPr>
          <w:rFonts w:ascii="Times New Roman" w:eastAsia="Times New Roman" w:hAnsi="Times New Roman"/>
          <w:b/>
          <w:color w:val="6C0239"/>
          <w:sz w:val="36"/>
        </w:rPr>
      </w:pPr>
      <w:r>
        <w:rPr>
          <w:rFonts w:ascii="Arial" w:eastAsia="Arial" w:hAnsi="Arial"/>
          <w:b/>
          <w:sz w:val="36"/>
        </w:rPr>
        <w:t xml:space="preserve">. </w:t>
      </w:r>
      <w:r w:rsidR="00AB6E9A" w:rsidRPr="00AB6E9A">
        <w:rPr>
          <w:rFonts w:ascii="Arial" w:eastAsia="Arial" w:hAnsi="Arial"/>
          <w:b/>
          <w:sz w:val="36"/>
        </w:rPr>
        <w:t xml:space="preserve">Decision. </w:t>
      </w:r>
      <w:r w:rsidR="00AB6E9A" w:rsidRPr="00AB6E9A">
        <w:rPr>
          <w:rFonts w:ascii="Arial" w:eastAsia="Arial" w:hAnsi="Arial"/>
          <w:sz w:val="36"/>
        </w:rPr>
        <w:t>Indicate here—with a “yes” or “no,” if possible—the court’s answer to the question (or</w:t>
      </w:r>
      <w:r w:rsidR="00AB6E9A" w:rsidRPr="00AB6E9A">
        <w:rPr>
          <w:rFonts w:ascii="Arial" w:eastAsia="Arial" w:hAnsi="Arial"/>
          <w:b/>
          <w:sz w:val="36"/>
        </w:rPr>
        <w:t xml:space="preserve"> </w:t>
      </w:r>
      <w:r w:rsidR="00AB6E9A" w:rsidRPr="00AB6E9A">
        <w:rPr>
          <w:rFonts w:ascii="Arial" w:eastAsia="Arial" w:hAnsi="Arial"/>
          <w:sz w:val="36"/>
        </w:rPr>
        <w:t xml:space="preserve">questions) in the </w:t>
      </w:r>
      <w:r w:rsidR="00AB6E9A" w:rsidRPr="00AB6E9A">
        <w:rPr>
          <w:rFonts w:ascii="Times New Roman" w:eastAsia="Times New Roman" w:hAnsi="Times New Roman"/>
          <w:i/>
          <w:sz w:val="36"/>
        </w:rPr>
        <w:t>Issue</w:t>
      </w:r>
      <w:r w:rsidR="00AB6E9A" w:rsidRPr="00AB6E9A">
        <w:rPr>
          <w:rFonts w:ascii="Arial" w:eastAsia="Arial" w:hAnsi="Arial"/>
          <w:sz w:val="36"/>
        </w:rPr>
        <w:t xml:space="preserve"> section above.</w:t>
      </w:r>
    </w:p>
    <w:p w:rsidR="00686732" w:rsidRPr="00AB6E9A" w:rsidRDefault="00686732" w:rsidP="00AB6E9A">
      <w:pPr>
        <w:spacing w:line="35" w:lineRule="exact"/>
        <w:rPr>
          <w:rFonts w:ascii="Times New Roman" w:eastAsia="Times New Roman" w:hAnsi="Times New Roman"/>
          <w:b/>
          <w:color w:val="6C0239"/>
          <w:sz w:val="36"/>
        </w:rPr>
      </w:pPr>
    </w:p>
    <w:p w:rsidR="00686732" w:rsidRPr="00AB6E9A" w:rsidRDefault="00A67EF6" w:rsidP="00AB6E9A">
      <w:pPr>
        <w:numPr>
          <w:ilvl w:val="0"/>
          <w:numId w:val="1"/>
        </w:numPr>
        <w:tabs>
          <w:tab w:val="left" w:pos="180"/>
        </w:tabs>
        <w:spacing w:line="287" w:lineRule="auto"/>
        <w:ind w:left="180" w:hanging="180"/>
        <w:rPr>
          <w:rFonts w:ascii="Times New Roman" w:eastAsia="Times New Roman" w:hAnsi="Times New Roman"/>
          <w:b/>
          <w:color w:val="6C0239"/>
          <w:sz w:val="32"/>
        </w:rPr>
      </w:pPr>
      <w:r>
        <w:rPr>
          <w:rFonts w:ascii="Arial" w:eastAsia="Arial" w:hAnsi="Arial"/>
          <w:b/>
          <w:sz w:val="32"/>
        </w:rPr>
        <w:t xml:space="preserve">. </w:t>
      </w:r>
      <w:r w:rsidR="00AB6E9A" w:rsidRPr="00AB6E9A">
        <w:rPr>
          <w:rFonts w:ascii="Arial" w:eastAsia="Arial" w:hAnsi="Arial"/>
          <w:b/>
          <w:sz w:val="32"/>
        </w:rPr>
        <w:t xml:space="preserve">Reason. </w:t>
      </w:r>
      <w:r w:rsidR="00AB6E9A" w:rsidRPr="00AB6E9A">
        <w:rPr>
          <w:rFonts w:ascii="Arial" w:eastAsia="Arial" w:hAnsi="Arial"/>
          <w:sz w:val="32"/>
        </w:rPr>
        <w:t>Summarize as briefly as possible the reasons given by the court for its decision (or</w:t>
      </w:r>
      <w:r w:rsidR="00AB6E9A" w:rsidRPr="00AB6E9A">
        <w:rPr>
          <w:rFonts w:ascii="Arial" w:eastAsia="Arial" w:hAnsi="Arial"/>
          <w:b/>
          <w:sz w:val="32"/>
        </w:rPr>
        <w:t xml:space="preserve"> </w:t>
      </w:r>
      <w:r w:rsidR="00AB6E9A" w:rsidRPr="00AB6E9A">
        <w:rPr>
          <w:rFonts w:ascii="Arial" w:eastAsia="Arial" w:hAnsi="Arial"/>
          <w:sz w:val="32"/>
        </w:rPr>
        <w:t>decisions) and the case or statutory law relied on by the court in arriving at i</w:t>
      </w:r>
      <w:bookmarkStart w:id="0" w:name="_GoBack"/>
      <w:bookmarkEnd w:id="0"/>
      <w:r w:rsidR="00AB6E9A" w:rsidRPr="00AB6E9A">
        <w:rPr>
          <w:rFonts w:ascii="Arial" w:eastAsia="Arial" w:hAnsi="Arial"/>
          <w:sz w:val="32"/>
        </w:rPr>
        <w:t>ts decision.</w:t>
      </w:r>
    </w:p>
    <w:p w:rsidR="00686732" w:rsidRDefault="00686732" w:rsidP="00AB6E9A">
      <w:pPr>
        <w:spacing w:line="110" w:lineRule="exact"/>
        <w:rPr>
          <w:rFonts w:ascii="Times New Roman" w:eastAsia="Times New Roman" w:hAnsi="Times New Roman"/>
          <w:sz w:val="24"/>
        </w:rPr>
      </w:pPr>
    </w:p>
    <w:sectPr w:rsidR="00686732" w:rsidSect="00AB6E9A">
      <w:pgSz w:w="12240" w:h="14400"/>
      <w:pgMar w:top="480" w:right="1440" w:bottom="557" w:left="720" w:header="0" w:footer="0" w:gutter="0"/>
      <w:cols w:space="0" w:equalWidth="0">
        <w:col w:w="10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6334872"/>
    <w:lvl w:ilvl="0" w:tplc="17A8C690">
      <w:start w:val="1"/>
      <w:numFmt w:val="decimal"/>
      <w:lvlText w:val="%1"/>
      <w:lvlJc w:val="left"/>
    </w:lvl>
    <w:lvl w:ilvl="1" w:tplc="362480F4">
      <w:start w:val="1"/>
      <w:numFmt w:val="bullet"/>
      <w:lvlText w:val=""/>
      <w:lvlJc w:val="left"/>
    </w:lvl>
    <w:lvl w:ilvl="2" w:tplc="7AF4631A">
      <w:start w:val="1"/>
      <w:numFmt w:val="bullet"/>
      <w:lvlText w:val=""/>
      <w:lvlJc w:val="left"/>
    </w:lvl>
    <w:lvl w:ilvl="3" w:tplc="5E5EB60C">
      <w:start w:val="1"/>
      <w:numFmt w:val="bullet"/>
      <w:lvlText w:val=""/>
      <w:lvlJc w:val="left"/>
    </w:lvl>
    <w:lvl w:ilvl="4" w:tplc="67AA46DE">
      <w:start w:val="1"/>
      <w:numFmt w:val="bullet"/>
      <w:lvlText w:val=""/>
      <w:lvlJc w:val="left"/>
    </w:lvl>
    <w:lvl w:ilvl="5" w:tplc="4AAE4854">
      <w:start w:val="1"/>
      <w:numFmt w:val="bullet"/>
      <w:lvlText w:val=""/>
      <w:lvlJc w:val="left"/>
    </w:lvl>
    <w:lvl w:ilvl="6" w:tplc="2CEA5646">
      <w:start w:val="1"/>
      <w:numFmt w:val="bullet"/>
      <w:lvlText w:val=""/>
      <w:lvlJc w:val="left"/>
    </w:lvl>
    <w:lvl w:ilvl="7" w:tplc="1A8848B8">
      <w:start w:val="1"/>
      <w:numFmt w:val="bullet"/>
      <w:lvlText w:val=""/>
      <w:lvlJc w:val="left"/>
    </w:lvl>
    <w:lvl w:ilvl="8" w:tplc="2DBC059A">
      <w:start w:val="1"/>
      <w:numFmt w:val="bullet"/>
      <w:lvlText w:val=""/>
      <w:lvlJc w:val="left"/>
    </w:lvl>
  </w:abstractNum>
  <w:abstractNum w:abstractNumId="1">
    <w:nsid w:val="00000002"/>
    <w:multiLevelType w:val="hybridMultilevel"/>
    <w:tmpl w:val="74B0DC50"/>
    <w:lvl w:ilvl="0" w:tplc="E3782074">
      <w:start w:val="1"/>
      <w:numFmt w:val="decimal"/>
      <w:lvlText w:val="%1"/>
      <w:lvlJc w:val="left"/>
    </w:lvl>
    <w:lvl w:ilvl="1" w:tplc="6CAC742C">
      <w:start w:val="1"/>
      <w:numFmt w:val="bullet"/>
      <w:lvlText w:val=""/>
      <w:lvlJc w:val="left"/>
    </w:lvl>
    <w:lvl w:ilvl="2" w:tplc="47D66A7E">
      <w:start w:val="1"/>
      <w:numFmt w:val="bullet"/>
      <w:lvlText w:val=""/>
      <w:lvlJc w:val="left"/>
    </w:lvl>
    <w:lvl w:ilvl="3" w:tplc="DC58C90E">
      <w:start w:val="1"/>
      <w:numFmt w:val="bullet"/>
      <w:lvlText w:val=""/>
      <w:lvlJc w:val="left"/>
    </w:lvl>
    <w:lvl w:ilvl="4" w:tplc="D42634E0">
      <w:start w:val="1"/>
      <w:numFmt w:val="bullet"/>
      <w:lvlText w:val=""/>
      <w:lvlJc w:val="left"/>
    </w:lvl>
    <w:lvl w:ilvl="5" w:tplc="F00E10DC">
      <w:start w:val="1"/>
      <w:numFmt w:val="bullet"/>
      <w:lvlText w:val=""/>
      <w:lvlJc w:val="left"/>
    </w:lvl>
    <w:lvl w:ilvl="6" w:tplc="14F682AC">
      <w:start w:val="1"/>
      <w:numFmt w:val="bullet"/>
      <w:lvlText w:val=""/>
      <w:lvlJc w:val="left"/>
    </w:lvl>
    <w:lvl w:ilvl="7" w:tplc="660C56BC">
      <w:start w:val="1"/>
      <w:numFmt w:val="bullet"/>
      <w:lvlText w:val=""/>
      <w:lvlJc w:val="left"/>
    </w:lvl>
    <w:lvl w:ilvl="8" w:tplc="E26619AC">
      <w:start w:val="1"/>
      <w:numFmt w:val="bullet"/>
      <w:lvlText w:val=""/>
      <w:lvlJc w:val="left"/>
    </w:lvl>
  </w:abstractNum>
  <w:abstractNum w:abstractNumId="2">
    <w:nsid w:val="00000003"/>
    <w:multiLevelType w:val="hybridMultilevel"/>
    <w:tmpl w:val="19495CFE"/>
    <w:lvl w:ilvl="0" w:tplc="B9E656E6">
      <w:start w:val="3"/>
      <w:numFmt w:val="decimal"/>
      <w:lvlText w:val="%1"/>
      <w:lvlJc w:val="left"/>
    </w:lvl>
    <w:lvl w:ilvl="1" w:tplc="2410FD5C">
      <w:start w:val="1"/>
      <w:numFmt w:val="bullet"/>
      <w:lvlText w:val=""/>
      <w:lvlJc w:val="left"/>
    </w:lvl>
    <w:lvl w:ilvl="2" w:tplc="602844F8">
      <w:start w:val="1"/>
      <w:numFmt w:val="bullet"/>
      <w:lvlText w:val=""/>
      <w:lvlJc w:val="left"/>
    </w:lvl>
    <w:lvl w:ilvl="3" w:tplc="3962EABA">
      <w:start w:val="1"/>
      <w:numFmt w:val="bullet"/>
      <w:lvlText w:val=""/>
      <w:lvlJc w:val="left"/>
    </w:lvl>
    <w:lvl w:ilvl="4" w:tplc="9A1478A0">
      <w:start w:val="1"/>
      <w:numFmt w:val="bullet"/>
      <w:lvlText w:val=""/>
      <w:lvlJc w:val="left"/>
    </w:lvl>
    <w:lvl w:ilvl="5" w:tplc="0922BF98">
      <w:start w:val="1"/>
      <w:numFmt w:val="bullet"/>
      <w:lvlText w:val=""/>
      <w:lvlJc w:val="left"/>
    </w:lvl>
    <w:lvl w:ilvl="6" w:tplc="BA84D9B8">
      <w:start w:val="1"/>
      <w:numFmt w:val="bullet"/>
      <w:lvlText w:val=""/>
      <w:lvlJc w:val="left"/>
    </w:lvl>
    <w:lvl w:ilvl="7" w:tplc="FB22D258">
      <w:start w:val="1"/>
      <w:numFmt w:val="bullet"/>
      <w:lvlText w:val=""/>
      <w:lvlJc w:val="left"/>
    </w:lvl>
    <w:lvl w:ilvl="8" w:tplc="2F2874D4">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9A"/>
    <w:rsid w:val="00686732"/>
    <w:rsid w:val="00A67EF6"/>
    <w:rsid w:val="00AB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6A7D2B-6EFA-4B0C-8607-CC8ADE20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211</Words>
  <Characters>1205</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