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A7B" w:rsidRPr="008609A4" w:rsidRDefault="00087A7B" w:rsidP="008609A4">
      <w:pPr>
        <w:shd w:val="clear" w:color="auto" w:fill="FFFFFF"/>
        <w:spacing w:before="100" w:beforeAutospacing="1" w:after="100" w:afterAutospacing="1" w:line="240" w:lineRule="auto"/>
        <w:outlineLvl w:val="1"/>
        <w:rPr>
          <w:rFonts w:ascii="Times New Roman" w:eastAsia="Times New Roman" w:hAnsi="Times New Roman" w:cs="Times New Roman"/>
          <w:sz w:val="36"/>
          <w:szCs w:val="24"/>
        </w:rPr>
      </w:pPr>
      <w:bookmarkStart w:id="0" w:name="SampleCaseandBrief"/>
      <w:r w:rsidRPr="008609A4">
        <w:rPr>
          <w:rFonts w:ascii="Times New Roman" w:eastAsia="Times New Roman" w:hAnsi="Times New Roman" w:cs="Times New Roman"/>
          <w:b/>
          <w:bCs/>
          <w:color w:val="000000"/>
          <w:sz w:val="48"/>
          <w:szCs w:val="36"/>
        </w:rPr>
        <w:t>Sample Case Brief</w:t>
      </w:r>
      <w:bookmarkEnd w:id="0"/>
      <w:r w:rsidRPr="008609A4">
        <w:rPr>
          <w:rFonts w:ascii="Times New Roman" w:eastAsia="Times New Roman" w:hAnsi="Times New Roman" w:cs="Times New Roman"/>
          <w:color w:val="000000"/>
          <w:sz w:val="36"/>
          <w:szCs w:val="27"/>
        </w:rPr>
        <w:br/>
      </w:r>
      <w:bookmarkStart w:id="1" w:name="_GoBack"/>
      <w:bookmarkEnd w:id="1"/>
    </w:p>
    <w:tbl>
      <w:tblPr>
        <w:tblW w:w="4500" w:type="pct"/>
        <w:tblCellSpacing w:w="0" w:type="dxa"/>
        <w:tblBorders>
          <w:top w:val="outset" w:sz="6" w:space="0" w:color="auto"/>
          <w:left w:val="outset" w:sz="6" w:space="0" w:color="auto"/>
          <w:bottom w:val="outset" w:sz="6" w:space="0" w:color="auto"/>
          <w:right w:val="outset" w:sz="6" w:space="0" w:color="auto"/>
        </w:tblBorders>
        <w:shd w:val="clear" w:color="auto" w:fill="FFFFCC"/>
        <w:tblCellMar>
          <w:top w:w="150" w:type="dxa"/>
          <w:left w:w="150" w:type="dxa"/>
          <w:bottom w:w="150" w:type="dxa"/>
          <w:right w:w="150" w:type="dxa"/>
        </w:tblCellMar>
        <w:tblLook w:val="04A0" w:firstRow="1" w:lastRow="0" w:firstColumn="1" w:lastColumn="0" w:noHBand="0" w:noVBand="1"/>
      </w:tblPr>
      <w:tblGrid>
        <w:gridCol w:w="8410"/>
      </w:tblGrid>
      <w:tr w:rsidR="00087A7B" w:rsidRPr="008609A4" w:rsidTr="00087A7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rsidR="00087A7B" w:rsidRPr="008609A4" w:rsidRDefault="00087A7B" w:rsidP="00087A7B">
            <w:pPr>
              <w:spacing w:before="100" w:beforeAutospacing="1" w:after="100" w:afterAutospacing="1" w:line="240" w:lineRule="auto"/>
              <w:outlineLvl w:val="3"/>
              <w:rPr>
                <w:rFonts w:ascii="Times New Roman" w:eastAsia="Times New Roman" w:hAnsi="Times New Roman" w:cs="Times New Roman"/>
                <w:b/>
                <w:bCs/>
                <w:sz w:val="36"/>
                <w:szCs w:val="24"/>
              </w:rPr>
            </w:pPr>
            <w:r w:rsidRPr="008609A4">
              <w:rPr>
                <w:rFonts w:ascii="Times New Roman" w:eastAsia="Times New Roman" w:hAnsi="Times New Roman" w:cs="Times New Roman"/>
                <w:b/>
                <w:bCs/>
                <w:sz w:val="36"/>
                <w:szCs w:val="24"/>
              </w:rPr>
              <w:t>SAMPLE CASE</w:t>
            </w:r>
          </w:p>
          <w:p w:rsidR="00087A7B" w:rsidRPr="008609A4" w:rsidRDefault="00087A7B" w:rsidP="00087A7B">
            <w:pPr>
              <w:spacing w:before="100" w:beforeAutospacing="1" w:after="100" w:afterAutospacing="1" w:line="240" w:lineRule="auto"/>
              <w:rPr>
                <w:rFonts w:ascii="Times New Roman" w:eastAsia="Times New Roman" w:hAnsi="Times New Roman" w:cs="Times New Roman"/>
                <w:sz w:val="36"/>
                <w:szCs w:val="24"/>
              </w:rPr>
            </w:pPr>
            <w:r w:rsidRPr="008609A4">
              <w:rPr>
                <w:rFonts w:ascii="Times New Roman" w:eastAsia="Times New Roman" w:hAnsi="Times New Roman" w:cs="Times New Roman"/>
                <w:sz w:val="36"/>
                <w:szCs w:val="24"/>
              </w:rPr>
              <w:t>The following is a sample case that is commonly used in Contracts Cases to illustrate the idea of a "legal duty." Each element is identified.</w:t>
            </w:r>
          </w:p>
          <w:tbl>
            <w:tblPr>
              <w:tblW w:w="0" w:type="auto"/>
              <w:tblCellSpacing w:w="37" w:type="dxa"/>
              <w:tblCellMar>
                <w:top w:w="75" w:type="dxa"/>
                <w:left w:w="75" w:type="dxa"/>
                <w:bottom w:w="75" w:type="dxa"/>
                <w:right w:w="75" w:type="dxa"/>
              </w:tblCellMar>
              <w:tblLook w:val="04A0" w:firstRow="1" w:lastRow="0" w:firstColumn="1" w:lastColumn="0" w:noHBand="0" w:noVBand="1"/>
            </w:tblPr>
            <w:tblGrid>
              <w:gridCol w:w="4110"/>
              <w:gridCol w:w="3970"/>
            </w:tblGrid>
            <w:tr w:rsidR="00087A7B" w:rsidRPr="008609A4">
              <w:trPr>
                <w:tblCellSpacing w:w="37" w:type="dxa"/>
              </w:trPr>
              <w:tc>
                <w:tcPr>
                  <w:tcW w:w="0" w:type="auto"/>
                  <w:shd w:val="clear" w:color="auto" w:fill="CCFFFF"/>
                  <w:hideMark/>
                </w:tcPr>
                <w:p w:rsidR="00087A7B" w:rsidRPr="008609A4" w:rsidRDefault="00087A7B" w:rsidP="00087A7B">
                  <w:pPr>
                    <w:spacing w:before="100" w:beforeAutospacing="1" w:after="100" w:afterAutospacing="1" w:line="240" w:lineRule="auto"/>
                    <w:rPr>
                      <w:rFonts w:ascii="Times New Roman" w:eastAsia="Times New Roman" w:hAnsi="Times New Roman" w:cs="Times New Roman"/>
                      <w:sz w:val="36"/>
                      <w:szCs w:val="24"/>
                    </w:rPr>
                  </w:pPr>
                  <w:r w:rsidRPr="008609A4">
                    <w:rPr>
                      <w:rFonts w:ascii="Times New Roman" w:eastAsia="Times New Roman" w:hAnsi="Times New Roman" w:cs="Times New Roman"/>
                      <w:b/>
                      <w:bCs/>
                      <w:sz w:val="28"/>
                      <w:szCs w:val="20"/>
                    </w:rPr>
                    <w:t>STEPHEN GRAY, RESPONDENT, v. THERESA D. MARTINO, APPELLANT</w:t>
                  </w:r>
                </w:p>
                <w:p w:rsidR="00087A7B" w:rsidRPr="008609A4" w:rsidRDefault="00087A7B" w:rsidP="00087A7B">
                  <w:pPr>
                    <w:spacing w:before="100" w:beforeAutospacing="1" w:after="100" w:afterAutospacing="1" w:line="240" w:lineRule="auto"/>
                    <w:rPr>
                      <w:rFonts w:ascii="Times New Roman" w:eastAsia="Times New Roman" w:hAnsi="Times New Roman" w:cs="Times New Roman"/>
                      <w:sz w:val="36"/>
                      <w:szCs w:val="24"/>
                    </w:rPr>
                  </w:pPr>
                  <w:r w:rsidRPr="008609A4">
                    <w:rPr>
                      <w:rFonts w:ascii="Times New Roman" w:eastAsia="Times New Roman" w:hAnsi="Times New Roman" w:cs="Times New Roman"/>
                      <w:sz w:val="28"/>
                      <w:szCs w:val="20"/>
                    </w:rPr>
                    <w:t>Supreme Court of New Jersey</w:t>
                  </w:r>
                  <w:r w:rsidRPr="008609A4">
                    <w:rPr>
                      <w:rFonts w:ascii="Times New Roman" w:eastAsia="Times New Roman" w:hAnsi="Times New Roman" w:cs="Times New Roman"/>
                      <w:sz w:val="28"/>
                      <w:szCs w:val="20"/>
                    </w:rPr>
                    <w:br/>
                    <w:t>91 N.J.L. 462; 103 A. 24</w:t>
                  </w:r>
                  <w:r w:rsidRPr="008609A4">
                    <w:rPr>
                      <w:rFonts w:ascii="Times New Roman" w:eastAsia="Times New Roman" w:hAnsi="Times New Roman" w:cs="Times New Roman"/>
                      <w:sz w:val="28"/>
                      <w:szCs w:val="20"/>
                    </w:rPr>
                    <w:br/>
                    <w:t>February 2, 1918, Decided</w:t>
                  </w:r>
                </w:p>
              </w:tc>
              <w:tc>
                <w:tcPr>
                  <w:tcW w:w="0" w:type="auto"/>
                  <w:hideMark/>
                </w:tcPr>
                <w:p w:rsidR="00087A7B" w:rsidRPr="008609A4" w:rsidRDefault="00087A7B" w:rsidP="00087A7B">
                  <w:pPr>
                    <w:spacing w:before="100" w:beforeAutospacing="1" w:after="100" w:afterAutospacing="1" w:line="240" w:lineRule="auto"/>
                    <w:rPr>
                      <w:rFonts w:ascii="Times New Roman" w:eastAsia="Times New Roman" w:hAnsi="Times New Roman" w:cs="Times New Roman"/>
                      <w:sz w:val="36"/>
                      <w:szCs w:val="24"/>
                    </w:rPr>
                  </w:pPr>
                  <w:r w:rsidRPr="008609A4">
                    <w:rPr>
                      <w:rFonts w:ascii="Times New Roman" w:eastAsia="Times New Roman" w:hAnsi="Times New Roman" w:cs="Times New Roman"/>
                      <w:b/>
                      <w:bCs/>
                      <w:sz w:val="28"/>
                      <w:szCs w:val="20"/>
                    </w:rPr>
                    <w:t>Parties:</w:t>
                  </w:r>
                  <w:r w:rsidRPr="008609A4">
                    <w:rPr>
                      <w:rFonts w:ascii="Times New Roman" w:eastAsia="Times New Roman" w:hAnsi="Times New Roman" w:cs="Times New Roman"/>
                      <w:sz w:val="28"/>
                      <w:szCs w:val="20"/>
                    </w:rPr>
                    <w:t> These are the primary parties. Generally the case will be referred to only by the last names of the parties. E.g. </w:t>
                  </w:r>
                  <w:r w:rsidRPr="008609A4">
                    <w:rPr>
                      <w:rFonts w:ascii="Times New Roman" w:eastAsia="Times New Roman" w:hAnsi="Times New Roman" w:cs="Times New Roman"/>
                      <w:i/>
                      <w:iCs/>
                      <w:sz w:val="28"/>
                      <w:szCs w:val="20"/>
                    </w:rPr>
                    <w:t>Gray v. Martino</w:t>
                  </w:r>
                  <w:r w:rsidRPr="008609A4">
                    <w:rPr>
                      <w:rFonts w:ascii="Times New Roman" w:eastAsia="Times New Roman" w:hAnsi="Times New Roman" w:cs="Times New Roman"/>
                      <w:sz w:val="28"/>
                      <w:szCs w:val="20"/>
                    </w:rPr>
                    <w:t>.</w:t>
                  </w:r>
                </w:p>
              </w:tc>
            </w:tr>
            <w:tr w:rsidR="00087A7B" w:rsidRPr="008609A4">
              <w:trPr>
                <w:tblCellSpacing w:w="37" w:type="dxa"/>
              </w:trPr>
              <w:tc>
                <w:tcPr>
                  <w:tcW w:w="0" w:type="auto"/>
                  <w:shd w:val="clear" w:color="auto" w:fill="CCFFFF"/>
                  <w:hideMark/>
                </w:tcPr>
                <w:p w:rsidR="00087A7B" w:rsidRPr="008609A4" w:rsidRDefault="00087A7B" w:rsidP="00087A7B">
                  <w:pPr>
                    <w:spacing w:before="100" w:beforeAutospacing="1" w:after="100" w:afterAutospacing="1" w:line="240" w:lineRule="auto"/>
                    <w:rPr>
                      <w:rFonts w:ascii="Times New Roman" w:eastAsia="Times New Roman" w:hAnsi="Times New Roman" w:cs="Times New Roman"/>
                      <w:sz w:val="36"/>
                      <w:szCs w:val="24"/>
                    </w:rPr>
                  </w:pPr>
                  <w:r w:rsidRPr="008609A4">
                    <w:rPr>
                      <w:rFonts w:ascii="Times New Roman" w:eastAsia="Times New Roman" w:hAnsi="Times New Roman" w:cs="Times New Roman"/>
                      <w:sz w:val="28"/>
                      <w:szCs w:val="20"/>
                    </w:rPr>
                    <w:t xml:space="preserve">MINTURN, J. The plaintiff occupied the position of a special police officer, in Atlantic City, and incidentally was identified with the work of the prosecutor of the pleas of the county. He possessed knowledge concerning the theft of certain diamonds and jewelry from the possession of the defendant, who had advertised a reward for the recovery of the property. In this situation he claims to have entered into a verbal contract with defendant, whereby she agreed to pay him $500 if he could procure for her the names and addresses of the thieves. As a result of his meditation with the police authorities the diamonds and </w:t>
                  </w:r>
                  <w:r w:rsidRPr="008609A4">
                    <w:rPr>
                      <w:rFonts w:ascii="Times New Roman" w:eastAsia="Times New Roman" w:hAnsi="Times New Roman" w:cs="Times New Roman"/>
                      <w:sz w:val="28"/>
                      <w:szCs w:val="20"/>
                    </w:rPr>
                    <w:lastRenderedPageBreak/>
                    <w:t>jewelry were recovered, and plaintiff brought this suit to recover the promised reward.</w:t>
                  </w:r>
                </w:p>
              </w:tc>
              <w:tc>
                <w:tcPr>
                  <w:tcW w:w="0" w:type="auto"/>
                  <w:hideMark/>
                </w:tcPr>
                <w:p w:rsidR="00087A7B" w:rsidRPr="008609A4" w:rsidRDefault="00087A7B" w:rsidP="00087A7B">
                  <w:pPr>
                    <w:spacing w:before="100" w:beforeAutospacing="1" w:after="100" w:afterAutospacing="1" w:line="240" w:lineRule="auto"/>
                    <w:rPr>
                      <w:rFonts w:ascii="Times New Roman" w:eastAsia="Times New Roman" w:hAnsi="Times New Roman" w:cs="Times New Roman"/>
                      <w:sz w:val="36"/>
                      <w:szCs w:val="24"/>
                    </w:rPr>
                  </w:pPr>
                  <w:r w:rsidRPr="008609A4">
                    <w:rPr>
                      <w:rFonts w:ascii="Times New Roman" w:eastAsia="Times New Roman" w:hAnsi="Times New Roman" w:cs="Times New Roman"/>
                      <w:b/>
                      <w:bCs/>
                      <w:sz w:val="28"/>
                      <w:szCs w:val="20"/>
                    </w:rPr>
                    <w:lastRenderedPageBreak/>
                    <w:t>Facts of the case:</w:t>
                  </w:r>
                  <w:r w:rsidRPr="008609A4">
                    <w:rPr>
                      <w:rFonts w:ascii="Times New Roman" w:eastAsia="Times New Roman" w:hAnsi="Times New Roman" w:cs="Times New Roman"/>
                      <w:sz w:val="28"/>
                      <w:szCs w:val="20"/>
                    </w:rPr>
                    <w:t> What happened that brought these parties to court?</w:t>
                  </w:r>
                </w:p>
              </w:tc>
            </w:tr>
            <w:tr w:rsidR="00087A7B" w:rsidRPr="008609A4">
              <w:trPr>
                <w:tblCellSpacing w:w="37" w:type="dxa"/>
              </w:trPr>
              <w:tc>
                <w:tcPr>
                  <w:tcW w:w="0" w:type="auto"/>
                  <w:shd w:val="clear" w:color="auto" w:fill="CCFFFF"/>
                  <w:hideMark/>
                </w:tcPr>
                <w:p w:rsidR="00087A7B" w:rsidRPr="008609A4" w:rsidRDefault="00087A7B" w:rsidP="00087A7B">
                  <w:pPr>
                    <w:spacing w:before="100" w:beforeAutospacing="1" w:after="100" w:afterAutospacing="1" w:line="240" w:lineRule="auto"/>
                    <w:rPr>
                      <w:rFonts w:ascii="Times New Roman" w:eastAsia="Times New Roman" w:hAnsi="Times New Roman" w:cs="Times New Roman"/>
                      <w:sz w:val="36"/>
                      <w:szCs w:val="24"/>
                    </w:rPr>
                  </w:pPr>
                  <w:r w:rsidRPr="008609A4">
                    <w:rPr>
                      <w:rFonts w:ascii="Times New Roman" w:eastAsia="Times New Roman" w:hAnsi="Times New Roman" w:cs="Times New Roman"/>
                      <w:sz w:val="28"/>
                      <w:szCs w:val="20"/>
                    </w:rPr>
                    <w:lastRenderedPageBreak/>
                    <w:t>The District Court, sitting without a jury, awarded plaintiff a judgment for the amount of the reward, and hence this appeal.</w:t>
                  </w:r>
                </w:p>
              </w:tc>
              <w:tc>
                <w:tcPr>
                  <w:tcW w:w="0" w:type="auto"/>
                  <w:hideMark/>
                </w:tcPr>
                <w:p w:rsidR="00087A7B" w:rsidRPr="008609A4" w:rsidRDefault="00087A7B" w:rsidP="00087A7B">
                  <w:pPr>
                    <w:spacing w:before="100" w:beforeAutospacing="1" w:after="100" w:afterAutospacing="1" w:line="240" w:lineRule="auto"/>
                    <w:rPr>
                      <w:rFonts w:ascii="Times New Roman" w:eastAsia="Times New Roman" w:hAnsi="Times New Roman" w:cs="Times New Roman"/>
                      <w:sz w:val="36"/>
                      <w:szCs w:val="24"/>
                    </w:rPr>
                  </w:pPr>
                  <w:r w:rsidRPr="008609A4">
                    <w:rPr>
                      <w:rFonts w:ascii="Times New Roman" w:eastAsia="Times New Roman" w:hAnsi="Times New Roman" w:cs="Times New Roman"/>
                      <w:b/>
                      <w:bCs/>
                      <w:sz w:val="28"/>
                      <w:szCs w:val="20"/>
                    </w:rPr>
                    <w:t>Procedural History:</w:t>
                  </w:r>
                  <w:r w:rsidRPr="008609A4">
                    <w:rPr>
                      <w:rFonts w:ascii="Times New Roman" w:eastAsia="Times New Roman" w:hAnsi="Times New Roman" w:cs="Times New Roman"/>
                      <w:sz w:val="28"/>
                      <w:szCs w:val="20"/>
                    </w:rPr>
                    <w:t> Who won in the court below?</w:t>
                  </w:r>
                </w:p>
              </w:tc>
            </w:tr>
            <w:tr w:rsidR="00087A7B" w:rsidRPr="008609A4">
              <w:trPr>
                <w:tblCellSpacing w:w="37" w:type="dxa"/>
              </w:trPr>
              <w:tc>
                <w:tcPr>
                  <w:tcW w:w="0" w:type="auto"/>
                  <w:shd w:val="clear" w:color="auto" w:fill="CCFFFF"/>
                  <w:hideMark/>
                </w:tcPr>
                <w:p w:rsidR="00087A7B" w:rsidRPr="008609A4" w:rsidRDefault="00087A7B" w:rsidP="00087A7B">
                  <w:pPr>
                    <w:spacing w:before="100" w:beforeAutospacing="1" w:after="100" w:afterAutospacing="1" w:line="240" w:lineRule="auto"/>
                    <w:rPr>
                      <w:rFonts w:ascii="Times New Roman" w:eastAsia="Times New Roman" w:hAnsi="Times New Roman" w:cs="Times New Roman"/>
                      <w:sz w:val="36"/>
                      <w:szCs w:val="24"/>
                    </w:rPr>
                  </w:pPr>
                  <w:r w:rsidRPr="008609A4">
                    <w:rPr>
                      <w:rFonts w:ascii="Times New Roman" w:eastAsia="Times New Roman" w:hAnsi="Times New Roman" w:cs="Times New Roman"/>
                      <w:sz w:val="28"/>
                      <w:szCs w:val="20"/>
                    </w:rPr>
                    <w:t>Various points are discussed in the briefs, but to us the dominant and conspicuous inquiry in the case is, was the plaintiff, during the period of this transaction, a public officer, charged with the enforcement of the law?</w:t>
                  </w:r>
                </w:p>
              </w:tc>
              <w:tc>
                <w:tcPr>
                  <w:tcW w:w="0" w:type="auto"/>
                  <w:hideMark/>
                </w:tcPr>
                <w:p w:rsidR="00087A7B" w:rsidRPr="008609A4" w:rsidRDefault="00087A7B" w:rsidP="00087A7B">
                  <w:pPr>
                    <w:spacing w:before="100" w:beforeAutospacing="1" w:after="100" w:afterAutospacing="1" w:line="240" w:lineRule="auto"/>
                    <w:rPr>
                      <w:rFonts w:ascii="Times New Roman" w:eastAsia="Times New Roman" w:hAnsi="Times New Roman" w:cs="Times New Roman"/>
                      <w:sz w:val="36"/>
                      <w:szCs w:val="24"/>
                    </w:rPr>
                  </w:pPr>
                  <w:r w:rsidRPr="008609A4">
                    <w:rPr>
                      <w:rFonts w:ascii="Times New Roman" w:eastAsia="Times New Roman" w:hAnsi="Times New Roman" w:cs="Times New Roman"/>
                      <w:b/>
                      <w:bCs/>
                      <w:sz w:val="28"/>
                      <w:szCs w:val="20"/>
                    </w:rPr>
                    <w:t>Legal Issue:</w:t>
                  </w:r>
                  <w:r w:rsidRPr="008609A4">
                    <w:rPr>
                      <w:rFonts w:ascii="Times New Roman" w:eastAsia="Times New Roman" w:hAnsi="Times New Roman" w:cs="Times New Roman"/>
                      <w:sz w:val="28"/>
                      <w:szCs w:val="20"/>
                    </w:rPr>
                    <w:t> What fact or circumstance is at issue that will be the deciding factor in how the court rules on this case?</w:t>
                  </w:r>
                </w:p>
              </w:tc>
            </w:tr>
            <w:tr w:rsidR="00087A7B" w:rsidRPr="008609A4">
              <w:trPr>
                <w:tblCellSpacing w:w="37" w:type="dxa"/>
              </w:trPr>
              <w:tc>
                <w:tcPr>
                  <w:tcW w:w="0" w:type="auto"/>
                  <w:shd w:val="clear" w:color="auto" w:fill="CCFFFF"/>
                  <w:hideMark/>
                </w:tcPr>
                <w:p w:rsidR="00087A7B" w:rsidRPr="008609A4" w:rsidRDefault="00087A7B" w:rsidP="00087A7B">
                  <w:pPr>
                    <w:spacing w:before="100" w:beforeAutospacing="1" w:after="100" w:afterAutospacing="1" w:line="240" w:lineRule="auto"/>
                    <w:rPr>
                      <w:rFonts w:ascii="Times New Roman" w:eastAsia="Times New Roman" w:hAnsi="Times New Roman" w:cs="Times New Roman"/>
                      <w:sz w:val="36"/>
                      <w:szCs w:val="24"/>
                    </w:rPr>
                  </w:pPr>
                  <w:r w:rsidRPr="008609A4">
                    <w:rPr>
                      <w:rFonts w:ascii="Times New Roman" w:eastAsia="Times New Roman" w:hAnsi="Times New Roman" w:cs="Times New Roman"/>
                      <w:sz w:val="28"/>
                      <w:szCs w:val="20"/>
                    </w:rPr>
                    <w:t>The testimony makes it manifest that he was a special police officer to some extent identified with the work of the prosecutor's office, and that position, upon well-settled grounds of public policy, required him to assist, at least, in the prosecution of offenders against the law.</w:t>
                  </w:r>
                </w:p>
                <w:p w:rsidR="00087A7B" w:rsidRPr="008609A4" w:rsidRDefault="00087A7B" w:rsidP="00087A7B">
                  <w:pPr>
                    <w:spacing w:before="100" w:beforeAutospacing="1" w:after="100" w:afterAutospacing="1" w:line="240" w:lineRule="auto"/>
                    <w:rPr>
                      <w:rFonts w:ascii="Times New Roman" w:eastAsia="Times New Roman" w:hAnsi="Times New Roman" w:cs="Times New Roman"/>
                      <w:sz w:val="36"/>
                      <w:szCs w:val="24"/>
                    </w:rPr>
                  </w:pPr>
                  <w:r w:rsidRPr="008609A4">
                    <w:rPr>
                      <w:rFonts w:ascii="Times New Roman" w:eastAsia="Times New Roman" w:hAnsi="Times New Roman" w:cs="Times New Roman"/>
                      <w:sz w:val="28"/>
                      <w:szCs w:val="20"/>
                    </w:rPr>
                    <w:t>The services he rendered, in this instance, must be presumed to have been rendered in pursuance of that public duty, and for its performance he was not entitled to receive a special quid pro quo.</w:t>
                  </w:r>
                </w:p>
              </w:tc>
              <w:tc>
                <w:tcPr>
                  <w:tcW w:w="0" w:type="auto"/>
                  <w:hideMark/>
                </w:tcPr>
                <w:p w:rsidR="00087A7B" w:rsidRPr="008609A4" w:rsidRDefault="00087A7B" w:rsidP="00087A7B">
                  <w:pPr>
                    <w:spacing w:before="100" w:beforeAutospacing="1" w:after="100" w:afterAutospacing="1" w:line="240" w:lineRule="auto"/>
                    <w:rPr>
                      <w:rFonts w:ascii="Times New Roman" w:eastAsia="Times New Roman" w:hAnsi="Times New Roman" w:cs="Times New Roman"/>
                      <w:sz w:val="36"/>
                      <w:szCs w:val="24"/>
                    </w:rPr>
                  </w:pPr>
                  <w:r w:rsidRPr="008609A4">
                    <w:rPr>
                      <w:rFonts w:ascii="Times New Roman" w:eastAsia="Times New Roman" w:hAnsi="Times New Roman" w:cs="Times New Roman"/>
                      <w:b/>
                      <w:bCs/>
                      <w:sz w:val="28"/>
                      <w:szCs w:val="20"/>
                    </w:rPr>
                    <w:t>Reasoning/Analysis:</w:t>
                  </w:r>
                  <w:r w:rsidRPr="008609A4">
                    <w:rPr>
                      <w:rFonts w:ascii="Times New Roman" w:eastAsia="Times New Roman" w:hAnsi="Times New Roman" w:cs="Times New Roman"/>
                      <w:sz w:val="28"/>
                      <w:szCs w:val="20"/>
                    </w:rPr>
                    <w:t> The court applies the facts to see whether they satisfy the elements of the rule.</w:t>
                  </w:r>
                </w:p>
              </w:tc>
            </w:tr>
            <w:tr w:rsidR="00087A7B" w:rsidRPr="008609A4">
              <w:trPr>
                <w:tblCellSpacing w:w="37" w:type="dxa"/>
              </w:trPr>
              <w:tc>
                <w:tcPr>
                  <w:tcW w:w="0" w:type="auto"/>
                  <w:shd w:val="clear" w:color="auto" w:fill="CCFFFF"/>
                  <w:hideMark/>
                </w:tcPr>
                <w:p w:rsidR="00087A7B" w:rsidRPr="008609A4" w:rsidRDefault="00087A7B" w:rsidP="00087A7B">
                  <w:pPr>
                    <w:spacing w:before="100" w:beforeAutospacing="1" w:after="100" w:afterAutospacing="1" w:line="240" w:lineRule="auto"/>
                    <w:rPr>
                      <w:rFonts w:ascii="Times New Roman" w:eastAsia="Times New Roman" w:hAnsi="Times New Roman" w:cs="Times New Roman"/>
                      <w:sz w:val="36"/>
                      <w:szCs w:val="24"/>
                    </w:rPr>
                  </w:pPr>
                  <w:r w:rsidRPr="008609A4">
                    <w:rPr>
                      <w:rFonts w:ascii="Times New Roman" w:eastAsia="Times New Roman" w:hAnsi="Times New Roman" w:cs="Times New Roman"/>
                      <w:sz w:val="28"/>
                      <w:szCs w:val="20"/>
                    </w:rPr>
                    <w:t>The cases on the subject are collected in a footnote to </w:t>
                  </w:r>
                  <w:r w:rsidRPr="008609A4">
                    <w:rPr>
                      <w:rFonts w:ascii="Times New Roman" w:eastAsia="Times New Roman" w:hAnsi="Times New Roman" w:cs="Times New Roman"/>
                      <w:i/>
                      <w:iCs/>
                      <w:sz w:val="28"/>
                      <w:szCs w:val="20"/>
                    </w:rPr>
                    <w:t xml:space="preserve">Somerset Bank v. Edmund, 10 Am. &amp; Eng. Ann. </w:t>
                  </w:r>
                  <w:proofErr w:type="spellStart"/>
                  <w:r w:rsidRPr="008609A4">
                    <w:rPr>
                      <w:rFonts w:ascii="Times New Roman" w:eastAsia="Times New Roman" w:hAnsi="Times New Roman" w:cs="Times New Roman"/>
                      <w:i/>
                      <w:iCs/>
                      <w:sz w:val="28"/>
                      <w:szCs w:val="20"/>
                    </w:rPr>
                    <w:t>Cas</w:t>
                  </w:r>
                  <w:proofErr w:type="spellEnd"/>
                  <w:r w:rsidRPr="008609A4">
                    <w:rPr>
                      <w:rFonts w:ascii="Times New Roman" w:eastAsia="Times New Roman" w:hAnsi="Times New Roman" w:cs="Times New Roman"/>
                      <w:i/>
                      <w:iCs/>
                      <w:sz w:val="28"/>
                      <w:szCs w:val="20"/>
                    </w:rPr>
                    <w:t>. 726; 76 Ohio St. Rep. 396</w:t>
                  </w:r>
                  <w:r w:rsidRPr="008609A4">
                    <w:rPr>
                      <w:rFonts w:ascii="Times New Roman" w:eastAsia="Times New Roman" w:hAnsi="Times New Roman" w:cs="Times New Roman"/>
                      <w:sz w:val="28"/>
                      <w:szCs w:val="20"/>
                    </w:rPr>
                    <w:t xml:space="preserve">, the head-note </w:t>
                  </w:r>
                  <w:r w:rsidRPr="008609A4">
                    <w:rPr>
                      <w:rFonts w:ascii="Times New Roman" w:eastAsia="Times New Roman" w:hAnsi="Times New Roman" w:cs="Times New Roman"/>
                      <w:sz w:val="28"/>
                      <w:szCs w:val="20"/>
                    </w:rPr>
                    <w:lastRenderedPageBreak/>
                    <w:t>to which reads: "Public policy and sound morals alike forbid that a public officer should demand or receive for services performed by him in the discharge of official duty any other or further remuneration or reward than that prescribed or allowed by law."</w:t>
                  </w:r>
                </w:p>
                <w:p w:rsidR="00087A7B" w:rsidRPr="008609A4" w:rsidRDefault="00087A7B" w:rsidP="00087A7B">
                  <w:pPr>
                    <w:spacing w:before="100" w:beforeAutospacing="1" w:after="100" w:afterAutospacing="1" w:line="240" w:lineRule="auto"/>
                    <w:rPr>
                      <w:rFonts w:ascii="Times New Roman" w:eastAsia="Times New Roman" w:hAnsi="Times New Roman" w:cs="Times New Roman"/>
                      <w:sz w:val="36"/>
                      <w:szCs w:val="24"/>
                    </w:rPr>
                  </w:pPr>
                  <w:r w:rsidRPr="008609A4">
                    <w:rPr>
                      <w:rFonts w:ascii="Times New Roman" w:eastAsia="Times New Roman" w:hAnsi="Times New Roman" w:cs="Times New Roman"/>
                      <w:sz w:val="28"/>
                      <w:szCs w:val="20"/>
                    </w:rPr>
                    <w:t>This rule of public policy has been relaxed only in those instances where the legislature for sufficient public reason has seen fit by statute to extend the stimulus of a reward to the public without distinction, as in the case of </w:t>
                  </w:r>
                  <w:r w:rsidRPr="008609A4">
                    <w:rPr>
                      <w:rFonts w:ascii="Times New Roman" w:eastAsia="Times New Roman" w:hAnsi="Times New Roman" w:cs="Times New Roman"/>
                      <w:i/>
                      <w:iCs/>
                      <w:sz w:val="28"/>
                      <w:szCs w:val="20"/>
                    </w:rPr>
                    <w:t>United States v. Matthews, 173 U.S. 381</w:t>
                  </w:r>
                  <w:r w:rsidRPr="008609A4">
                    <w:rPr>
                      <w:rFonts w:ascii="Times New Roman" w:eastAsia="Times New Roman" w:hAnsi="Times New Roman" w:cs="Times New Roman"/>
                      <w:sz w:val="28"/>
                      <w:szCs w:val="20"/>
                    </w:rPr>
                    <w:t>, where the attorney-general, under an act for "the detection and prosecution of crimes against the United States," made a public offer of reward sufficiently liberal and generic to comprehend the services of a federal deputy marshal. Exceptions of that character upon familiar principles serve to emphasize the correctness of the rule, as one based upon sound public policy.</w:t>
                  </w:r>
                </w:p>
              </w:tc>
              <w:tc>
                <w:tcPr>
                  <w:tcW w:w="0" w:type="auto"/>
                  <w:hideMark/>
                </w:tcPr>
                <w:p w:rsidR="00087A7B" w:rsidRPr="008609A4" w:rsidRDefault="00087A7B" w:rsidP="00087A7B">
                  <w:pPr>
                    <w:spacing w:before="100" w:beforeAutospacing="1" w:after="100" w:afterAutospacing="1" w:line="240" w:lineRule="auto"/>
                    <w:rPr>
                      <w:rFonts w:ascii="Times New Roman" w:eastAsia="Times New Roman" w:hAnsi="Times New Roman" w:cs="Times New Roman"/>
                      <w:sz w:val="36"/>
                      <w:szCs w:val="24"/>
                    </w:rPr>
                  </w:pPr>
                  <w:r w:rsidRPr="008609A4">
                    <w:rPr>
                      <w:rFonts w:ascii="Times New Roman" w:eastAsia="Times New Roman" w:hAnsi="Times New Roman" w:cs="Times New Roman"/>
                      <w:b/>
                      <w:bCs/>
                      <w:sz w:val="28"/>
                      <w:szCs w:val="20"/>
                    </w:rPr>
                    <w:lastRenderedPageBreak/>
                    <w:t>Rule of Law:</w:t>
                  </w:r>
                  <w:r w:rsidRPr="008609A4">
                    <w:rPr>
                      <w:rFonts w:ascii="Times New Roman" w:eastAsia="Times New Roman" w:hAnsi="Times New Roman" w:cs="Times New Roman"/>
                      <w:sz w:val="28"/>
                      <w:szCs w:val="20"/>
                    </w:rPr>
                    <w:t> Under what rule of law does this issue fall?</w:t>
                  </w:r>
                </w:p>
              </w:tc>
            </w:tr>
            <w:tr w:rsidR="00087A7B" w:rsidRPr="008609A4">
              <w:trPr>
                <w:tblCellSpacing w:w="37" w:type="dxa"/>
              </w:trPr>
              <w:tc>
                <w:tcPr>
                  <w:tcW w:w="0" w:type="auto"/>
                  <w:shd w:val="clear" w:color="auto" w:fill="CCFFFF"/>
                  <w:hideMark/>
                </w:tcPr>
                <w:p w:rsidR="00087A7B" w:rsidRPr="008609A4" w:rsidRDefault="00087A7B" w:rsidP="00087A7B">
                  <w:pPr>
                    <w:spacing w:before="100" w:beforeAutospacing="1" w:after="100" w:afterAutospacing="1" w:line="240" w:lineRule="auto"/>
                    <w:rPr>
                      <w:rFonts w:ascii="Times New Roman" w:eastAsia="Times New Roman" w:hAnsi="Times New Roman" w:cs="Times New Roman"/>
                      <w:sz w:val="36"/>
                      <w:szCs w:val="24"/>
                    </w:rPr>
                  </w:pPr>
                  <w:r w:rsidRPr="008609A4">
                    <w:rPr>
                      <w:rFonts w:ascii="Times New Roman" w:eastAsia="Times New Roman" w:hAnsi="Times New Roman" w:cs="Times New Roman"/>
                      <w:sz w:val="28"/>
                      <w:szCs w:val="20"/>
                    </w:rPr>
                    <w:lastRenderedPageBreak/>
                    <w:t>The judgment below for that reason must be reversed.</w:t>
                  </w:r>
                </w:p>
              </w:tc>
              <w:tc>
                <w:tcPr>
                  <w:tcW w:w="0" w:type="auto"/>
                  <w:hideMark/>
                </w:tcPr>
                <w:p w:rsidR="00087A7B" w:rsidRPr="008609A4" w:rsidRDefault="00087A7B" w:rsidP="00087A7B">
                  <w:pPr>
                    <w:spacing w:before="100" w:beforeAutospacing="1" w:after="100" w:afterAutospacing="1" w:line="240" w:lineRule="auto"/>
                    <w:rPr>
                      <w:rFonts w:ascii="Times New Roman" w:eastAsia="Times New Roman" w:hAnsi="Times New Roman" w:cs="Times New Roman"/>
                      <w:sz w:val="36"/>
                      <w:szCs w:val="24"/>
                    </w:rPr>
                  </w:pPr>
                  <w:r w:rsidRPr="008609A4">
                    <w:rPr>
                      <w:rFonts w:ascii="Times New Roman" w:eastAsia="Times New Roman" w:hAnsi="Times New Roman" w:cs="Times New Roman"/>
                      <w:b/>
                      <w:bCs/>
                      <w:sz w:val="28"/>
                      <w:szCs w:val="20"/>
                    </w:rPr>
                    <w:t>Holding:</w:t>
                  </w:r>
                  <w:r w:rsidRPr="008609A4">
                    <w:rPr>
                      <w:rFonts w:ascii="Times New Roman" w:eastAsia="Times New Roman" w:hAnsi="Times New Roman" w:cs="Times New Roman"/>
                      <w:sz w:val="28"/>
                      <w:szCs w:val="20"/>
                    </w:rPr>
                    <w:t> What is the conclusion of the court?</w:t>
                  </w:r>
                </w:p>
              </w:tc>
            </w:tr>
          </w:tbl>
          <w:p w:rsidR="00087A7B" w:rsidRPr="008609A4" w:rsidRDefault="00087A7B" w:rsidP="00087A7B">
            <w:pPr>
              <w:spacing w:after="0" w:line="240" w:lineRule="auto"/>
              <w:rPr>
                <w:rFonts w:ascii="Times New Roman" w:eastAsia="Times New Roman" w:hAnsi="Times New Roman" w:cs="Times New Roman"/>
                <w:sz w:val="36"/>
                <w:szCs w:val="24"/>
              </w:rPr>
            </w:pPr>
          </w:p>
        </w:tc>
      </w:tr>
    </w:tbl>
    <w:p w:rsidR="00006EE9" w:rsidRPr="008609A4" w:rsidRDefault="00006EE9">
      <w:pPr>
        <w:rPr>
          <w:sz w:val="32"/>
        </w:rPr>
      </w:pPr>
    </w:p>
    <w:sectPr w:rsidR="00006EE9" w:rsidRPr="008609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A7B"/>
    <w:rsid w:val="00006EE9"/>
    <w:rsid w:val="00087A7B"/>
    <w:rsid w:val="00860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B103C8-C95D-4EC1-B316-851B671D4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46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529</Words>
  <Characters>3020</Characters>
  <DocSecurity>0</DocSecurity>
  <Lines>25</Lines>
  <Paragraphs>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3542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