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UNITED STATES OF AMERICA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BEFORE THE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BOARD OF GOVERNORS OF THE FEDERAL RESERVE SYSTEM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WASHINGTON, D.C.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In the Matter of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Beijing, People’s Republic of China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and</w:t>
      </w:r>
      <w:proofErr w:type="gramEnd"/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NEW YORK BRANCH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New York, New York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Docket Nos. 16-018-B-FB</w:t>
      </w:r>
    </w:p>
    <w:p w:rsidR="006A3A6E" w:rsidRPr="00ED5536" w:rsidRDefault="006A3A6E" w:rsidP="005C1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16-018-B-FBR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Cease and Desist Order Issued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Upon Consent Pursuant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Federal Deposit Insurance Act, as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amended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WHEREAS, Agricultural Bank of China, Beijing, People’s Republic of China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(the “Bank”) is a foreign bank as defined in section 1(b)(7) of the International Banking Act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(12 U.S.C. § 3101(7));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WHEREAS, the Bank conducts operations in the United States through a branch in New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York, New York (the “Branch”) for which the Board of Governors of the Federal Reserve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System (the “Board of Governors”) is the appropriate federal supervisor;</w:t>
      </w:r>
    </w:p>
    <w:p w:rsidR="005C1E35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WHEREAS, the most recent examination of the Branch conducted by the Federal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Reserve Bank of New York (the “Reserve Bank”) identified significant deficiencies in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Branch’s risk management and compliance with applicable federal and state laws, rules, and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regulations relating to anti-money laundering (“AML”) compliance, including the Bank Secrecy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Act (“BSA”) (31 U.S.C. § 5311 et seq.); the rules and regulations issued thereunder by the U.S.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Department o</w:t>
      </w:r>
      <w:bookmarkStart w:id="0" w:name="_GoBack"/>
      <w:bookmarkEnd w:id="0"/>
      <w:r w:rsidRPr="00ED5536">
        <w:rPr>
          <w:rFonts w:cstheme="minorHAnsi"/>
          <w:sz w:val="24"/>
          <w:szCs w:val="24"/>
        </w:rPr>
        <w:t>f the Treasury (31 C.F.R. Chapter X); and the requirements of Regulation K of the 2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Board of Governors to report suspicious activity and to maintain an adequate BSA/AML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compliance program (12 C.F.R. §§211.24(f) and 211.24(j)) (collectively, the “BSA/AML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Requirements”);</w:t>
      </w:r>
      <w:r w:rsidR="005C1E35" w:rsidRPr="00ED5536">
        <w:rPr>
          <w:rFonts w:cstheme="minorHAnsi"/>
          <w:sz w:val="24"/>
          <w:szCs w:val="24"/>
        </w:rPr>
        <w:t xml:space="preserve">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WHEREAS, it is the common goal of the Board of Governors, the Reserve Bank,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Bank, and the Branch that the Branch operates in compliance with all applicable federal and state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laws, rules, and regulations;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WHEREAS, the Bank, the Branch, and the Board of Governors have mutually agreed to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enter into this consent Cease and Desist Order (the “Order”)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WHEREAS, on September 23, 2016, the board of directors of the Bank, at a duly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constituted meeting, adopted a resolution authorizing and directing President Zhao </w:t>
      </w:r>
      <w:proofErr w:type="spellStart"/>
      <w:r w:rsidRPr="00ED5536">
        <w:rPr>
          <w:rFonts w:cstheme="minorHAnsi"/>
          <w:sz w:val="24"/>
          <w:szCs w:val="24"/>
        </w:rPr>
        <w:t>Huan</w:t>
      </w:r>
      <w:proofErr w:type="spellEnd"/>
      <w:r w:rsidRPr="00ED5536">
        <w:rPr>
          <w:rFonts w:cstheme="minorHAnsi"/>
          <w:sz w:val="24"/>
          <w:szCs w:val="24"/>
        </w:rPr>
        <w:t xml:space="preserve"> and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General Manager Yu Ming to enter into this Order on behalf of the Bank and the Branch,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lastRenderedPageBreak/>
        <w:t>respectively, and consenting to compliance with each and every provision of this Order by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Bank and the Branch, and waiving all rights that the Bank and the Branch may have pursuant to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section 8 of the Federal Deposit Insurance Act, as amended (the “FDI Act”) (12 U.S.C. § 1818),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including, but not limited to: (</w:t>
      </w:r>
      <w:proofErr w:type="spellStart"/>
      <w:r w:rsidRPr="00ED5536">
        <w:rPr>
          <w:rFonts w:cstheme="minorHAnsi"/>
          <w:sz w:val="24"/>
          <w:szCs w:val="24"/>
        </w:rPr>
        <w:t>i</w:t>
      </w:r>
      <w:proofErr w:type="spellEnd"/>
      <w:r w:rsidRPr="00ED5536">
        <w:rPr>
          <w:rFonts w:cstheme="minorHAnsi"/>
          <w:sz w:val="24"/>
          <w:szCs w:val="24"/>
        </w:rPr>
        <w:t>) the issuance of a notice of charges on any and all matters set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forth in this Order; (ii) a hearing for the purpose of taking evidence on any matters set forth in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this Order; (iii) judicial review of this Order; and (iv) challenge or contest, in any manner,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basis, issuance, validity, terms, effectiveness or enforceability of this Order or any provision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hereof.</w:t>
      </w:r>
    </w:p>
    <w:p w:rsidR="005C1E35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NOW, THEREFORE, it is hereby ordered that, before the filing of any notices, or taking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of any testimony or adjudication of or finding on any issues of fact or law herein, and solely for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the purpose of settling this matter without a formal proceeding being filed and without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necessity for protracted or extended hearings or testimony, pursuant to sections 8(b</w:t>
      </w:r>
      <w:proofErr w:type="gramStart"/>
      <w:r w:rsidRPr="00ED5536">
        <w:rPr>
          <w:rFonts w:cstheme="minorHAnsi"/>
          <w:sz w:val="24"/>
          <w:szCs w:val="24"/>
        </w:rPr>
        <w:t>)(</w:t>
      </w:r>
      <w:proofErr w:type="gramEnd"/>
      <w:r w:rsidRPr="00ED5536">
        <w:rPr>
          <w:rFonts w:cstheme="minorHAnsi"/>
          <w:sz w:val="24"/>
          <w:szCs w:val="24"/>
        </w:rPr>
        <w:t xml:space="preserve">1) and (4) of </w:t>
      </w:r>
      <w:r w:rsidR="005C1E35" w:rsidRPr="00ED5536">
        <w:rPr>
          <w:rFonts w:cstheme="minorHAnsi"/>
          <w:sz w:val="24"/>
          <w:szCs w:val="24"/>
        </w:rPr>
        <w:t xml:space="preserve">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3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the FDI Act (12 U.S.C. §§ 1818(b</w:t>
      </w:r>
      <w:proofErr w:type="gramStart"/>
      <w:r w:rsidRPr="00ED5536">
        <w:rPr>
          <w:rFonts w:cstheme="minorHAnsi"/>
          <w:sz w:val="24"/>
          <w:szCs w:val="24"/>
        </w:rPr>
        <w:t>)(</w:t>
      </w:r>
      <w:proofErr w:type="gramEnd"/>
      <w:r w:rsidRPr="00ED5536">
        <w:rPr>
          <w:rFonts w:cstheme="minorHAnsi"/>
          <w:sz w:val="24"/>
          <w:szCs w:val="24"/>
        </w:rPr>
        <w:t>1) and 1818(b)(4)), the Bank and the Branch shall cease and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desist and take affirmative action as follows: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Corporate Governance and Management Oversight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1. Within 60 days of this Order, the Bank’s board of directors and the Branch’s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management shall jointly submit a written plan to enhance oversight, by the management of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Bank and Branch, of the Branch’s compliance with the BSA/AML Requirements and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regulations issued by the Office of Foreign Assets Control of the United States Department of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the Treasury (“OFAC”) (31 C.F.R. Chapter V) (the “OFAC Regulations”) acceptable to the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Reserve Bank. The plan shall provide for a sustainable governance framework that, at a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minimum, addresses, considers, and includes: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(a) </w:t>
      </w:r>
      <w:proofErr w:type="gramStart"/>
      <w:r w:rsidRPr="00ED5536">
        <w:rPr>
          <w:rFonts w:cstheme="minorHAnsi"/>
          <w:sz w:val="24"/>
          <w:szCs w:val="24"/>
        </w:rPr>
        <w:t>actions</w:t>
      </w:r>
      <w:proofErr w:type="gramEnd"/>
      <w:r w:rsidRPr="00ED5536">
        <w:rPr>
          <w:rFonts w:cstheme="minorHAnsi"/>
          <w:sz w:val="24"/>
          <w:szCs w:val="24"/>
        </w:rPr>
        <w:t xml:space="preserve"> the board of directors will take to maintain effective control over,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and oversight of, Branch management’s compliance with the BSA/AML Requirements and the</w:t>
      </w:r>
      <w:r w:rsidR="005C1E35" w:rsidRPr="00ED5536">
        <w:rPr>
          <w:rFonts w:cstheme="minorHAnsi"/>
          <w:sz w:val="24"/>
          <w:szCs w:val="24"/>
        </w:rPr>
        <w:t xml:space="preserve">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OFAC Regulations;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</w:t>
      </w:r>
      <w:proofErr w:type="gramStart"/>
      <w:r w:rsidRPr="00ED5536">
        <w:rPr>
          <w:rFonts w:cstheme="minorHAnsi"/>
          <w:sz w:val="24"/>
          <w:szCs w:val="24"/>
        </w:rPr>
        <w:t>measures</w:t>
      </w:r>
      <w:proofErr w:type="gramEnd"/>
      <w:r w:rsidRPr="00ED5536">
        <w:rPr>
          <w:rFonts w:cstheme="minorHAnsi"/>
          <w:sz w:val="24"/>
          <w:szCs w:val="24"/>
        </w:rPr>
        <w:t xml:space="preserve"> to improve the management information systems reporting of</w:t>
      </w:r>
      <w:r w:rsidR="008B7A66" w:rsidRPr="00ED5536">
        <w:rPr>
          <w:rFonts w:cstheme="minorHAnsi"/>
          <w:sz w:val="24"/>
          <w:szCs w:val="24"/>
        </w:rPr>
        <w:t xml:space="preserve">  </w:t>
      </w:r>
      <w:r w:rsidRPr="00ED5536">
        <w:rPr>
          <w:rFonts w:cstheme="minorHAnsi"/>
          <w:sz w:val="24"/>
          <w:szCs w:val="24"/>
        </w:rPr>
        <w:t>the Branch’s compliance with the BSA/AML Requirements and the OFAC Regulations to senior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management of the Bank and the Branch;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(c) </w:t>
      </w:r>
      <w:proofErr w:type="gramStart"/>
      <w:r w:rsidRPr="00ED5536">
        <w:rPr>
          <w:rFonts w:cstheme="minorHAnsi"/>
          <w:sz w:val="24"/>
          <w:szCs w:val="24"/>
        </w:rPr>
        <w:t>measures</w:t>
      </w:r>
      <w:proofErr w:type="gramEnd"/>
      <w:r w:rsidRPr="00ED5536">
        <w:rPr>
          <w:rFonts w:cstheme="minorHAnsi"/>
          <w:sz w:val="24"/>
          <w:szCs w:val="24"/>
        </w:rPr>
        <w:t xml:space="preserve"> to ensure BSA/AML issues are appropriately tracked, escalated,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and reviewed by the Branch’s senior management;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(d) </w:t>
      </w:r>
      <w:proofErr w:type="gramStart"/>
      <w:r w:rsidRPr="00ED5536">
        <w:rPr>
          <w:rFonts w:cstheme="minorHAnsi"/>
          <w:sz w:val="24"/>
          <w:szCs w:val="24"/>
        </w:rPr>
        <w:t>measures</w:t>
      </w:r>
      <w:proofErr w:type="gramEnd"/>
      <w:r w:rsidRPr="00ED5536">
        <w:rPr>
          <w:rFonts w:cstheme="minorHAnsi"/>
          <w:sz w:val="24"/>
          <w:szCs w:val="24"/>
        </w:rPr>
        <w:t xml:space="preserve"> to ensure that the person or groups at the Bank and the Branch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charged with the responsibility of overseeing the Branch’s compliance with the BSA/AML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Requirements and the OFAC Regulations possess appropriate subject matter expertise and are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 xml:space="preserve">actively involved in carrying out such responsibilities;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4</w:t>
      </w:r>
      <w:r w:rsidR="005C1E35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(e) allocation of adequate staffing levels and resources to ensure the Branch’s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compliance with this Agreement, the BSA/AML Requirements, and the OFAC Regulations;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lastRenderedPageBreak/>
        <w:t xml:space="preserve">(f)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direct line of communication between the Branch’s BSA/AML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compliance officer and the board of directors or committee thereof.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BSA/AML Compliance Program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2. Within 60 days of this Order, the Bank and the Branch shall jointly submit 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written</w:t>
      </w:r>
      <w:proofErr w:type="gramEnd"/>
      <w:r w:rsidRPr="00ED5536">
        <w:rPr>
          <w:rFonts w:cstheme="minorHAnsi"/>
          <w:sz w:val="24"/>
          <w:szCs w:val="24"/>
        </w:rPr>
        <w:t xml:space="preserve"> revised BSA/AML compliance program for the Branch acceptable to the Reserve Bank.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The revised program, at a minimum, shall provide for: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(a)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system of internal controls reasonably designed to ensure compliance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with</w:t>
      </w:r>
      <w:proofErr w:type="gramEnd"/>
      <w:r w:rsidRPr="00ED5536">
        <w:rPr>
          <w:rFonts w:cstheme="minorHAnsi"/>
          <w:sz w:val="24"/>
          <w:szCs w:val="24"/>
        </w:rPr>
        <w:t xml:space="preserve"> the BSA/AML Requirements;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</w:t>
      </w:r>
      <w:proofErr w:type="gramStart"/>
      <w:r w:rsidRPr="00ED5536">
        <w:rPr>
          <w:rFonts w:cstheme="minorHAnsi"/>
          <w:sz w:val="24"/>
          <w:szCs w:val="24"/>
        </w:rPr>
        <w:t>controls</w:t>
      </w:r>
      <w:proofErr w:type="gramEnd"/>
      <w:r w:rsidRPr="00ED5536">
        <w:rPr>
          <w:rFonts w:cstheme="minorHAnsi"/>
          <w:sz w:val="24"/>
          <w:szCs w:val="24"/>
        </w:rPr>
        <w:t xml:space="preserve"> reasonably designed to ensure compliance with all requirements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relating</w:t>
      </w:r>
      <w:proofErr w:type="gramEnd"/>
      <w:r w:rsidRPr="00ED5536">
        <w:rPr>
          <w:rFonts w:cstheme="minorHAnsi"/>
          <w:sz w:val="24"/>
          <w:szCs w:val="24"/>
        </w:rPr>
        <w:t xml:space="preserve"> to correspondent accounts for foreign financial institutions, including, but not limited to,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affiliates</w:t>
      </w:r>
      <w:proofErr w:type="gramEnd"/>
      <w:r w:rsidRPr="00ED5536">
        <w:rPr>
          <w:rFonts w:cstheme="minorHAnsi"/>
          <w:sz w:val="24"/>
          <w:szCs w:val="24"/>
        </w:rPr>
        <w:t>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(c)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comprehensive BSA/AML risk assessment that identifies and considers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all</w:t>
      </w:r>
      <w:proofErr w:type="gramEnd"/>
      <w:r w:rsidRPr="00ED5536">
        <w:rPr>
          <w:rFonts w:cstheme="minorHAnsi"/>
          <w:sz w:val="24"/>
          <w:szCs w:val="24"/>
        </w:rPr>
        <w:t xml:space="preserve"> products and services of the Branch, customer types, including, but not limited to, politically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exposed</w:t>
      </w:r>
      <w:proofErr w:type="gramEnd"/>
      <w:r w:rsidRPr="00ED5536">
        <w:rPr>
          <w:rFonts w:cstheme="minorHAnsi"/>
          <w:sz w:val="24"/>
          <w:szCs w:val="24"/>
        </w:rPr>
        <w:t xml:space="preserve"> persons, and geographic location, as appropriate, in determining inherent and residual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risks</w:t>
      </w:r>
      <w:proofErr w:type="gramEnd"/>
      <w:r w:rsidRPr="00ED5536">
        <w:rPr>
          <w:rFonts w:cstheme="minorHAnsi"/>
          <w:sz w:val="24"/>
          <w:szCs w:val="24"/>
        </w:rPr>
        <w:t>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(d) </w:t>
      </w:r>
      <w:proofErr w:type="gramStart"/>
      <w:r w:rsidRPr="00ED5536">
        <w:rPr>
          <w:rFonts w:cstheme="minorHAnsi"/>
          <w:sz w:val="24"/>
          <w:szCs w:val="24"/>
        </w:rPr>
        <w:t>management</w:t>
      </w:r>
      <w:proofErr w:type="gramEnd"/>
      <w:r w:rsidRPr="00ED5536">
        <w:rPr>
          <w:rFonts w:cstheme="minorHAnsi"/>
          <w:sz w:val="24"/>
          <w:szCs w:val="24"/>
        </w:rPr>
        <w:t xml:space="preserve"> of the Branch’s BSA/AML compliance program by a qualified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compliance</w:t>
      </w:r>
      <w:proofErr w:type="gramEnd"/>
      <w:r w:rsidRPr="00ED5536">
        <w:rPr>
          <w:rFonts w:cstheme="minorHAnsi"/>
          <w:sz w:val="24"/>
          <w:szCs w:val="24"/>
        </w:rPr>
        <w:t xml:space="preserve"> officer, who is given full autonomy, independence, and responsibility for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implementing</w:t>
      </w:r>
      <w:proofErr w:type="gramEnd"/>
      <w:r w:rsidRPr="00ED5536">
        <w:rPr>
          <w:rFonts w:cstheme="minorHAnsi"/>
          <w:sz w:val="24"/>
          <w:szCs w:val="24"/>
        </w:rPr>
        <w:t xml:space="preserve"> and maintaining an effective BSA/AML compliance program that is commensurate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with</w:t>
      </w:r>
      <w:proofErr w:type="gramEnd"/>
      <w:r w:rsidRPr="00ED5536">
        <w:rPr>
          <w:rFonts w:cstheme="minorHAnsi"/>
          <w:sz w:val="24"/>
          <w:szCs w:val="24"/>
        </w:rPr>
        <w:t xml:space="preserve"> the Branch’s size and risk profile, and is supported by adequate staffing levels and resources;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5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 xml:space="preserve"> (</w:t>
      </w:r>
      <w:proofErr w:type="gramEnd"/>
      <w:r w:rsidRPr="00ED5536">
        <w:rPr>
          <w:rFonts w:cstheme="minorHAnsi"/>
          <w:sz w:val="24"/>
          <w:szCs w:val="24"/>
        </w:rPr>
        <w:t>e) identification of management information systems used to achieve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compliance</w:t>
      </w:r>
      <w:proofErr w:type="gramEnd"/>
      <w:r w:rsidRPr="00ED5536">
        <w:rPr>
          <w:rFonts w:cstheme="minorHAnsi"/>
          <w:sz w:val="24"/>
          <w:szCs w:val="24"/>
        </w:rPr>
        <w:t xml:space="preserve"> with the BSA/AML Requirements and a timeline to review key systems to ensure they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are</w:t>
      </w:r>
      <w:proofErr w:type="gramEnd"/>
      <w:r w:rsidRPr="00ED5536">
        <w:rPr>
          <w:rFonts w:cstheme="minorHAnsi"/>
          <w:sz w:val="24"/>
          <w:szCs w:val="24"/>
        </w:rPr>
        <w:t xml:space="preserve"> configured to mitigate BSA/AML risks;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(f) </w:t>
      </w:r>
      <w:proofErr w:type="gramStart"/>
      <w:r w:rsidRPr="00ED5536">
        <w:rPr>
          <w:rFonts w:cstheme="minorHAnsi"/>
          <w:sz w:val="24"/>
          <w:szCs w:val="24"/>
        </w:rPr>
        <w:t>internal</w:t>
      </w:r>
      <w:proofErr w:type="gramEnd"/>
      <w:r w:rsidRPr="00ED5536">
        <w:rPr>
          <w:rFonts w:cstheme="minorHAnsi"/>
          <w:sz w:val="24"/>
          <w:szCs w:val="24"/>
        </w:rPr>
        <w:t xml:space="preserve"> controls to ensure that the data received by the Branch’s BSA/AML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monitoring</w:t>
      </w:r>
      <w:proofErr w:type="gramEnd"/>
      <w:r w:rsidRPr="00ED5536">
        <w:rPr>
          <w:rFonts w:cstheme="minorHAnsi"/>
          <w:sz w:val="24"/>
          <w:szCs w:val="24"/>
        </w:rPr>
        <w:t xml:space="preserve"> system is complete and interpretable by the system;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(g) </w:t>
      </w:r>
      <w:proofErr w:type="gramStart"/>
      <w:r w:rsidRPr="00ED5536">
        <w:rPr>
          <w:rFonts w:cstheme="minorHAnsi"/>
          <w:sz w:val="24"/>
          <w:szCs w:val="24"/>
        </w:rPr>
        <w:t>comprehensive</w:t>
      </w:r>
      <w:proofErr w:type="gramEnd"/>
      <w:r w:rsidRPr="00ED5536">
        <w:rPr>
          <w:rFonts w:cstheme="minorHAnsi"/>
          <w:sz w:val="24"/>
          <w:szCs w:val="24"/>
        </w:rPr>
        <w:t xml:space="preserve"> and timely independent testing for the Branch’s compliance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lastRenderedPageBreak/>
        <w:t>with</w:t>
      </w:r>
      <w:proofErr w:type="gramEnd"/>
      <w:r w:rsidRPr="00ED5536">
        <w:rPr>
          <w:rFonts w:cstheme="minorHAnsi"/>
          <w:sz w:val="24"/>
          <w:szCs w:val="24"/>
        </w:rPr>
        <w:t xml:space="preserve"> applicable BSA/AML Requirements;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(h) </w:t>
      </w:r>
      <w:proofErr w:type="gramStart"/>
      <w:r w:rsidRPr="00ED5536">
        <w:rPr>
          <w:rFonts w:cstheme="minorHAnsi"/>
          <w:sz w:val="24"/>
          <w:szCs w:val="24"/>
        </w:rPr>
        <w:t>effective</w:t>
      </w:r>
      <w:proofErr w:type="gramEnd"/>
      <w:r w:rsidRPr="00ED5536">
        <w:rPr>
          <w:rFonts w:cstheme="minorHAnsi"/>
          <w:sz w:val="24"/>
          <w:szCs w:val="24"/>
        </w:rPr>
        <w:t>, ongoing training of all personnel including targeted training for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personnel</w:t>
      </w:r>
      <w:proofErr w:type="gramEnd"/>
      <w:r w:rsidRPr="00ED5536">
        <w:rPr>
          <w:rFonts w:cstheme="minorHAnsi"/>
          <w:sz w:val="24"/>
          <w:szCs w:val="24"/>
        </w:rPr>
        <w:t xml:space="preserve"> with compliance-related responsibilities, in all aspects of the BSA/AML Requirements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and</w:t>
      </w:r>
      <w:proofErr w:type="gramEnd"/>
      <w:r w:rsidRPr="00ED5536">
        <w:rPr>
          <w:rFonts w:cstheme="minorHAnsi"/>
          <w:sz w:val="24"/>
          <w:szCs w:val="24"/>
        </w:rPr>
        <w:t xml:space="preserve"> internal policies and procedures.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Customer Due Diligence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3. Within 60 days of this Order, the Bank and the Branch shall jointly submit 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written</w:t>
      </w:r>
      <w:proofErr w:type="gramEnd"/>
      <w:r w:rsidRPr="00ED5536">
        <w:rPr>
          <w:rFonts w:cstheme="minorHAnsi"/>
          <w:sz w:val="24"/>
          <w:szCs w:val="24"/>
        </w:rPr>
        <w:t xml:space="preserve"> revised customer due diligence program for the Branch acceptable to the Reserve Bank.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At a minimum, the program shall include: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(a)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revised methodology for determining risk ratings to account holders that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considers</w:t>
      </w:r>
      <w:proofErr w:type="gramEnd"/>
      <w:r w:rsidRPr="00ED5536">
        <w:rPr>
          <w:rFonts w:cstheme="minorHAnsi"/>
          <w:sz w:val="24"/>
          <w:szCs w:val="24"/>
        </w:rPr>
        <w:t xml:space="preserve"> factors such as type of customer, type of products and services, and geographic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location</w:t>
      </w:r>
      <w:proofErr w:type="gramEnd"/>
      <w:r w:rsidRPr="00ED5536">
        <w:rPr>
          <w:rFonts w:cstheme="minorHAnsi"/>
          <w:sz w:val="24"/>
          <w:szCs w:val="24"/>
        </w:rPr>
        <w:t>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</w:t>
      </w:r>
      <w:proofErr w:type="gramStart"/>
      <w:r w:rsidRPr="00ED5536">
        <w:rPr>
          <w:rFonts w:cstheme="minorHAnsi"/>
          <w:sz w:val="24"/>
          <w:szCs w:val="24"/>
        </w:rPr>
        <w:t>policies</w:t>
      </w:r>
      <w:proofErr w:type="gramEnd"/>
      <w:r w:rsidRPr="00ED5536">
        <w:rPr>
          <w:rFonts w:cstheme="minorHAnsi"/>
          <w:sz w:val="24"/>
          <w:szCs w:val="24"/>
        </w:rPr>
        <w:t>, procedures, and controls to ensure that foreign correspondent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accounts</w:t>
      </w:r>
      <w:proofErr w:type="gramEnd"/>
      <w:r w:rsidRPr="00ED5536">
        <w:rPr>
          <w:rFonts w:cstheme="minorHAnsi"/>
          <w:sz w:val="24"/>
          <w:szCs w:val="24"/>
        </w:rPr>
        <w:t>, including, but not limited to affiliates, are accorded the appropriate due diligence,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where</w:t>
      </w:r>
      <w:proofErr w:type="gramEnd"/>
      <w:r w:rsidRPr="00ED5536">
        <w:rPr>
          <w:rFonts w:cstheme="minorHAnsi"/>
          <w:sz w:val="24"/>
          <w:szCs w:val="24"/>
        </w:rPr>
        <w:t xml:space="preserve"> necessary, enhanced due diligence;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(c) </w:t>
      </w:r>
      <w:proofErr w:type="gramStart"/>
      <w:r w:rsidRPr="00ED5536">
        <w:rPr>
          <w:rFonts w:cstheme="minorHAnsi"/>
          <w:sz w:val="24"/>
          <w:szCs w:val="24"/>
        </w:rPr>
        <w:t>periodic</w:t>
      </w:r>
      <w:proofErr w:type="gramEnd"/>
      <w:r w:rsidRPr="00ED5536">
        <w:rPr>
          <w:rFonts w:cstheme="minorHAnsi"/>
          <w:sz w:val="24"/>
          <w:szCs w:val="24"/>
        </w:rPr>
        <w:t xml:space="preserve"> reviews and evaluations of customer and account information for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entire customer base to ensure that information is current, complete, and that the risk profile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6</w:t>
      </w:r>
      <w:r w:rsidR="008B7A66" w:rsidRPr="00ED5536">
        <w:rPr>
          <w:rFonts w:cstheme="minorHAnsi"/>
          <w:sz w:val="24"/>
          <w:szCs w:val="24"/>
        </w:rPr>
        <w:t xml:space="preserve">  </w:t>
      </w:r>
      <w:r w:rsidRPr="00ED5536">
        <w:rPr>
          <w:rFonts w:cstheme="minorHAnsi"/>
          <w:sz w:val="24"/>
          <w:szCs w:val="24"/>
        </w:rPr>
        <w:t>reflects</w:t>
      </w:r>
      <w:proofErr w:type="gramEnd"/>
      <w:r w:rsidRPr="00ED5536">
        <w:rPr>
          <w:rFonts w:cstheme="minorHAnsi"/>
          <w:sz w:val="24"/>
          <w:szCs w:val="24"/>
        </w:rPr>
        <w:t xml:space="preserve"> the current information, and if applicable, documenting rationales for any revisions made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to</w:t>
      </w:r>
      <w:proofErr w:type="gramEnd"/>
      <w:r w:rsidRPr="00ED5536">
        <w:rPr>
          <w:rFonts w:cstheme="minorHAnsi"/>
          <w:sz w:val="24"/>
          <w:szCs w:val="24"/>
        </w:rPr>
        <w:t xml:space="preserve"> the customer risk rating.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Suspicious Activity Monitoring and Reporting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4. Within 60 days of this Order, the Bank and the Branch shall jointly submit 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written</w:t>
      </w:r>
      <w:proofErr w:type="gramEnd"/>
      <w:r w:rsidRPr="00ED5536">
        <w:rPr>
          <w:rFonts w:cstheme="minorHAnsi"/>
          <w:sz w:val="24"/>
          <w:szCs w:val="24"/>
        </w:rPr>
        <w:t xml:space="preserve"> program reasonably designed to ensure the identification and timely, accurate,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complete</w:t>
      </w:r>
      <w:proofErr w:type="gramEnd"/>
      <w:r w:rsidRPr="00ED5536">
        <w:rPr>
          <w:rFonts w:cstheme="minorHAnsi"/>
          <w:sz w:val="24"/>
          <w:szCs w:val="24"/>
        </w:rPr>
        <w:t xml:space="preserve"> reporting by the Branch of all known or suspected violations of law or suspicious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transactions</w:t>
      </w:r>
      <w:proofErr w:type="gramEnd"/>
      <w:r w:rsidRPr="00ED5536">
        <w:rPr>
          <w:rFonts w:cstheme="minorHAnsi"/>
          <w:sz w:val="24"/>
          <w:szCs w:val="24"/>
        </w:rPr>
        <w:t xml:space="preserve"> to law enforcement and supervisory authorities, as required by applicable suspicious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activity</w:t>
      </w:r>
      <w:proofErr w:type="gramEnd"/>
      <w:r w:rsidRPr="00ED5536">
        <w:rPr>
          <w:rFonts w:cstheme="minorHAnsi"/>
          <w:sz w:val="24"/>
          <w:szCs w:val="24"/>
        </w:rPr>
        <w:t xml:space="preserve"> reporting laws and regulations acceptable to the Reserve Bank. At a minimum,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lastRenderedPageBreak/>
        <w:t>program</w:t>
      </w:r>
      <w:proofErr w:type="gramEnd"/>
      <w:r w:rsidRPr="00ED5536">
        <w:rPr>
          <w:rFonts w:cstheme="minorHAnsi"/>
          <w:sz w:val="24"/>
          <w:szCs w:val="24"/>
        </w:rPr>
        <w:t xml:space="preserve"> shall include: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(a)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well-documented methodology for establishing monitoring rules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thresholds</w:t>
      </w:r>
      <w:proofErr w:type="gramEnd"/>
      <w:r w:rsidRPr="00ED5536">
        <w:rPr>
          <w:rFonts w:cstheme="minorHAnsi"/>
          <w:sz w:val="24"/>
          <w:szCs w:val="24"/>
        </w:rPr>
        <w:t xml:space="preserve"> appropriate for the Branch’s profile which considers factors such as type of customer,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type</w:t>
      </w:r>
      <w:proofErr w:type="gramEnd"/>
      <w:r w:rsidRPr="00ED5536">
        <w:rPr>
          <w:rFonts w:cstheme="minorHAnsi"/>
          <w:sz w:val="24"/>
          <w:szCs w:val="24"/>
        </w:rPr>
        <w:t xml:space="preserve"> of product or service, geographic location, and foreign correspondent banking activities,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including</w:t>
      </w:r>
      <w:proofErr w:type="gramEnd"/>
      <w:r w:rsidRPr="00ED5536">
        <w:rPr>
          <w:rFonts w:cstheme="minorHAnsi"/>
          <w:sz w:val="24"/>
          <w:szCs w:val="24"/>
        </w:rPr>
        <w:t xml:space="preserve"> U.S. dollar clearing activities;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</w:t>
      </w:r>
      <w:proofErr w:type="gramStart"/>
      <w:r w:rsidRPr="00ED5536">
        <w:rPr>
          <w:rFonts w:cstheme="minorHAnsi"/>
          <w:sz w:val="24"/>
          <w:szCs w:val="24"/>
        </w:rPr>
        <w:t>policies</w:t>
      </w:r>
      <w:proofErr w:type="gramEnd"/>
      <w:r w:rsidRPr="00ED5536">
        <w:rPr>
          <w:rFonts w:cstheme="minorHAnsi"/>
          <w:sz w:val="24"/>
          <w:szCs w:val="24"/>
        </w:rPr>
        <w:t xml:space="preserve"> and procedures for analyzing, testing, and documenting changes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to</w:t>
      </w:r>
      <w:proofErr w:type="gramEnd"/>
      <w:r w:rsidRPr="00ED5536">
        <w:rPr>
          <w:rFonts w:cstheme="minorHAnsi"/>
          <w:sz w:val="24"/>
          <w:szCs w:val="24"/>
        </w:rPr>
        <w:t xml:space="preserve"> monitoring rules and thresholds;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(</w:t>
      </w:r>
      <w:proofErr w:type="gramStart"/>
      <w:r w:rsidRPr="00ED5536">
        <w:rPr>
          <w:rFonts w:cstheme="minorHAnsi"/>
          <w:sz w:val="24"/>
          <w:szCs w:val="24"/>
        </w:rPr>
        <w:t>c</w:t>
      </w:r>
      <w:proofErr w:type="gramEnd"/>
      <w:r w:rsidRPr="00ED5536">
        <w:rPr>
          <w:rFonts w:cstheme="minorHAnsi"/>
          <w:sz w:val="24"/>
          <w:szCs w:val="24"/>
        </w:rPr>
        <w:t>) enhanced monitoring and investigation criteria and procedures to ensure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timely detection, investigation, and reporting of all known or suspected violations of law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suspicious</w:t>
      </w:r>
      <w:proofErr w:type="gramEnd"/>
      <w:r w:rsidRPr="00ED5536">
        <w:rPr>
          <w:rFonts w:cstheme="minorHAnsi"/>
          <w:sz w:val="24"/>
          <w:szCs w:val="24"/>
        </w:rPr>
        <w:t xml:space="preserve"> transactions, including, but not limited to: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(</w:t>
      </w:r>
      <w:proofErr w:type="spellStart"/>
      <w:r w:rsidRPr="00ED5536">
        <w:rPr>
          <w:rFonts w:cstheme="minorHAnsi"/>
          <w:sz w:val="24"/>
          <w:szCs w:val="24"/>
        </w:rPr>
        <w:t>i</w:t>
      </w:r>
      <w:proofErr w:type="spellEnd"/>
      <w:r w:rsidRPr="00ED5536">
        <w:rPr>
          <w:rFonts w:cstheme="minorHAnsi"/>
          <w:sz w:val="24"/>
          <w:szCs w:val="24"/>
        </w:rPr>
        <w:t xml:space="preserve">) </w:t>
      </w:r>
      <w:proofErr w:type="gramStart"/>
      <w:r w:rsidRPr="00ED5536">
        <w:rPr>
          <w:rFonts w:cstheme="minorHAnsi"/>
          <w:sz w:val="24"/>
          <w:szCs w:val="24"/>
        </w:rPr>
        <w:t>effective</w:t>
      </w:r>
      <w:proofErr w:type="gramEnd"/>
      <w:r w:rsidRPr="00ED5536">
        <w:rPr>
          <w:rFonts w:cstheme="minorHAnsi"/>
          <w:sz w:val="24"/>
          <w:szCs w:val="24"/>
        </w:rPr>
        <w:t xml:space="preserve"> monitoring of customer accounts and transactions,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including</w:t>
      </w:r>
      <w:proofErr w:type="gramEnd"/>
      <w:r w:rsidRPr="00ED5536">
        <w:rPr>
          <w:rFonts w:cstheme="minorHAnsi"/>
          <w:sz w:val="24"/>
          <w:szCs w:val="24"/>
        </w:rPr>
        <w:t>, but not limited to, transactions conducted through foreign correspondent accounts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trade</w:t>
      </w:r>
      <w:proofErr w:type="gramEnd"/>
      <w:r w:rsidRPr="00ED5536">
        <w:rPr>
          <w:rFonts w:cstheme="minorHAnsi"/>
          <w:sz w:val="24"/>
          <w:szCs w:val="24"/>
        </w:rPr>
        <w:t xml:space="preserve"> finance related transactions;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(ii) </w:t>
      </w:r>
      <w:proofErr w:type="gramStart"/>
      <w:r w:rsidRPr="00ED5536">
        <w:rPr>
          <w:rFonts w:cstheme="minorHAnsi"/>
          <w:sz w:val="24"/>
          <w:szCs w:val="24"/>
        </w:rPr>
        <w:t>adequate</w:t>
      </w:r>
      <w:proofErr w:type="gramEnd"/>
      <w:r w:rsidRPr="00ED5536">
        <w:rPr>
          <w:rFonts w:cstheme="minorHAnsi"/>
          <w:sz w:val="24"/>
          <w:szCs w:val="24"/>
        </w:rPr>
        <w:t xml:space="preserve"> escalation of information about potentially suspicious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activity</w:t>
      </w:r>
      <w:proofErr w:type="gramEnd"/>
      <w:r w:rsidRPr="00ED5536">
        <w:rPr>
          <w:rFonts w:cstheme="minorHAnsi"/>
          <w:sz w:val="24"/>
          <w:szCs w:val="24"/>
        </w:rPr>
        <w:t xml:space="preserve"> through appropriate levels of management; and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7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(iii) maintenance of sufficient documentation with respect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investigation</w:t>
      </w:r>
      <w:proofErr w:type="gramEnd"/>
      <w:r w:rsidRPr="00ED5536">
        <w:rPr>
          <w:rFonts w:cstheme="minorHAnsi"/>
          <w:sz w:val="24"/>
          <w:szCs w:val="24"/>
        </w:rPr>
        <w:t xml:space="preserve"> and analysis of potentially suspicious activity, including the resolution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escalation</w:t>
      </w:r>
      <w:proofErr w:type="gramEnd"/>
      <w:r w:rsidRPr="00ED5536">
        <w:rPr>
          <w:rFonts w:cstheme="minorHAnsi"/>
          <w:sz w:val="24"/>
          <w:szCs w:val="24"/>
        </w:rPr>
        <w:t xml:space="preserve"> of concerns;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(d)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timeline to review key systems and to remediate deficiencies;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(e) </w:t>
      </w:r>
      <w:proofErr w:type="gramStart"/>
      <w:r w:rsidRPr="00ED5536">
        <w:rPr>
          <w:rFonts w:cstheme="minorHAnsi"/>
          <w:sz w:val="24"/>
          <w:szCs w:val="24"/>
        </w:rPr>
        <w:t>measures</w:t>
      </w:r>
      <w:proofErr w:type="gramEnd"/>
      <w:r w:rsidRPr="00ED5536">
        <w:rPr>
          <w:rFonts w:cstheme="minorHAnsi"/>
          <w:sz w:val="24"/>
          <w:szCs w:val="24"/>
        </w:rPr>
        <w:t xml:space="preserve"> to ensure BSA/AML issues are appropriately tracked, escalated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and</w:t>
      </w:r>
      <w:proofErr w:type="gramEnd"/>
      <w:r w:rsidRPr="00ED5536">
        <w:rPr>
          <w:rFonts w:cstheme="minorHAnsi"/>
          <w:sz w:val="24"/>
          <w:szCs w:val="24"/>
        </w:rPr>
        <w:t xml:space="preserve"> reviewed by the Branch’s senior management.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Transaction Review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5. (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>) Within 30 days of this Order, the Bank and the Branch shall engage an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independent</w:t>
      </w:r>
      <w:proofErr w:type="gramEnd"/>
      <w:r w:rsidRPr="00ED5536">
        <w:rPr>
          <w:rFonts w:cstheme="minorHAnsi"/>
          <w:sz w:val="24"/>
          <w:szCs w:val="24"/>
        </w:rPr>
        <w:t xml:space="preserve"> third party acceptable to the Reserve Bank to conduct a review of the Branch’s U.S.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lastRenderedPageBreak/>
        <w:t>dollar</w:t>
      </w:r>
      <w:proofErr w:type="gramEnd"/>
      <w:r w:rsidRPr="00ED5536">
        <w:rPr>
          <w:rFonts w:cstheme="minorHAnsi"/>
          <w:sz w:val="24"/>
          <w:szCs w:val="24"/>
        </w:rPr>
        <w:t xml:space="preserve"> clearing transaction activity from October 1, 2014 to March 31, 2015 to determine whether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suspicious</w:t>
      </w:r>
      <w:proofErr w:type="gramEnd"/>
      <w:r w:rsidRPr="00ED5536">
        <w:rPr>
          <w:rFonts w:cstheme="minorHAnsi"/>
          <w:sz w:val="24"/>
          <w:szCs w:val="24"/>
        </w:rPr>
        <w:t xml:space="preserve"> activity involving high risk customers or transactions at, by, or through the Branch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was</w:t>
      </w:r>
      <w:proofErr w:type="gramEnd"/>
      <w:r w:rsidRPr="00ED5536">
        <w:rPr>
          <w:rFonts w:cstheme="minorHAnsi"/>
          <w:sz w:val="24"/>
          <w:szCs w:val="24"/>
        </w:rPr>
        <w:t xml:space="preserve"> properly identified and reported in accordance with applicable suspicious activity reporting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regulations</w:t>
      </w:r>
      <w:proofErr w:type="gramEnd"/>
      <w:r w:rsidRPr="00ED5536">
        <w:rPr>
          <w:rFonts w:cstheme="minorHAnsi"/>
          <w:sz w:val="24"/>
          <w:szCs w:val="24"/>
        </w:rPr>
        <w:t xml:space="preserve"> (the “Transaction Review”) and to prepare a written report detailing the independent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third</w:t>
      </w:r>
      <w:proofErr w:type="gramEnd"/>
      <w:r w:rsidRPr="00ED5536">
        <w:rPr>
          <w:rFonts w:cstheme="minorHAnsi"/>
          <w:sz w:val="24"/>
          <w:szCs w:val="24"/>
        </w:rPr>
        <w:t xml:space="preserve"> party’s findings (the “Transaction Review Report”).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(b) Based on the Reserve Bank’s evaluation of the results of the Transaction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Review, the Reserve Bank may direct the Bank and the Branch to engage the independent third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party</w:t>
      </w:r>
      <w:proofErr w:type="gramEnd"/>
      <w:r w:rsidRPr="00ED5536">
        <w:rPr>
          <w:rFonts w:cstheme="minorHAnsi"/>
          <w:sz w:val="24"/>
          <w:szCs w:val="24"/>
        </w:rPr>
        <w:t xml:space="preserve"> to conduct a review of the types of transactions described in paragraph 5(a) for additional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time</w:t>
      </w:r>
      <w:proofErr w:type="gramEnd"/>
      <w:r w:rsidRPr="00ED5536">
        <w:rPr>
          <w:rFonts w:cstheme="minorHAnsi"/>
          <w:sz w:val="24"/>
          <w:szCs w:val="24"/>
        </w:rPr>
        <w:t xml:space="preserve"> periods.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6. Within 10 days of the engagement of the independent third party, but prior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commencement</w:t>
      </w:r>
      <w:proofErr w:type="gramEnd"/>
      <w:r w:rsidRPr="00ED5536">
        <w:rPr>
          <w:rFonts w:cstheme="minorHAnsi"/>
          <w:sz w:val="24"/>
          <w:szCs w:val="24"/>
        </w:rPr>
        <w:t xml:space="preserve"> of the Transaction Review, the Bank and the Branch shall jointly submit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Reserve Bank for approval an engagement letter that sets forth: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(a) </w:t>
      </w: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scope of the Transaction Review;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8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 xml:space="preserve"> (</w:t>
      </w:r>
      <w:proofErr w:type="gramEnd"/>
      <w:r w:rsidRPr="00ED5536">
        <w:rPr>
          <w:rFonts w:cstheme="minorHAnsi"/>
          <w:sz w:val="24"/>
          <w:szCs w:val="24"/>
        </w:rPr>
        <w:t>b) the methodology for conducting the Transaction Review, including any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sampling</w:t>
      </w:r>
      <w:proofErr w:type="gramEnd"/>
      <w:r w:rsidRPr="00ED5536">
        <w:rPr>
          <w:rFonts w:cstheme="minorHAnsi"/>
          <w:sz w:val="24"/>
          <w:szCs w:val="24"/>
        </w:rPr>
        <w:t xml:space="preserve"> procedures to be followed;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(c) </w:t>
      </w: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expertise and resources to be dedicated to the Transaction Review;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(d) </w:t>
      </w: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anticipated date of completion of the Transaction Review and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Transaction Review Report;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(e)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commitment that the Transaction Review Report and any drafts thereof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will</w:t>
      </w:r>
      <w:proofErr w:type="gramEnd"/>
      <w:r w:rsidRPr="00ED5536">
        <w:rPr>
          <w:rFonts w:cstheme="minorHAnsi"/>
          <w:sz w:val="24"/>
          <w:szCs w:val="24"/>
        </w:rPr>
        <w:t xml:space="preserve"> be provided to the Reserve Bank at the same time that the report or draft is provided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Bank and the Branch;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(f) 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 xml:space="preserve"> commitment that supporting material and drafts associated with the final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Transaction Review and the Transaction Review Report will be made available to the Reserve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Bank upon request.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7. The Bank and the Branch shall provide to the Reserve Bank a copy of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lastRenderedPageBreak/>
        <w:t>Transaction Review Report and any drafts thereof at the same time that the report is provided to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Bank and the Branch.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8. Throughout the Transaction Review, the Bank and the Branch shall ensure that all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matters</w:t>
      </w:r>
      <w:proofErr w:type="gramEnd"/>
      <w:r w:rsidRPr="00ED5536">
        <w:rPr>
          <w:rFonts w:cstheme="minorHAnsi"/>
          <w:sz w:val="24"/>
          <w:szCs w:val="24"/>
        </w:rPr>
        <w:t xml:space="preserve"> or transactions required to be reported that have not previously been reported are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reported</w:t>
      </w:r>
      <w:proofErr w:type="gramEnd"/>
      <w:r w:rsidRPr="00ED5536">
        <w:rPr>
          <w:rFonts w:cstheme="minorHAnsi"/>
          <w:sz w:val="24"/>
          <w:szCs w:val="24"/>
        </w:rPr>
        <w:t xml:space="preserve"> in accordance with applicable rules and regulations.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Office of Foreign Assets Control Compliance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9. Within 60 days of this Order, the Bank and the Branch shall jointly submit 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written</w:t>
      </w:r>
      <w:proofErr w:type="gramEnd"/>
      <w:r w:rsidRPr="00ED5536">
        <w:rPr>
          <w:rFonts w:cstheme="minorHAnsi"/>
          <w:sz w:val="24"/>
          <w:szCs w:val="24"/>
        </w:rPr>
        <w:t xml:space="preserve"> plan to enhance the Bank’s compliance with the OFAC Regulations acceptable to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Reserve Bank, including, but not limited to, enhanced OFAC screening procedures for foreign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correspondent</w:t>
      </w:r>
      <w:proofErr w:type="gramEnd"/>
      <w:r w:rsidRPr="00ED5536">
        <w:rPr>
          <w:rFonts w:cstheme="minorHAnsi"/>
          <w:sz w:val="24"/>
          <w:szCs w:val="24"/>
        </w:rPr>
        <w:t xml:space="preserve"> accounts and trade finance related transactions, documentation of alert review and </w:t>
      </w:r>
    </w:p>
    <w:p w:rsidR="008B7A66" w:rsidRPr="00ED5536" w:rsidRDefault="008B7A66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9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disposition, an improved methodology for assessing OFAC risks, and enhanced policies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procedures</w:t>
      </w:r>
      <w:proofErr w:type="gramEnd"/>
      <w:r w:rsidRPr="00ED5536">
        <w:rPr>
          <w:rFonts w:cstheme="minorHAnsi"/>
          <w:sz w:val="24"/>
          <w:szCs w:val="24"/>
        </w:rPr>
        <w:t xml:space="preserve"> to ensure compliance with the OFAC Regulations.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Internal Audit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10. Within 60 days of this Order, the Bank and the Branch shall jointly submit 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written</w:t>
      </w:r>
      <w:proofErr w:type="gramEnd"/>
      <w:r w:rsidRPr="00ED5536">
        <w:rPr>
          <w:rFonts w:cstheme="minorHAnsi"/>
          <w:sz w:val="24"/>
          <w:szCs w:val="24"/>
        </w:rPr>
        <w:t xml:space="preserve"> revised internal audit program for the Branch acceptable to the Reserve Bank that shall,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at</w:t>
      </w:r>
      <w:proofErr w:type="gramEnd"/>
      <w:r w:rsidRPr="00ED5536">
        <w:rPr>
          <w:rFonts w:cstheme="minorHAnsi"/>
          <w:sz w:val="24"/>
          <w:szCs w:val="24"/>
        </w:rPr>
        <w:t xml:space="preserve"> a minimum, provide for: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(a) </w:t>
      </w:r>
      <w:proofErr w:type="gramStart"/>
      <w:r w:rsidRPr="00ED5536">
        <w:rPr>
          <w:rFonts w:cstheme="minorHAnsi"/>
          <w:sz w:val="24"/>
          <w:szCs w:val="24"/>
        </w:rPr>
        <w:t>completion</w:t>
      </w:r>
      <w:proofErr w:type="gramEnd"/>
      <w:r w:rsidRPr="00ED5536">
        <w:rPr>
          <w:rFonts w:cstheme="minorHAnsi"/>
          <w:sz w:val="24"/>
          <w:szCs w:val="24"/>
        </w:rPr>
        <w:t>, at least annually, of a written, board of directors approved,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risk-based</w:t>
      </w:r>
      <w:proofErr w:type="gramEnd"/>
      <w:r w:rsidRPr="00ED5536">
        <w:rPr>
          <w:rFonts w:cstheme="minorHAnsi"/>
          <w:sz w:val="24"/>
          <w:szCs w:val="24"/>
        </w:rPr>
        <w:t xml:space="preserve"> audit plan that encompasses all appropriate areas of audit coverage;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</w:t>
      </w:r>
      <w:proofErr w:type="gramStart"/>
      <w:r w:rsidRPr="00ED5536">
        <w:rPr>
          <w:rFonts w:cstheme="minorHAnsi"/>
          <w:sz w:val="24"/>
          <w:szCs w:val="24"/>
        </w:rPr>
        <w:t>timely</w:t>
      </w:r>
      <w:proofErr w:type="gramEnd"/>
      <w:r w:rsidRPr="00ED5536">
        <w:rPr>
          <w:rFonts w:cstheme="minorHAnsi"/>
          <w:sz w:val="24"/>
          <w:szCs w:val="24"/>
        </w:rPr>
        <w:t xml:space="preserve"> escalation and resolution of audit findings and follow-up reviews to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ensure</w:t>
      </w:r>
      <w:proofErr w:type="gramEnd"/>
      <w:r w:rsidRPr="00ED5536">
        <w:rPr>
          <w:rFonts w:cstheme="minorHAnsi"/>
          <w:sz w:val="24"/>
          <w:szCs w:val="24"/>
        </w:rPr>
        <w:t xml:space="preserve"> completion of corrective measures;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(c) </w:t>
      </w:r>
      <w:proofErr w:type="gramStart"/>
      <w:r w:rsidRPr="00ED5536">
        <w:rPr>
          <w:rFonts w:cstheme="minorHAnsi"/>
          <w:sz w:val="24"/>
          <w:szCs w:val="24"/>
        </w:rPr>
        <w:t>comprehensive</w:t>
      </w:r>
      <w:proofErr w:type="gramEnd"/>
      <w:r w:rsidRPr="00ED5536">
        <w:rPr>
          <w:rFonts w:cstheme="minorHAnsi"/>
          <w:sz w:val="24"/>
          <w:szCs w:val="24"/>
        </w:rPr>
        <w:t xml:space="preserve"> tracking and reporting of the status and resolution of audit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and</w:t>
      </w:r>
      <w:proofErr w:type="gramEnd"/>
      <w:r w:rsidRPr="00ED5536">
        <w:rPr>
          <w:rFonts w:cstheme="minorHAnsi"/>
          <w:sz w:val="24"/>
          <w:szCs w:val="24"/>
        </w:rPr>
        <w:t xml:space="preserve"> examination findings to the Bank’s board of directors.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Primary Contact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11. Within 10 days of this Order, the Bank and the Branch shall designate an officer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to</w:t>
      </w:r>
      <w:proofErr w:type="gramEnd"/>
      <w:r w:rsidRPr="00ED5536">
        <w:rPr>
          <w:rFonts w:cstheme="minorHAnsi"/>
          <w:sz w:val="24"/>
          <w:szCs w:val="24"/>
        </w:rPr>
        <w:t xml:space="preserve"> be responsible for coordinating and submitting to the Reserve Bank the written programs,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lastRenderedPageBreak/>
        <w:t>engagement</w:t>
      </w:r>
      <w:proofErr w:type="gramEnd"/>
      <w:r w:rsidRPr="00ED5536">
        <w:rPr>
          <w:rFonts w:cstheme="minorHAnsi"/>
          <w:sz w:val="24"/>
          <w:szCs w:val="24"/>
        </w:rPr>
        <w:t xml:space="preserve"> letter required under the terms of this Order.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Approval, Implementation, and Progress Reports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12. (</w:t>
      </w:r>
      <w:proofErr w:type="gramStart"/>
      <w:r w:rsidRPr="00ED5536">
        <w:rPr>
          <w:rFonts w:cstheme="minorHAnsi"/>
          <w:sz w:val="24"/>
          <w:szCs w:val="24"/>
        </w:rPr>
        <w:t>a</w:t>
      </w:r>
      <w:proofErr w:type="gramEnd"/>
      <w:r w:rsidRPr="00ED5536">
        <w:rPr>
          <w:rFonts w:cstheme="minorHAnsi"/>
          <w:sz w:val="24"/>
          <w:szCs w:val="24"/>
        </w:rPr>
        <w:t>) The Bank and the Branch shall jointly submit the written plans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programs</w:t>
      </w:r>
      <w:proofErr w:type="gramEnd"/>
      <w:r w:rsidRPr="00ED5536">
        <w:rPr>
          <w:rFonts w:cstheme="minorHAnsi"/>
          <w:sz w:val="24"/>
          <w:szCs w:val="24"/>
        </w:rPr>
        <w:t xml:space="preserve"> that are acceptable to the Reserve Bank within the applicable time periods set forth in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paragraphs</w:t>
      </w:r>
      <w:proofErr w:type="gramEnd"/>
      <w:r w:rsidRPr="00ED5536">
        <w:rPr>
          <w:rFonts w:cstheme="minorHAnsi"/>
          <w:sz w:val="24"/>
          <w:szCs w:val="24"/>
        </w:rPr>
        <w:t xml:space="preserve"> 1, 2, 3, 4, 9, and 10 of this Order. Each plan and program shall contain a timeline for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full</w:t>
      </w:r>
      <w:proofErr w:type="gramEnd"/>
      <w:r w:rsidRPr="00ED5536">
        <w:rPr>
          <w:rFonts w:cstheme="minorHAnsi"/>
          <w:sz w:val="24"/>
          <w:szCs w:val="24"/>
        </w:rPr>
        <w:t xml:space="preserve"> implementation of the plan or program with specific deadlines for the completion of each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component</w:t>
      </w:r>
      <w:proofErr w:type="gramEnd"/>
      <w:r w:rsidRPr="00ED5536">
        <w:rPr>
          <w:rFonts w:cstheme="minorHAnsi"/>
          <w:sz w:val="24"/>
          <w:szCs w:val="24"/>
        </w:rPr>
        <w:t xml:space="preserve"> of the plan or program. An independent third party acceptable to the Reserve Bank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shall</w:t>
      </w:r>
      <w:proofErr w:type="gramEnd"/>
      <w:r w:rsidRPr="00ED5536">
        <w:rPr>
          <w:rFonts w:cstheme="minorHAnsi"/>
          <w:sz w:val="24"/>
          <w:szCs w:val="24"/>
        </w:rPr>
        <w:t xml:space="preserve"> be retained in accordance with the Reserve Bank’s requirements by the Bank and the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10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Branch within the time periods set forth in paragraph 5(a) of this Order. The engagement letter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shall</w:t>
      </w:r>
      <w:proofErr w:type="gramEnd"/>
      <w:r w:rsidRPr="00ED5536">
        <w:rPr>
          <w:rFonts w:cstheme="minorHAnsi"/>
          <w:sz w:val="24"/>
          <w:szCs w:val="24"/>
        </w:rPr>
        <w:t xml:space="preserve"> be submitted to the Reserve Bank within the time period set forth in paragraph 6 of this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Order.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(b) Within 10 days of acceptance by the Reserve Bank, the Bank and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Branch shall adopt the plans and the programs. Upon adoption, the Bank and the Branch shall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implement</w:t>
      </w:r>
      <w:proofErr w:type="gramEnd"/>
      <w:r w:rsidRPr="00ED5536">
        <w:rPr>
          <w:rFonts w:cstheme="minorHAnsi"/>
          <w:sz w:val="24"/>
          <w:szCs w:val="24"/>
        </w:rPr>
        <w:t xml:space="preserve"> the plans and the programs and thereafter fully comply with them.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(c) During the term of this Order, the approved plans, programs,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engagement</w:t>
      </w:r>
      <w:proofErr w:type="gramEnd"/>
      <w:r w:rsidRPr="00ED5536">
        <w:rPr>
          <w:rFonts w:cstheme="minorHAnsi"/>
          <w:sz w:val="24"/>
          <w:szCs w:val="24"/>
        </w:rPr>
        <w:t xml:space="preserve"> letter shall not be amended or rescinded without the prior written approval of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Reserve Bank.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13. Within 30 days after the end of each quarter following the date of this Order,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Bank and the Branch shall submit to the Reserve Bank written progress reports detailing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form</w:t>
      </w:r>
      <w:proofErr w:type="gramEnd"/>
      <w:r w:rsidRPr="00ED5536">
        <w:rPr>
          <w:rFonts w:cstheme="minorHAnsi"/>
          <w:sz w:val="24"/>
          <w:szCs w:val="24"/>
        </w:rPr>
        <w:t xml:space="preserve"> and manner of all actions taken to secure compliance with the provisions of this Order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the</w:t>
      </w:r>
      <w:proofErr w:type="gramEnd"/>
      <w:r w:rsidRPr="00ED5536">
        <w:rPr>
          <w:rFonts w:cstheme="minorHAnsi"/>
          <w:sz w:val="24"/>
          <w:szCs w:val="24"/>
        </w:rPr>
        <w:t xml:space="preserve"> results thereof. The Reserve Bank may, in writing, discontinue the requirement for progress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reports</w:t>
      </w:r>
      <w:proofErr w:type="gramEnd"/>
      <w:r w:rsidRPr="00ED5536">
        <w:rPr>
          <w:rFonts w:cstheme="minorHAnsi"/>
          <w:sz w:val="24"/>
          <w:szCs w:val="24"/>
        </w:rPr>
        <w:t xml:space="preserve"> or modify the reporting schedule.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Notices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14. All communications regarding this Order shall be sent to: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lastRenderedPageBreak/>
        <w:t xml:space="preserve">(a) Mr. F. Christopher </w:t>
      </w:r>
      <w:proofErr w:type="spellStart"/>
      <w:r w:rsidRPr="00ED5536">
        <w:rPr>
          <w:rFonts w:cstheme="minorHAnsi"/>
          <w:sz w:val="24"/>
          <w:szCs w:val="24"/>
        </w:rPr>
        <w:t>Calabia</w:t>
      </w:r>
      <w:proofErr w:type="spellEnd"/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Senior Vice President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Federal Reserve Bank of New York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33 Liberty Street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New York, New York 10045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(b) Mr. Zhao </w:t>
      </w:r>
      <w:proofErr w:type="spellStart"/>
      <w:r w:rsidRPr="00ED5536">
        <w:rPr>
          <w:rFonts w:cstheme="minorHAnsi"/>
          <w:sz w:val="24"/>
          <w:szCs w:val="24"/>
        </w:rPr>
        <w:t>Huan</w:t>
      </w:r>
      <w:proofErr w:type="spellEnd"/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President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No. 69 </w:t>
      </w:r>
      <w:proofErr w:type="spellStart"/>
      <w:r w:rsidRPr="00ED5536">
        <w:rPr>
          <w:rFonts w:cstheme="minorHAnsi"/>
          <w:sz w:val="24"/>
          <w:szCs w:val="24"/>
        </w:rPr>
        <w:t>Jianguomen</w:t>
      </w:r>
      <w:proofErr w:type="spellEnd"/>
      <w:r w:rsidRPr="00ED5536">
        <w:rPr>
          <w:rFonts w:cstheme="minorHAnsi"/>
          <w:sz w:val="24"/>
          <w:szCs w:val="24"/>
        </w:rPr>
        <w:t xml:space="preserve"> </w:t>
      </w:r>
      <w:proofErr w:type="spellStart"/>
      <w:r w:rsidRPr="00ED5536">
        <w:rPr>
          <w:rFonts w:cstheme="minorHAnsi"/>
          <w:sz w:val="24"/>
          <w:szCs w:val="24"/>
        </w:rPr>
        <w:t>Nei</w:t>
      </w:r>
      <w:proofErr w:type="spellEnd"/>
      <w:r w:rsidRPr="00ED5536">
        <w:rPr>
          <w:rFonts w:cstheme="minorHAnsi"/>
          <w:sz w:val="24"/>
          <w:szCs w:val="24"/>
        </w:rPr>
        <w:t xml:space="preserve"> Avenue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spellStart"/>
      <w:r w:rsidRPr="00ED5536">
        <w:rPr>
          <w:rFonts w:cstheme="minorHAnsi"/>
          <w:sz w:val="24"/>
          <w:szCs w:val="24"/>
        </w:rPr>
        <w:t>Dongcheng</w:t>
      </w:r>
      <w:proofErr w:type="spellEnd"/>
      <w:r w:rsidRPr="00ED5536">
        <w:rPr>
          <w:rFonts w:cstheme="minorHAnsi"/>
          <w:sz w:val="24"/>
          <w:szCs w:val="24"/>
        </w:rPr>
        <w:t xml:space="preserve"> District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Beijing, Peoples Republic of China, 100005 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11</w:t>
      </w:r>
      <w:r w:rsidR="008B7A66" w:rsidRPr="00ED5536">
        <w:rPr>
          <w:rFonts w:cstheme="minorHAnsi"/>
          <w:sz w:val="24"/>
          <w:szCs w:val="24"/>
        </w:rPr>
        <w:t xml:space="preserve"> </w:t>
      </w:r>
      <w:r w:rsidRPr="00ED5536">
        <w:rPr>
          <w:rFonts w:cstheme="minorHAnsi"/>
          <w:sz w:val="24"/>
          <w:szCs w:val="24"/>
        </w:rPr>
        <w:t>(c) Mr. Yu Ming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General Manager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New York Branch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277 Park Avenue, 30th Floor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New York, New York 10172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Miscellaneous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15. Notwithstanding any provision of this Order to the contrary, the Reserve Bank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may</w:t>
      </w:r>
      <w:proofErr w:type="gramEnd"/>
      <w:r w:rsidRPr="00ED5536">
        <w:rPr>
          <w:rFonts w:cstheme="minorHAnsi"/>
          <w:sz w:val="24"/>
          <w:szCs w:val="24"/>
        </w:rPr>
        <w:t>, in its sole discretion, grant written extensions of time to the Bank and the Branch to comply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with</w:t>
      </w:r>
      <w:proofErr w:type="gramEnd"/>
      <w:r w:rsidRPr="00ED5536">
        <w:rPr>
          <w:rFonts w:cstheme="minorHAnsi"/>
          <w:sz w:val="24"/>
          <w:szCs w:val="24"/>
        </w:rPr>
        <w:t xml:space="preserve"> any provision of this Order.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16. The provisions of this Order shall be binding on the Bank and the Branch,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each</w:t>
      </w:r>
      <w:proofErr w:type="gramEnd"/>
      <w:r w:rsidRPr="00ED5536">
        <w:rPr>
          <w:rFonts w:cstheme="minorHAnsi"/>
          <w:sz w:val="24"/>
          <w:szCs w:val="24"/>
        </w:rPr>
        <w:t xml:space="preserve"> of their institution-affiliated parties, as defined in sections 3(u) and 8(b)(4) of the FDI Act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(12 U.S.C. §§ 1813(u) and 1818(b</w:t>
      </w:r>
      <w:proofErr w:type="gramStart"/>
      <w:r w:rsidRPr="00ED5536">
        <w:rPr>
          <w:rFonts w:cstheme="minorHAnsi"/>
          <w:sz w:val="24"/>
          <w:szCs w:val="24"/>
        </w:rPr>
        <w:t>)(</w:t>
      </w:r>
      <w:proofErr w:type="gramEnd"/>
      <w:r w:rsidRPr="00ED5536">
        <w:rPr>
          <w:rFonts w:cstheme="minorHAnsi"/>
          <w:sz w:val="24"/>
          <w:szCs w:val="24"/>
        </w:rPr>
        <w:t>4)), in their capacities as such, and their successors and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assigns</w:t>
      </w:r>
      <w:proofErr w:type="gramEnd"/>
      <w:r w:rsidRPr="00ED5536">
        <w:rPr>
          <w:rFonts w:cstheme="minorHAnsi"/>
          <w:sz w:val="24"/>
          <w:szCs w:val="24"/>
        </w:rPr>
        <w:t>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lastRenderedPageBreak/>
        <w:t>17. Each provision of this Order shall remain effective and enforceable until stayed,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modified</w:t>
      </w:r>
      <w:proofErr w:type="gramEnd"/>
      <w:r w:rsidRPr="00ED5536">
        <w:rPr>
          <w:rFonts w:cstheme="minorHAnsi"/>
          <w:sz w:val="24"/>
          <w:szCs w:val="24"/>
        </w:rPr>
        <w:t>, terminated, or suspended in writing by the Reserve Bank.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 18. The provisions of this Order shall not bar, estop, or otherwise prevent the Board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of</w:t>
      </w:r>
      <w:proofErr w:type="gramEnd"/>
      <w:r w:rsidRPr="00ED5536">
        <w:rPr>
          <w:rFonts w:cstheme="minorHAnsi"/>
          <w:sz w:val="24"/>
          <w:szCs w:val="24"/>
        </w:rPr>
        <w:t xml:space="preserve"> Governors, the Reserve Bank, or any other federal or state agency from taking any other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action</w:t>
      </w:r>
      <w:proofErr w:type="gramEnd"/>
      <w:r w:rsidRPr="00ED5536">
        <w:rPr>
          <w:rFonts w:cstheme="minorHAnsi"/>
          <w:sz w:val="24"/>
          <w:szCs w:val="24"/>
        </w:rPr>
        <w:t xml:space="preserve"> affecting the Bank, the Branch, any of their subsidiaries, or any of their current or former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institution-affiliated</w:t>
      </w:r>
      <w:proofErr w:type="gramEnd"/>
      <w:r w:rsidRPr="00ED5536">
        <w:rPr>
          <w:rFonts w:cstheme="minorHAnsi"/>
          <w:sz w:val="24"/>
          <w:szCs w:val="24"/>
        </w:rPr>
        <w:t xml:space="preserve"> parties and their successors and assigns.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By order of the Board of Governors of the Federal Reserve System effective this 28th day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proofErr w:type="gramStart"/>
      <w:r w:rsidRPr="00ED5536">
        <w:rPr>
          <w:rFonts w:cstheme="minorHAnsi"/>
          <w:sz w:val="24"/>
          <w:szCs w:val="24"/>
        </w:rPr>
        <w:t>of</w:t>
      </w:r>
      <w:proofErr w:type="gramEnd"/>
      <w:r w:rsidRPr="00ED5536">
        <w:rPr>
          <w:rFonts w:cstheme="minorHAnsi"/>
          <w:sz w:val="24"/>
          <w:szCs w:val="24"/>
        </w:rPr>
        <w:t xml:space="preserve"> September, 2016.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 BOARD OF GOVERNORS OF THE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FEDERAL RESERVE SYSTEM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By: /s/ Zhao </w:t>
      </w:r>
      <w:proofErr w:type="spellStart"/>
      <w:r w:rsidRPr="00ED5536">
        <w:rPr>
          <w:rFonts w:cstheme="minorHAnsi"/>
          <w:sz w:val="24"/>
          <w:szCs w:val="24"/>
        </w:rPr>
        <w:t>Huan</w:t>
      </w:r>
      <w:proofErr w:type="spellEnd"/>
      <w:r w:rsidRPr="00ED5536">
        <w:rPr>
          <w:rFonts w:cstheme="minorHAnsi"/>
          <w:sz w:val="24"/>
          <w:szCs w:val="24"/>
        </w:rPr>
        <w:t xml:space="preserve"> By: /s/ Robert </w:t>
      </w:r>
      <w:proofErr w:type="spellStart"/>
      <w:r w:rsidRPr="00ED5536">
        <w:rPr>
          <w:rFonts w:cstheme="minorHAnsi"/>
          <w:sz w:val="24"/>
          <w:szCs w:val="24"/>
        </w:rPr>
        <w:t>deV.</w:t>
      </w:r>
      <w:proofErr w:type="spellEnd"/>
      <w:r w:rsidRPr="00ED5536">
        <w:rPr>
          <w:rFonts w:cstheme="minorHAnsi"/>
          <w:sz w:val="24"/>
          <w:szCs w:val="24"/>
        </w:rPr>
        <w:t xml:space="preserve"> Frierson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Zhao </w:t>
      </w:r>
      <w:proofErr w:type="spellStart"/>
      <w:r w:rsidRPr="00ED5536">
        <w:rPr>
          <w:rFonts w:cstheme="minorHAnsi"/>
          <w:sz w:val="24"/>
          <w:szCs w:val="24"/>
        </w:rPr>
        <w:t>Huan</w:t>
      </w:r>
      <w:proofErr w:type="spellEnd"/>
      <w:r w:rsidRPr="00ED5536">
        <w:rPr>
          <w:rFonts w:cstheme="minorHAnsi"/>
          <w:sz w:val="24"/>
          <w:szCs w:val="24"/>
        </w:rPr>
        <w:t xml:space="preserve"> Robert </w:t>
      </w:r>
      <w:proofErr w:type="spellStart"/>
      <w:r w:rsidRPr="00ED5536">
        <w:rPr>
          <w:rFonts w:cstheme="minorHAnsi"/>
          <w:sz w:val="24"/>
          <w:szCs w:val="24"/>
        </w:rPr>
        <w:t>deV.</w:t>
      </w:r>
      <w:proofErr w:type="spellEnd"/>
      <w:r w:rsidRPr="00ED5536">
        <w:rPr>
          <w:rFonts w:cstheme="minorHAnsi"/>
          <w:sz w:val="24"/>
          <w:szCs w:val="24"/>
        </w:rPr>
        <w:t xml:space="preserve"> Frierson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President Secretary of the Board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AGRICULTURAL BANK OF CHINA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NEW YORK BRANCH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>By: /s/ Yu Ming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Yu Ming</w:t>
      </w:r>
    </w:p>
    <w:p w:rsidR="006A3A6E" w:rsidRPr="00ED5536" w:rsidRDefault="006A3A6E" w:rsidP="005C1E35">
      <w:pPr>
        <w:jc w:val="both"/>
        <w:rPr>
          <w:rFonts w:cstheme="minorHAnsi"/>
          <w:sz w:val="24"/>
          <w:szCs w:val="24"/>
        </w:rPr>
      </w:pPr>
      <w:r w:rsidRPr="00ED5536">
        <w:rPr>
          <w:rFonts w:cstheme="minorHAnsi"/>
          <w:sz w:val="24"/>
          <w:szCs w:val="24"/>
        </w:rPr>
        <w:t xml:space="preserve"> General Manager</w:t>
      </w:r>
    </w:p>
    <w:p w:rsidR="004019C0" w:rsidRPr="00ED5536" w:rsidRDefault="00ED5536" w:rsidP="005C1E35">
      <w:pPr>
        <w:jc w:val="both"/>
        <w:rPr>
          <w:rFonts w:cstheme="minorHAnsi"/>
          <w:sz w:val="24"/>
          <w:szCs w:val="24"/>
        </w:rPr>
      </w:pPr>
    </w:p>
    <w:sectPr w:rsidR="004019C0" w:rsidRPr="00ED5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6E"/>
    <w:rsid w:val="005C1E35"/>
    <w:rsid w:val="006A3A6E"/>
    <w:rsid w:val="008B7A66"/>
    <w:rsid w:val="00AE036A"/>
    <w:rsid w:val="00C46A55"/>
    <w:rsid w:val="00E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7860A-248D-4CB9-AF69-E4405CD9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2548</Words>
  <Characters>14526</Characters>
  <DocSecurity>0</DocSecurity>
  <Lines>121</Lines>
  <Paragraphs>34</Paragraphs>
  <ScaleCrop>false</ScaleCrop>
  <Company/>
  <LinksUpToDate>false</LinksUpToDate>
  <CharactersWithSpaces>17040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