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217" w:rsidRDefault="00602685">
      <w:pPr>
        <w:pStyle w:val="Heading1"/>
        <w:spacing w:before="74"/>
        <w:ind w:left="1242" w:right="1230"/>
        <w:jc w:val="center"/>
        <w:rPr>
          <w:u w:val="none"/>
        </w:rPr>
      </w:pPr>
      <w:bookmarkStart w:id="0" w:name="SAMPLE_PHYSICIAN_APPEAL_LETTER"/>
      <w:bookmarkEnd w:id="0"/>
      <w:r>
        <w:rPr>
          <w:u w:val="thick"/>
        </w:rPr>
        <w:t>SAMPLE PHYSICIAN APPEAL LETTER</w:t>
      </w:r>
    </w:p>
    <w:p w:rsidR="008C5217" w:rsidRDefault="00602685">
      <w:pPr>
        <w:spacing w:before="1" w:line="230" w:lineRule="exact"/>
        <w:ind w:left="1242" w:right="1229"/>
        <w:jc w:val="center"/>
        <w:rPr>
          <w:b/>
          <w:sz w:val="20"/>
        </w:rPr>
      </w:pPr>
      <w:bookmarkStart w:id="1" w:name="FOR_PROMETHEUS™_Thiopurine_Metabolites"/>
      <w:bookmarkEnd w:id="1"/>
      <w:r>
        <w:rPr>
          <w:b/>
          <w:sz w:val="20"/>
          <w:u w:val="thick"/>
        </w:rPr>
        <w:t xml:space="preserve">FOR PROMETHEUS™ </w:t>
      </w:r>
      <w:proofErr w:type="spellStart"/>
      <w:r>
        <w:rPr>
          <w:b/>
          <w:sz w:val="20"/>
          <w:u w:val="thick"/>
        </w:rPr>
        <w:t>Thiopurine</w:t>
      </w:r>
      <w:proofErr w:type="spellEnd"/>
      <w:r>
        <w:rPr>
          <w:b/>
          <w:sz w:val="20"/>
          <w:u w:val="thick"/>
        </w:rPr>
        <w:t xml:space="preserve"> Metabolites</w:t>
      </w:r>
    </w:p>
    <w:p w:rsidR="008C5217" w:rsidRDefault="00602685">
      <w:pPr>
        <w:spacing w:line="230" w:lineRule="exact"/>
        <w:ind w:left="1242" w:right="1231"/>
        <w:jc w:val="center"/>
        <w:rPr>
          <w:i/>
          <w:sz w:val="20"/>
        </w:rPr>
      </w:pPr>
      <w:bookmarkStart w:id="2" w:name="(Please_edit_appropriately_based_on_your"/>
      <w:bookmarkEnd w:id="2"/>
      <w:r>
        <w:rPr>
          <w:i/>
          <w:sz w:val="20"/>
        </w:rPr>
        <w:t>(Please edit appropriately based on your patient’s medical history and treatment experience.)</w:t>
      </w:r>
    </w:p>
    <w:p w:rsidR="008C5217" w:rsidRDefault="008C5217">
      <w:pPr>
        <w:pStyle w:val="BodyText"/>
        <w:rPr>
          <w:i/>
        </w:rPr>
      </w:pPr>
    </w:p>
    <w:p w:rsidR="008C5217" w:rsidRDefault="008C5217">
      <w:pPr>
        <w:pStyle w:val="BodyText"/>
        <w:spacing w:before="10"/>
        <w:rPr>
          <w:i/>
          <w:sz w:val="19"/>
        </w:rPr>
      </w:pPr>
    </w:p>
    <w:p w:rsidR="008C5217" w:rsidRDefault="00602685">
      <w:pPr>
        <w:pStyle w:val="BodyText"/>
        <w:ind w:left="120"/>
      </w:pPr>
      <w:r>
        <w:t>&lt;DATE&gt;</w:t>
      </w:r>
    </w:p>
    <w:p w:rsidR="008C5217" w:rsidRDefault="008C5217">
      <w:pPr>
        <w:pStyle w:val="BodyText"/>
        <w:spacing w:before="1"/>
      </w:pPr>
    </w:p>
    <w:p w:rsidR="008C5217" w:rsidRDefault="00602685">
      <w:pPr>
        <w:pStyle w:val="BodyText"/>
        <w:ind w:left="120" w:right="8043"/>
      </w:pPr>
      <w:r>
        <w:t>John Smith, Medical Director Red Cross Red Shield</w:t>
      </w:r>
    </w:p>
    <w:p w:rsidR="008C5217" w:rsidRDefault="00602685">
      <w:pPr>
        <w:pStyle w:val="BodyText"/>
        <w:spacing w:line="229" w:lineRule="exact"/>
        <w:ind w:left="120"/>
      </w:pPr>
      <w:r>
        <w:t>P.O. Box</w:t>
      </w:r>
      <w:r>
        <w:rPr>
          <w:spacing w:val="-10"/>
        </w:rPr>
        <w:t xml:space="preserve"> </w:t>
      </w:r>
      <w:r>
        <w:t>12345</w:t>
      </w:r>
    </w:p>
    <w:p w:rsidR="008C5217" w:rsidRDefault="00602685">
      <w:pPr>
        <w:pStyle w:val="BodyText"/>
        <w:spacing w:line="480" w:lineRule="auto"/>
        <w:ind w:left="120" w:right="8125"/>
      </w:pPr>
      <w:r>
        <w:t xml:space="preserve">Los Angeles, CA </w:t>
      </w:r>
      <w:r>
        <w:rPr>
          <w:spacing w:val="-4"/>
        </w:rPr>
        <w:t xml:space="preserve">90060 </w:t>
      </w:r>
      <w:r>
        <w:t>Dear Dr.</w:t>
      </w:r>
      <w:r>
        <w:rPr>
          <w:spacing w:val="-4"/>
        </w:rPr>
        <w:t xml:space="preserve"> </w:t>
      </w:r>
      <w:r>
        <w:t>Smith:</w:t>
      </w:r>
    </w:p>
    <w:p w:rsidR="008C5217" w:rsidRDefault="00602685">
      <w:pPr>
        <w:pStyle w:val="BodyText"/>
        <w:ind w:left="120" w:right="104"/>
        <w:jc w:val="both"/>
      </w:pPr>
      <w:r>
        <w:t xml:space="preserve">I am writing to appeal your decision about medical coverage for the PROMETHEUS™ </w:t>
      </w:r>
      <w:proofErr w:type="spellStart"/>
      <w:r>
        <w:t>Thiopurine</w:t>
      </w:r>
      <w:proofErr w:type="spellEnd"/>
      <w:r>
        <w:t xml:space="preserve"> Metabolites serology test for my patient, Jane Doe. I am Ms. Doe’s gastroenterologist practicing at Sunnyvale Community Hospital in San Diego, CA. I respectfully request that you reconsider your decision based on the medical necessity of this test.</w:t>
      </w:r>
    </w:p>
    <w:p w:rsidR="008C5217" w:rsidRDefault="008C5217">
      <w:pPr>
        <w:pStyle w:val="BodyText"/>
        <w:rPr>
          <w:sz w:val="22"/>
        </w:rPr>
      </w:pPr>
    </w:p>
    <w:p w:rsidR="008C5217" w:rsidRDefault="008C5217">
      <w:pPr>
        <w:pStyle w:val="BodyText"/>
        <w:rPr>
          <w:sz w:val="18"/>
        </w:rPr>
      </w:pPr>
    </w:p>
    <w:p w:rsidR="008C5217" w:rsidRDefault="00602685">
      <w:pPr>
        <w:pStyle w:val="Heading1"/>
        <w:spacing w:before="1"/>
        <w:jc w:val="both"/>
        <w:rPr>
          <w:u w:val="none"/>
        </w:rPr>
      </w:pPr>
      <w:r>
        <w:rPr>
          <w:u w:val="thick"/>
        </w:rPr>
        <w:t>PATIENT INFORMATION</w:t>
      </w:r>
    </w:p>
    <w:p w:rsidR="008C5217" w:rsidRDefault="008C5217">
      <w:pPr>
        <w:pStyle w:val="BodyText"/>
        <w:spacing w:before="9"/>
        <w:rPr>
          <w:b/>
          <w:sz w:val="11"/>
        </w:rPr>
      </w:pPr>
    </w:p>
    <w:p w:rsidR="008C5217" w:rsidRDefault="00602685">
      <w:pPr>
        <w:pStyle w:val="BodyText"/>
        <w:spacing w:before="94"/>
        <w:ind w:left="120"/>
      </w:pPr>
      <w:r>
        <w:t xml:space="preserve">My patient has a history of inflammatory bowel disease and is taking </w:t>
      </w:r>
      <w:proofErr w:type="spellStart"/>
      <w:r>
        <w:t>thiopurine</w:t>
      </w:r>
      <w:proofErr w:type="spellEnd"/>
      <w:r>
        <w:t xml:space="preserve"> medication.</w:t>
      </w:r>
    </w:p>
    <w:p w:rsidR="008C5217" w:rsidRDefault="00602685">
      <w:pPr>
        <w:spacing w:before="1"/>
        <w:ind w:left="119"/>
        <w:rPr>
          <w:b/>
          <w:i/>
          <w:sz w:val="20"/>
        </w:rPr>
      </w:pPr>
      <w:r>
        <w:rPr>
          <w:b/>
          <w:i/>
          <w:sz w:val="20"/>
        </w:rPr>
        <w:t>(List information relevant to the patient’s symptoms, treatment and test results if applicable)</w:t>
      </w:r>
    </w:p>
    <w:p w:rsidR="008C5217" w:rsidRDefault="008C5217">
      <w:pPr>
        <w:pStyle w:val="BodyText"/>
        <w:spacing w:before="10"/>
        <w:rPr>
          <w:b/>
          <w:i/>
          <w:sz w:val="19"/>
        </w:rPr>
      </w:pPr>
    </w:p>
    <w:p w:rsidR="008C5217" w:rsidRDefault="00602685">
      <w:pPr>
        <w:pStyle w:val="BodyText"/>
        <w:tabs>
          <w:tab w:val="left" w:pos="2279"/>
        </w:tabs>
        <w:spacing w:line="230" w:lineRule="exact"/>
        <w:ind w:left="120"/>
      </w:pPr>
      <w:bookmarkStart w:id="3" w:name="Patient:___Jane_Doe"/>
      <w:bookmarkEnd w:id="3"/>
      <w:r>
        <w:t>Patient:</w:t>
      </w:r>
      <w:r>
        <w:tab/>
        <w:t>Jane</w:t>
      </w:r>
      <w:r>
        <w:rPr>
          <w:spacing w:val="-2"/>
        </w:rPr>
        <w:t xml:space="preserve"> </w:t>
      </w:r>
      <w:r>
        <w:t>Doe</w:t>
      </w:r>
    </w:p>
    <w:p w:rsidR="008C5217" w:rsidRDefault="00602685">
      <w:pPr>
        <w:pStyle w:val="BodyText"/>
        <w:tabs>
          <w:tab w:val="left" w:pos="2280"/>
        </w:tabs>
        <w:spacing w:line="230" w:lineRule="exact"/>
        <w:ind w:left="120"/>
      </w:pPr>
      <w:bookmarkStart w:id="4" w:name="ID:___XXX123456789"/>
      <w:bookmarkEnd w:id="4"/>
      <w:r>
        <w:t>ID:</w:t>
      </w:r>
      <w:r>
        <w:tab/>
        <w:t>XXX123456789</w:t>
      </w:r>
    </w:p>
    <w:p w:rsidR="008C5217" w:rsidRDefault="00602685">
      <w:pPr>
        <w:pStyle w:val="BodyText"/>
        <w:tabs>
          <w:tab w:val="left" w:pos="2279"/>
        </w:tabs>
        <w:spacing w:before="1"/>
        <w:ind w:left="120"/>
      </w:pPr>
      <w:r>
        <w:t>Provider:</w:t>
      </w:r>
      <w:r>
        <w:tab/>
        <w:t>Ulysses Grant,</w:t>
      </w:r>
      <w:r>
        <w:rPr>
          <w:spacing w:val="-2"/>
        </w:rPr>
        <w:t xml:space="preserve"> </w:t>
      </w:r>
      <w:r>
        <w:t>M.D.</w:t>
      </w:r>
    </w:p>
    <w:p w:rsidR="008C5217" w:rsidRDefault="00602685">
      <w:pPr>
        <w:pStyle w:val="BodyText"/>
        <w:tabs>
          <w:tab w:val="right" w:pos="2947"/>
        </w:tabs>
        <w:spacing w:line="230" w:lineRule="exact"/>
        <w:ind w:left="120"/>
      </w:pPr>
      <w:r>
        <w:t>Claim</w:t>
      </w:r>
      <w:r>
        <w:rPr>
          <w:spacing w:val="-1"/>
        </w:rPr>
        <w:t xml:space="preserve"> </w:t>
      </w:r>
      <w:r>
        <w:t>#:</w:t>
      </w:r>
      <w:r>
        <w:tab/>
        <w:t>111111</w:t>
      </w:r>
    </w:p>
    <w:p w:rsidR="008C5217" w:rsidRDefault="00602685">
      <w:pPr>
        <w:pStyle w:val="BodyText"/>
        <w:tabs>
          <w:tab w:val="left" w:pos="2279"/>
        </w:tabs>
        <w:spacing w:line="230" w:lineRule="exact"/>
        <w:ind w:left="120"/>
      </w:pPr>
      <w:r>
        <w:t>Date</w:t>
      </w:r>
      <w:r>
        <w:rPr>
          <w:spacing w:val="-4"/>
        </w:rPr>
        <w:t xml:space="preserve"> </w:t>
      </w:r>
      <w:r>
        <w:t>of</w:t>
      </w:r>
      <w:r>
        <w:rPr>
          <w:spacing w:val="-3"/>
        </w:rPr>
        <w:t xml:space="preserve"> </w:t>
      </w:r>
      <w:r>
        <w:t>service:</w:t>
      </w:r>
      <w:r>
        <w:tab/>
        <w:t>July 4,</w:t>
      </w:r>
      <w:r>
        <w:rPr>
          <w:spacing w:val="-2"/>
        </w:rPr>
        <w:t xml:space="preserve"> </w:t>
      </w:r>
      <w:r>
        <w:t>2005</w:t>
      </w:r>
    </w:p>
    <w:p w:rsidR="008C5217" w:rsidRDefault="00602685">
      <w:pPr>
        <w:pStyle w:val="BodyText"/>
        <w:tabs>
          <w:tab w:val="left" w:pos="2279"/>
        </w:tabs>
        <w:spacing w:before="1" w:line="230" w:lineRule="exact"/>
        <w:ind w:left="120"/>
      </w:pPr>
      <w:r>
        <w:t>Original</w:t>
      </w:r>
      <w:r>
        <w:rPr>
          <w:spacing w:val="-2"/>
        </w:rPr>
        <w:t xml:space="preserve"> </w:t>
      </w:r>
      <w:r>
        <w:t>Claim:</w:t>
      </w:r>
      <w:r>
        <w:tab/>
        <w:t>$270.00</w:t>
      </w:r>
    </w:p>
    <w:p w:rsidR="008C5217" w:rsidRDefault="00602685">
      <w:pPr>
        <w:pStyle w:val="BodyText"/>
        <w:tabs>
          <w:tab w:val="left" w:pos="2281"/>
        </w:tabs>
        <w:ind w:left="120" w:right="6702"/>
      </w:pPr>
      <w:r>
        <w:t>Date</w:t>
      </w:r>
      <w:r>
        <w:rPr>
          <w:spacing w:val="-3"/>
        </w:rPr>
        <w:t xml:space="preserve"> </w:t>
      </w:r>
      <w:r>
        <w:t>of</w:t>
      </w:r>
      <w:r>
        <w:rPr>
          <w:spacing w:val="-2"/>
        </w:rPr>
        <w:t xml:space="preserve"> </w:t>
      </w:r>
      <w:r>
        <w:t>EOB:</w:t>
      </w:r>
      <w:r>
        <w:tab/>
        <w:t>December 31,</w:t>
      </w:r>
      <w:r>
        <w:rPr>
          <w:spacing w:val="-14"/>
        </w:rPr>
        <w:t xml:space="preserve"> </w:t>
      </w:r>
      <w:r>
        <w:t>2005 Explanation of Benefits</w:t>
      </w:r>
      <w:r>
        <w:rPr>
          <w:spacing w:val="-6"/>
        </w:rPr>
        <w:t xml:space="preserve"> </w:t>
      </w:r>
      <w:r>
        <w:t>(EOB):</w:t>
      </w:r>
    </w:p>
    <w:p w:rsidR="008C5217" w:rsidRDefault="008C5217">
      <w:pPr>
        <w:pStyle w:val="BodyText"/>
        <w:spacing w:before="10"/>
        <w:rPr>
          <w:sz w:val="19"/>
        </w:rPr>
      </w:pPr>
    </w:p>
    <w:p w:rsidR="008C5217" w:rsidRDefault="00602685">
      <w:pPr>
        <w:pStyle w:val="ListParagraph"/>
        <w:numPr>
          <w:ilvl w:val="0"/>
          <w:numId w:val="2"/>
        </w:numPr>
        <w:tabs>
          <w:tab w:val="left" w:pos="343"/>
        </w:tabs>
        <w:spacing w:before="1"/>
        <w:ind w:hanging="222"/>
        <w:rPr>
          <w:sz w:val="20"/>
        </w:rPr>
      </w:pPr>
      <w:r>
        <w:rPr>
          <w:sz w:val="20"/>
        </w:rPr>
        <w:t>Laboratory testing considered</w:t>
      </w:r>
      <w:r>
        <w:rPr>
          <w:spacing w:val="-6"/>
          <w:sz w:val="20"/>
        </w:rPr>
        <w:t xml:space="preserve"> </w:t>
      </w:r>
      <w:r>
        <w:rPr>
          <w:sz w:val="20"/>
        </w:rPr>
        <w:t>experimental</w:t>
      </w:r>
    </w:p>
    <w:p w:rsidR="008C5217" w:rsidRDefault="00602685">
      <w:pPr>
        <w:pStyle w:val="ListParagraph"/>
        <w:numPr>
          <w:ilvl w:val="0"/>
          <w:numId w:val="2"/>
        </w:numPr>
        <w:tabs>
          <w:tab w:val="left" w:pos="343"/>
        </w:tabs>
        <w:ind w:hanging="222"/>
        <w:rPr>
          <w:sz w:val="20"/>
        </w:rPr>
      </w:pPr>
      <w:r>
        <w:rPr>
          <w:sz w:val="20"/>
        </w:rPr>
        <w:t>Out-of-network deductible rates</w:t>
      </w:r>
      <w:r>
        <w:rPr>
          <w:spacing w:val="-4"/>
          <w:sz w:val="20"/>
        </w:rPr>
        <w:t xml:space="preserve"> </w:t>
      </w:r>
      <w:r>
        <w:rPr>
          <w:sz w:val="20"/>
        </w:rPr>
        <w:t>applied</w:t>
      </w:r>
    </w:p>
    <w:p w:rsidR="008C5217" w:rsidRDefault="00602685">
      <w:pPr>
        <w:pStyle w:val="ListParagraph"/>
        <w:numPr>
          <w:ilvl w:val="0"/>
          <w:numId w:val="2"/>
        </w:numPr>
        <w:tabs>
          <w:tab w:val="left" w:pos="343"/>
        </w:tabs>
        <w:spacing w:line="230" w:lineRule="exact"/>
        <w:ind w:hanging="222"/>
        <w:rPr>
          <w:sz w:val="20"/>
        </w:rPr>
      </w:pPr>
      <w:r>
        <w:rPr>
          <w:sz w:val="20"/>
        </w:rPr>
        <w:t>Laboratory services available through capitated</w:t>
      </w:r>
      <w:r>
        <w:rPr>
          <w:spacing w:val="-9"/>
          <w:sz w:val="20"/>
        </w:rPr>
        <w:t xml:space="preserve"> </w:t>
      </w:r>
      <w:r>
        <w:rPr>
          <w:sz w:val="20"/>
        </w:rPr>
        <w:t>laboratory</w:t>
      </w:r>
    </w:p>
    <w:p w:rsidR="008C5217" w:rsidRDefault="00602685">
      <w:pPr>
        <w:pStyle w:val="ListParagraph"/>
        <w:numPr>
          <w:ilvl w:val="0"/>
          <w:numId w:val="2"/>
        </w:numPr>
        <w:tabs>
          <w:tab w:val="left" w:pos="343"/>
        </w:tabs>
        <w:spacing w:line="230" w:lineRule="exact"/>
        <w:ind w:hanging="222"/>
        <w:rPr>
          <w:sz w:val="20"/>
        </w:rPr>
      </w:pPr>
      <w:r>
        <w:rPr>
          <w:sz w:val="20"/>
        </w:rPr>
        <w:t>Laboratory testing not considered medically</w:t>
      </w:r>
      <w:r>
        <w:rPr>
          <w:spacing w:val="-8"/>
          <w:sz w:val="20"/>
        </w:rPr>
        <w:t xml:space="preserve"> </w:t>
      </w:r>
      <w:r>
        <w:rPr>
          <w:sz w:val="20"/>
        </w:rPr>
        <w:t>necessary</w:t>
      </w:r>
    </w:p>
    <w:p w:rsidR="008C5217" w:rsidRDefault="00602685">
      <w:pPr>
        <w:spacing w:before="2"/>
        <w:ind w:left="120"/>
        <w:rPr>
          <w:b/>
          <w:i/>
          <w:sz w:val="18"/>
        </w:rPr>
      </w:pPr>
      <w:r>
        <w:rPr>
          <w:b/>
          <w:i/>
          <w:sz w:val="18"/>
        </w:rPr>
        <w:t>(List information provided on the patient’s insurance EOB)</w:t>
      </w:r>
    </w:p>
    <w:p w:rsidR="008C5217" w:rsidRDefault="008C5217">
      <w:pPr>
        <w:pStyle w:val="BodyText"/>
        <w:rPr>
          <w:b/>
          <w:i/>
        </w:rPr>
      </w:pPr>
    </w:p>
    <w:p w:rsidR="008C5217" w:rsidRDefault="008C5217">
      <w:pPr>
        <w:pStyle w:val="BodyText"/>
        <w:rPr>
          <w:b/>
          <w:i/>
        </w:rPr>
      </w:pPr>
    </w:p>
    <w:p w:rsidR="008C5217" w:rsidRDefault="00602685">
      <w:pPr>
        <w:pStyle w:val="Heading1"/>
        <w:rPr>
          <w:u w:val="none"/>
        </w:rPr>
      </w:pPr>
      <w:r>
        <w:rPr>
          <w:u w:val="thick"/>
        </w:rPr>
        <w:t>TEST DESCRIPTION</w:t>
      </w:r>
    </w:p>
    <w:p w:rsidR="008C5217" w:rsidRDefault="008C5217">
      <w:pPr>
        <w:pStyle w:val="BodyText"/>
        <w:spacing w:before="8"/>
        <w:rPr>
          <w:b/>
          <w:sz w:val="11"/>
        </w:rPr>
      </w:pPr>
    </w:p>
    <w:p w:rsidR="008C5217" w:rsidRDefault="00602685">
      <w:pPr>
        <w:pStyle w:val="BodyText"/>
        <w:spacing w:before="94"/>
        <w:ind w:left="120" w:right="106"/>
        <w:jc w:val="both"/>
      </w:pPr>
      <w:r>
        <w:t xml:space="preserve">PROMETHEUS™ </w:t>
      </w:r>
      <w:proofErr w:type="spellStart"/>
      <w:r>
        <w:t>Thiopurine</w:t>
      </w:r>
      <w:proofErr w:type="spellEnd"/>
      <w:r>
        <w:t xml:space="preserve"> Metabolites testing assists physicians in optimizing ongoing dosing of </w:t>
      </w:r>
      <w:proofErr w:type="spellStart"/>
      <w:r>
        <w:t>thiopurine</w:t>
      </w:r>
      <w:proofErr w:type="spellEnd"/>
      <w:r>
        <w:t xml:space="preserve"> immunosuppressant therapy to reach and maintain therapeutic goal. </w:t>
      </w:r>
      <w:proofErr w:type="spellStart"/>
      <w:r>
        <w:t>Thiopurine</w:t>
      </w:r>
      <w:proofErr w:type="spellEnd"/>
      <w:r>
        <w:t xml:space="preserve"> metabolite testing also helps to identify drug metabolite levels that may lead to toxicity and some of the reasons for treatment</w:t>
      </w:r>
      <w:r>
        <w:rPr>
          <w:spacing w:val="-38"/>
        </w:rPr>
        <w:t xml:space="preserve"> </w:t>
      </w:r>
      <w:r>
        <w:t>failure.</w:t>
      </w:r>
    </w:p>
    <w:p w:rsidR="008C5217" w:rsidRDefault="008C5217">
      <w:pPr>
        <w:pStyle w:val="BodyText"/>
      </w:pPr>
    </w:p>
    <w:p w:rsidR="008C5217" w:rsidRDefault="00602685">
      <w:pPr>
        <w:pStyle w:val="BodyText"/>
        <w:spacing w:before="1"/>
        <w:ind w:left="120" w:right="105"/>
        <w:jc w:val="both"/>
      </w:pPr>
      <w:r>
        <w:t xml:space="preserve">PROMETHEUS™ </w:t>
      </w:r>
      <w:proofErr w:type="spellStart"/>
      <w:r>
        <w:t>Thiopurine</w:t>
      </w:r>
      <w:proofErr w:type="spellEnd"/>
      <w:r>
        <w:t xml:space="preserve"> Metabolites is performed only at Prometheus Laboratories Inc., a clinical reference laboratory in San Diego, California. Prometheus is CLIA certified and CAP accredited. All laboratory tests have been validated in accordance with the guidelines established by these and other applicable agencies. Extensive studies have been performed. Currently, Food and Drug Administration (FDA) approval is not required for testing </w:t>
      </w:r>
      <w:proofErr w:type="gramStart"/>
      <w:r>
        <w:t>performed  by</w:t>
      </w:r>
      <w:proofErr w:type="gramEnd"/>
      <w:r>
        <w:rPr>
          <w:spacing w:val="-2"/>
        </w:rPr>
        <w:t xml:space="preserve"> </w:t>
      </w:r>
      <w:r>
        <w:t>Prometheus.</w:t>
      </w:r>
    </w:p>
    <w:p w:rsidR="008C5217" w:rsidRDefault="008C5217">
      <w:pPr>
        <w:jc w:val="both"/>
        <w:sectPr w:rsidR="008C5217">
          <w:type w:val="continuous"/>
          <w:pgSz w:w="12240" w:h="15840"/>
          <w:pgMar w:top="920" w:right="900" w:bottom="280" w:left="600" w:header="720" w:footer="720" w:gutter="0"/>
          <w:cols w:space="720"/>
        </w:sectPr>
      </w:pPr>
    </w:p>
    <w:p w:rsidR="008C5217" w:rsidRDefault="00602685">
      <w:pPr>
        <w:pStyle w:val="Heading1"/>
        <w:spacing w:before="74"/>
        <w:rPr>
          <w:u w:val="none"/>
        </w:rPr>
      </w:pPr>
      <w:r>
        <w:rPr>
          <w:u w:val="thick"/>
        </w:rPr>
        <w:lastRenderedPageBreak/>
        <w:t>NETWORK PROVIDER SERVICES</w:t>
      </w:r>
    </w:p>
    <w:p w:rsidR="008C5217" w:rsidRDefault="008C5217">
      <w:pPr>
        <w:pStyle w:val="BodyText"/>
        <w:spacing w:before="8"/>
        <w:rPr>
          <w:b/>
          <w:sz w:val="11"/>
        </w:rPr>
      </w:pPr>
    </w:p>
    <w:p w:rsidR="008C5217" w:rsidRDefault="00602685">
      <w:pPr>
        <w:pStyle w:val="BodyText"/>
        <w:spacing w:before="94"/>
        <w:ind w:left="119" w:right="105"/>
        <w:jc w:val="both"/>
      </w:pPr>
      <w:r>
        <w:t xml:space="preserve">I chose Prometheus to perform PROMETHEUS™ </w:t>
      </w:r>
      <w:proofErr w:type="spellStart"/>
      <w:r>
        <w:t>Thiopurine</w:t>
      </w:r>
      <w:proofErr w:type="spellEnd"/>
      <w:r>
        <w:t xml:space="preserve"> Metabolites instead of alternative in-network laboratory testing because this test is proprietary to Prometheus and because of the information provided on their comprehensive report.</w:t>
      </w:r>
    </w:p>
    <w:p w:rsidR="008C5217" w:rsidRDefault="008C5217">
      <w:pPr>
        <w:pStyle w:val="BodyText"/>
        <w:spacing w:before="2"/>
      </w:pPr>
    </w:p>
    <w:p w:rsidR="008C5217" w:rsidRDefault="00602685">
      <w:pPr>
        <w:pStyle w:val="Heading1"/>
        <w:ind w:left="840"/>
        <w:rPr>
          <w:u w:val="none"/>
        </w:rPr>
      </w:pPr>
      <w:r>
        <w:rPr>
          <w:u w:val="thick"/>
        </w:rPr>
        <w:t>&gt;AND/OR&lt;</w:t>
      </w:r>
    </w:p>
    <w:p w:rsidR="008C5217" w:rsidRDefault="008C5217">
      <w:pPr>
        <w:pStyle w:val="BodyText"/>
        <w:spacing w:before="8"/>
        <w:rPr>
          <w:b/>
          <w:sz w:val="11"/>
        </w:rPr>
      </w:pPr>
    </w:p>
    <w:p w:rsidR="008C5217" w:rsidRDefault="00602685">
      <w:pPr>
        <w:pStyle w:val="BodyText"/>
        <w:spacing w:before="94"/>
        <w:ind w:left="119" w:right="104"/>
        <w:jc w:val="both"/>
      </w:pPr>
      <w:bookmarkStart w:id="5" w:name="_GoBack"/>
      <w:bookmarkEnd w:id="5"/>
      <w:r>
        <w:t xml:space="preserve">I ordered the testing and directed my patient to an in-network laboratory which does not offer PROMETHEUS™ </w:t>
      </w:r>
      <w:proofErr w:type="spellStart"/>
      <w:r>
        <w:t>Thiopurine</w:t>
      </w:r>
      <w:proofErr w:type="spellEnd"/>
      <w:r>
        <w:t xml:space="preserve"> Metabolites. I have made a good-faith attempt to follow insurance guidelines and was unaware of the referral to an out-of-network provider.</w:t>
      </w:r>
    </w:p>
    <w:p w:rsidR="008C5217" w:rsidRDefault="008C5217">
      <w:pPr>
        <w:pStyle w:val="BodyText"/>
        <w:rPr>
          <w:sz w:val="22"/>
        </w:rPr>
      </w:pPr>
    </w:p>
    <w:p w:rsidR="008C5217" w:rsidRDefault="008C5217">
      <w:pPr>
        <w:pStyle w:val="BodyText"/>
        <w:rPr>
          <w:sz w:val="18"/>
        </w:rPr>
      </w:pPr>
    </w:p>
    <w:p w:rsidR="008C5217" w:rsidRDefault="00602685">
      <w:pPr>
        <w:pStyle w:val="Heading1"/>
        <w:spacing w:before="1"/>
        <w:jc w:val="both"/>
        <w:rPr>
          <w:u w:val="none"/>
        </w:rPr>
      </w:pPr>
      <w:r>
        <w:rPr>
          <w:u w:val="thick"/>
        </w:rPr>
        <w:t>LABORATORY AND PHYSICIAN INFORMATION</w:t>
      </w:r>
    </w:p>
    <w:p w:rsidR="008C5217" w:rsidRDefault="008C5217">
      <w:pPr>
        <w:pStyle w:val="BodyText"/>
        <w:spacing w:before="9"/>
        <w:rPr>
          <w:b/>
          <w:sz w:val="11"/>
        </w:rPr>
      </w:pPr>
    </w:p>
    <w:p w:rsidR="008C5217" w:rsidRDefault="00602685">
      <w:pPr>
        <w:pStyle w:val="BodyText"/>
        <w:spacing w:before="94"/>
        <w:ind w:left="119" w:right="46"/>
      </w:pPr>
      <w:r>
        <w:t xml:space="preserve">For additional information about the PROMETHEUS™ </w:t>
      </w:r>
      <w:proofErr w:type="spellStart"/>
      <w:r>
        <w:t>Thiopurine</w:t>
      </w:r>
      <w:proofErr w:type="spellEnd"/>
      <w:r>
        <w:t xml:space="preserve"> Metabolites test contact Prometheus Laboratories Inc. at 1-888-423-5227. If you require additional medical information, please contact Dr. Grant at XXX-XXX-XXXX.</w:t>
      </w:r>
    </w:p>
    <w:p w:rsidR="008C5217" w:rsidRDefault="008C5217">
      <w:pPr>
        <w:pStyle w:val="BodyText"/>
        <w:rPr>
          <w:sz w:val="22"/>
        </w:rPr>
      </w:pPr>
    </w:p>
    <w:p w:rsidR="008C5217" w:rsidRDefault="008C5217">
      <w:pPr>
        <w:pStyle w:val="BodyText"/>
        <w:rPr>
          <w:sz w:val="18"/>
        </w:rPr>
      </w:pPr>
    </w:p>
    <w:p w:rsidR="008C5217" w:rsidRDefault="00602685">
      <w:pPr>
        <w:pStyle w:val="Heading1"/>
        <w:rPr>
          <w:u w:val="none"/>
        </w:rPr>
      </w:pPr>
      <w:r>
        <w:rPr>
          <w:u w:val="thick"/>
        </w:rPr>
        <w:t>REFERENCE MATERIALS</w:t>
      </w:r>
    </w:p>
    <w:p w:rsidR="008C5217" w:rsidRDefault="008C5217">
      <w:pPr>
        <w:pStyle w:val="BodyText"/>
        <w:spacing w:before="11"/>
        <w:rPr>
          <w:b/>
          <w:sz w:val="19"/>
        </w:rPr>
      </w:pPr>
    </w:p>
    <w:p w:rsidR="008C5217" w:rsidRDefault="00602685">
      <w:pPr>
        <w:pStyle w:val="ListParagraph"/>
        <w:numPr>
          <w:ilvl w:val="0"/>
          <w:numId w:val="1"/>
        </w:numPr>
        <w:tabs>
          <w:tab w:val="left" w:pos="839"/>
          <w:tab w:val="left" w:pos="841"/>
        </w:tabs>
        <w:ind w:right="992" w:hanging="360"/>
        <w:rPr>
          <w:sz w:val="20"/>
        </w:rPr>
      </w:pPr>
      <w:r>
        <w:rPr>
          <w:sz w:val="20"/>
        </w:rPr>
        <w:t xml:space="preserve">Dubinsky M, et al. Pharmacogenomics and metabolite measurement for 6-mercaptopurine therapy in inflammatory bowel disease. </w:t>
      </w:r>
      <w:r>
        <w:rPr>
          <w:i/>
          <w:sz w:val="20"/>
        </w:rPr>
        <w:t>Gastroenterology</w:t>
      </w:r>
      <w:r>
        <w:rPr>
          <w:i/>
          <w:spacing w:val="-5"/>
          <w:sz w:val="20"/>
        </w:rPr>
        <w:t xml:space="preserve"> </w:t>
      </w:r>
      <w:r>
        <w:rPr>
          <w:sz w:val="20"/>
        </w:rPr>
        <w:t>2000;118:705-713</w:t>
      </w:r>
    </w:p>
    <w:p w:rsidR="008C5217" w:rsidRDefault="008C5217">
      <w:pPr>
        <w:pStyle w:val="BodyText"/>
        <w:spacing w:before="10"/>
        <w:rPr>
          <w:sz w:val="19"/>
        </w:rPr>
      </w:pPr>
    </w:p>
    <w:p w:rsidR="008C5217" w:rsidRDefault="00602685">
      <w:pPr>
        <w:pStyle w:val="ListParagraph"/>
        <w:numPr>
          <w:ilvl w:val="0"/>
          <w:numId w:val="1"/>
        </w:numPr>
        <w:tabs>
          <w:tab w:val="left" w:pos="840"/>
          <w:tab w:val="left" w:pos="841"/>
        </w:tabs>
        <w:ind w:right="461" w:hanging="360"/>
        <w:rPr>
          <w:sz w:val="20"/>
        </w:rPr>
      </w:pPr>
      <w:proofErr w:type="spellStart"/>
      <w:r>
        <w:rPr>
          <w:sz w:val="20"/>
        </w:rPr>
        <w:t>Cuffari</w:t>
      </w:r>
      <w:proofErr w:type="spellEnd"/>
      <w:r>
        <w:rPr>
          <w:spacing w:val="-6"/>
          <w:sz w:val="20"/>
        </w:rPr>
        <w:t xml:space="preserve"> </w:t>
      </w:r>
      <w:r>
        <w:rPr>
          <w:sz w:val="20"/>
        </w:rPr>
        <w:t>C,</w:t>
      </w:r>
      <w:r>
        <w:rPr>
          <w:spacing w:val="-5"/>
          <w:sz w:val="20"/>
        </w:rPr>
        <w:t xml:space="preserve"> </w:t>
      </w:r>
      <w:r>
        <w:rPr>
          <w:sz w:val="20"/>
        </w:rPr>
        <w:t>et</w:t>
      </w:r>
      <w:r>
        <w:rPr>
          <w:spacing w:val="-7"/>
          <w:sz w:val="20"/>
        </w:rPr>
        <w:t xml:space="preserve"> </w:t>
      </w:r>
      <w:r>
        <w:rPr>
          <w:sz w:val="20"/>
        </w:rPr>
        <w:t>al.</w:t>
      </w:r>
      <w:r>
        <w:rPr>
          <w:spacing w:val="-5"/>
          <w:sz w:val="20"/>
        </w:rPr>
        <w:t xml:space="preserve"> </w:t>
      </w:r>
      <w:r>
        <w:rPr>
          <w:sz w:val="20"/>
        </w:rPr>
        <w:t>Utilization</w:t>
      </w:r>
      <w:r>
        <w:rPr>
          <w:spacing w:val="-7"/>
          <w:sz w:val="20"/>
        </w:rPr>
        <w:t xml:space="preserve"> </w:t>
      </w:r>
      <w:r>
        <w:rPr>
          <w:sz w:val="20"/>
        </w:rPr>
        <w:t>of</w:t>
      </w:r>
      <w:r>
        <w:rPr>
          <w:spacing w:val="-5"/>
          <w:sz w:val="20"/>
        </w:rPr>
        <w:t xml:space="preserve"> </w:t>
      </w:r>
      <w:r>
        <w:rPr>
          <w:sz w:val="20"/>
        </w:rPr>
        <w:t>erythrocyte</w:t>
      </w:r>
      <w:r>
        <w:rPr>
          <w:spacing w:val="-5"/>
          <w:sz w:val="20"/>
        </w:rPr>
        <w:t xml:space="preserve"> </w:t>
      </w:r>
      <w:r>
        <w:rPr>
          <w:sz w:val="20"/>
        </w:rPr>
        <w:t>6-thioguanine</w:t>
      </w:r>
      <w:r>
        <w:rPr>
          <w:spacing w:val="-6"/>
          <w:sz w:val="20"/>
        </w:rPr>
        <w:t xml:space="preserve"> </w:t>
      </w:r>
      <w:r>
        <w:rPr>
          <w:sz w:val="20"/>
        </w:rPr>
        <w:t>metabolite</w:t>
      </w:r>
      <w:r>
        <w:rPr>
          <w:spacing w:val="-5"/>
          <w:sz w:val="20"/>
        </w:rPr>
        <w:t xml:space="preserve"> </w:t>
      </w:r>
      <w:r>
        <w:rPr>
          <w:sz w:val="20"/>
        </w:rPr>
        <w:t>levels</w:t>
      </w:r>
      <w:r>
        <w:rPr>
          <w:spacing w:val="-6"/>
          <w:sz w:val="20"/>
        </w:rPr>
        <w:t xml:space="preserve"> </w:t>
      </w:r>
      <w:r>
        <w:rPr>
          <w:sz w:val="20"/>
        </w:rPr>
        <w:t>to</w:t>
      </w:r>
      <w:r>
        <w:rPr>
          <w:spacing w:val="-5"/>
          <w:sz w:val="20"/>
        </w:rPr>
        <w:t xml:space="preserve"> </w:t>
      </w:r>
      <w:r>
        <w:rPr>
          <w:sz w:val="20"/>
        </w:rPr>
        <w:t>optimize</w:t>
      </w:r>
      <w:r>
        <w:rPr>
          <w:spacing w:val="-6"/>
          <w:sz w:val="20"/>
        </w:rPr>
        <w:t xml:space="preserve"> </w:t>
      </w:r>
      <w:r>
        <w:rPr>
          <w:sz w:val="20"/>
        </w:rPr>
        <w:t>azathioprine</w:t>
      </w:r>
      <w:r>
        <w:rPr>
          <w:spacing w:val="-5"/>
          <w:sz w:val="20"/>
        </w:rPr>
        <w:t xml:space="preserve"> </w:t>
      </w:r>
      <w:r>
        <w:rPr>
          <w:sz w:val="20"/>
        </w:rPr>
        <w:t>therapy</w:t>
      </w:r>
      <w:r>
        <w:rPr>
          <w:spacing w:val="-6"/>
          <w:sz w:val="20"/>
        </w:rPr>
        <w:t xml:space="preserve"> </w:t>
      </w:r>
      <w:r>
        <w:rPr>
          <w:sz w:val="20"/>
        </w:rPr>
        <w:t xml:space="preserve">in patients with inflammatory bowel disease. </w:t>
      </w:r>
      <w:r>
        <w:rPr>
          <w:i/>
          <w:sz w:val="20"/>
        </w:rPr>
        <w:t xml:space="preserve">Gut. </w:t>
      </w:r>
      <w:r>
        <w:rPr>
          <w:sz w:val="20"/>
        </w:rPr>
        <w:t>2001;48:</w:t>
      </w:r>
      <w:r>
        <w:rPr>
          <w:spacing w:val="-13"/>
          <w:sz w:val="20"/>
        </w:rPr>
        <w:t xml:space="preserve"> </w:t>
      </w:r>
      <w:r>
        <w:rPr>
          <w:sz w:val="20"/>
        </w:rPr>
        <w:t>642-46</w:t>
      </w:r>
    </w:p>
    <w:p w:rsidR="008C5217" w:rsidRDefault="008C5217">
      <w:pPr>
        <w:pStyle w:val="BodyText"/>
        <w:spacing w:before="9"/>
        <w:rPr>
          <w:sz w:val="19"/>
        </w:rPr>
      </w:pPr>
    </w:p>
    <w:p w:rsidR="008C5217" w:rsidRDefault="00602685">
      <w:pPr>
        <w:pStyle w:val="ListParagraph"/>
        <w:numPr>
          <w:ilvl w:val="0"/>
          <w:numId w:val="1"/>
        </w:numPr>
        <w:tabs>
          <w:tab w:val="left" w:pos="840"/>
          <w:tab w:val="left" w:pos="841"/>
        </w:tabs>
        <w:ind w:right="1015" w:hanging="360"/>
        <w:rPr>
          <w:sz w:val="20"/>
        </w:rPr>
      </w:pPr>
      <w:proofErr w:type="spellStart"/>
      <w:r>
        <w:rPr>
          <w:sz w:val="20"/>
        </w:rPr>
        <w:t>Seidman</w:t>
      </w:r>
      <w:proofErr w:type="spellEnd"/>
      <w:r>
        <w:rPr>
          <w:sz w:val="20"/>
        </w:rPr>
        <w:t xml:space="preserve"> E, Clinical use and practical application of TPMT enzyme and 6-mercaptopurine metabolite monitoring in IBD. </w:t>
      </w:r>
      <w:proofErr w:type="spellStart"/>
      <w:r>
        <w:rPr>
          <w:i/>
          <w:sz w:val="20"/>
        </w:rPr>
        <w:t>Gastroenterol</w:t>
      </w:r>
      <w:proofErr w:type="spellEnd"/>
      <w:r>
        <w:rPr>
          <w:i/>
          <w:sz w:val="20"/>
        </w:rPr>
        <w:t xml:space="preserve"> </w:t>
      </w:r>
      <w:proofErr w:type="spellStart"/>
      <w:r>
        <w:rPr>
          <w:i/>
          <w:sz w:val="20"/>
        </w:rPr>
        <w:t>Disord</w:t>
      </w:r>
      <w:proofErr w:type="spellEnd"/>
      <w:r>
        <w:rPr>
          <w:i/>
          <w:sz w:val="20"/>
        </w:rPr>
        <w:t xml:space="preserve">. </w:t>
      </w:r>
      <w:r>
        <w:rPr>
          <w:sz w:val="20"/>
        </w:rPr>
        <w:t xml:space="preserve">2003;3 </w:t>
      </w:r>
      <w:proofErr w:type="spellStart"/>
      <w:r>
        <w:rPr>
          <w:sz w:val="20"/>
        </w:rPr>
        <w:t>Suppl</w:t>
      </w:r>
      <w:proofErr w:type="spellEnd"/>
      <w:r>
        <w:rPr>
          <w:spacing w:val="-10"/>
          <w:sz w:val="20"/>
        </w:rPr>
        <w:t xml:space="preserve"> </w:t>
      </w:r>
      <w:r>
        <w:rPr>
          <w:sz w:val="20"/>
        </w:rPr>
        <w:t>1:S30-8</w:t>
      </w:r>
    </w:p>
    <w:p w:rsidR="008C5217" w:rsidRDefault="008C5217">
      <w:pPr>
        <w:pStyle w:val="BodyText"/>
        <w:spacing w:before="10"/>
        <w:rPr>
          <w:sz w:val="19"/>
        </w:rPr>
      </w:pPr>
    </w:p>
    <w:p w:rsidR="008C5217" w:rsidRDefault="00602685">
      <w:pPr>
        <w:pStyle w:val="ListParagraph"/>
        <w:numPr>
          <w:ilvl w:val="0"/>
          <w:numId w:val="1"/>
        </w:numPr>
        <w:tabs>
          <w:tab w:val="left" w:pos="840"/>
          <w:tab w:val="left" w:pos="841"/>
        </w:tabs>
        <w:ind w:right="438" w:hanging="360"/>
        <w:rPr>
          <w:sz w:val="20"/>
        </w:rPr>
      </w:pPr>
      <w:r>
        <w:rPr>
          <w:sz w:val="20"/>
        </w:rPr>
        <w:t xml:space="preserve">Dubinsky M, et al. A Cost-Effective Analysis of Alternative Disease Management Strategies in Patients with </w:t>
      </w:r>
      <w:proofErr w:type="spellStart"/>
      <w:r>
        <w:rPr>
          <w:sz w:val="20"/>
        </w:rPr>
        <w:t>Crohn’s</w:t>
      </w:r>
      <w:proofErr w:type="spellEnd"/>
      <w:r>
        <w:rPr>
          <w:sz w:val="20"/>
        </w:rPr>
        <w:t xml:space="preserve"> Disease Treated with Azathioprine or 6-Mercaptopurine. </w:t>
      </w:r>
      <w:r>
        <w:rPr>
          <w:i/>
          <w:sz w:val="20"/>
        </w:rPr>
        <w:t xml:space="preserve">Am J </w:t>
      </w:r>
      <w:proofErr w:type="spellStart"/>
      <w:r>
        <w:rPr>
          <w:i/>
          <w:sz w:val="20"/>
        </w:rPr>
        <w:t>Gastroenterol</w:t>
      </w:r>
      <w:proofErr w:type="spellEnd"/>
      <w:r>
        <w:rPr>
          <w:sz w:val="20"/>
        </w:rPr>
        <w:t>. 2005;100(10):2239- 2247</w:t>
      </w:r>
    </w:p>
    <w:p w:rsidR="008C5217" w:rsidRDefault="008C5217">
      <w:pPr>
        <w:pStyle w:val="BodyText"/>
        <w:rPr>
          <w:sz w:val="22"/>
        </w:rPr>
      </w:pPr>
    </w:p>
    <w:p w:rsidR="008C5217" w:rsidRDefault="008C5217">
      <w:pPr>
        <w:pStyle w:val="BodyText"/>
        <w:spacing w:before="11"/>
        <w:rPr>
          <w:sz w:val="17"/>
        </w:rPr>
      </w:pPr>
    </w:p>
    <w:p w:rsidR="008C5217" w:rsidRDefault="00602685">
      <w:pPr>
        <w:pStyle w:val="BodyText"/>
        <w:ind w:left="120"/>
      </w:pPr>
      <w:r>
        <w:t xml:space="preserve">Please approve full coverage for the PROMETHEUS™ </w:t>
      </w:r>
      <w:proofErr w:type="spellStart"/>
      <w:r>
        <w:t>Thiopurine</w:t>
      </w:r>
      <w:proofErr w:type="spellEnd"/>
      <w:r>
        <w:t xml:space="preserve"> Metabolites test or at least apply in-network benefit coverage for laboratory testing.</w:t>
      </w:r>
    </w:p>
    <w:p w:rsidR="008C5217" w:rsidRDefault="008C5217">
      <w:pPr>
        <w:pStyle w:val="BodyText"/>
      </w:pPr>
    </w:p>
    <w:p w:rsidR="008C5217" w:rsidRDefault="00602685">
      <w:pPr>
        <w:pStyle w:val="BodyText"/>
        <w:spacing w:line="480" w:lineRule="auto"/>
        <w:ind w:left="120" w:right="906"/>
      </w:pPr>
      <w:r>
        <w:t>Thank you for your prompt attention. I look forward to receiving a written response from you within two weeks. Sincerely,</w:t>
      </w:r>
    </w:p>
    <w:p w:rsidR="008C5217" w:rsidRDefault="008C5217">
      <w:pPr>
        <w:pStyle w:val="BodyText"/>
        <w:rPr>
          <w:sz w:val="22"/>
        </w:rPr>
      </w:pPr>
    </w:p>
    <w:p w:rsidR="008C5217" w:rsidRDefault="008C5217">
      <w:pPr>
        <w:pStyle w:val="BodyText"/>
        <w:rPr>
          <w:sz w:val="22"/>
        </w:rPr>
      </w:pPr>
    </w:p>
    <w:p w:rsidR="008C5217" w:rsidRDefault="008C5217">
      <w:pPr>
        <w:pStyle w:val="BodyText"/>
        <w:rPr>
          <w:sz w:val="22"/>
        </w:rPr>
      </w:pPr>
    </w:p>
    <w:p w:rsidR="008C5217" w:rsidRDefault="008C5217">
      <w:pPr>
        <w:pStyle w:val="BodyText"/>
        <w:rPr>
          <w:sz w:val="22"/>
        </w:rPr>
      </w:pPr>
    </w:p>
    <w:p w:rsidR="008C5217" w:rsidRDefault="00602685">
      <w:pPr>
        <w:pStyle w:val="BodyText"/>
        <w:spacing w:before="137"/>
        <w:ind w:left="120"/>
      </w:pPr>
      <w:r>
        <w:t>Ulysses Grant, MD</w:t>
      </w:r>
    </w:p>
    <w:p w:rsidR="008C5217" w:rsidRDefault="00602685">
      <w:pPr>
        <w:pStyle w:val="BodyText"/>
        <w:ind w:left="120" w:right="7821"/>
      </w:pPr>
      <w:r>
        <w:t>Sunnyvale Community Hospital 12345 Sunnyvale Road</w:t>
      </w:r>
    </w:p>
    <w:p w:rsidR="008C5217" w:rsidRDefault="00602685">
      <w:pPr>
        <w:pStyle w:val="BodyText"/>
        <w:ind w:left="120" w:right="8683"/>
      </w:pPr>
      <w:r>
        <w:t>San Diego, CA 92121 XXX-XXX-XXXX</w:t>
      </w:r>
    </w:p>
    <w:p w:rsidR="008C5217" w:rsidRDefault="008C5217">
      <w:pPr>
        <w:pStyle w:val="BodyText"/>
        <w:rPr>
          <w:sz w:val="22"/>
        </w:rPr>
      </w:pPr>
    </w:p>
    <w:p w:rsidR="008C5217" w:rsidRDefault="008C5217">
      <w:pPr>
        <w:pStyle w:val="BodyText"/>
        <w:rPr>
          <w:sz w:val="22"/>
        </w:rPr>
      </w:pPr>
    </w:p>
    <w:p w:rsidR="008C5217" w:rsidRDefault="008C5217">
      <w:pPr>
        <w:pStyle w:val="BodyText"/>
        <w:rPr>
          <w:sz w:val="22"/>
        </w:rPr>
      </w:pPr>
    </w:p>
    <w:p w:rsidR="008C5217" w:rsidRDefault="008C5217">
      <w:pPr>
        <w:pStyle w:val="BodyText"/>
        <w:rPr>
          <w:sz w:val="22"/>
        </w:rPr>
      </w:pPr>
    </w:p>
    <w:p w:rsidR="008C5217" w:rsidRDefault="008C5217">
      <w:pPr>
        <w:pStyle w:val="BodyText"/>
        <w:spacing w:before="1"/>
        <w:rPr>
          <w:sz w:val="32"/>
        </w:rPr>
      </w:pPr>
    </w:p>
    <w:p w:rsidR="008C5217" w:rsidRDefault="00602685">
      <w:pPr>
        <w:pStyle w:val="BodyText"/>
        <w:ind w:right="106"/>
        <w:jc w:val="right"/>
      </w:pPr>
      <w:r>
        <w:t>03/06 DX060131</w:t>
      </w:r>
    </w:p>
    <w:sectPr w:rsidR="008C5217">
      <w:pgSz w:w="12240" w:h="15840"/>
      <w:pgMar w:top="920" w:right="9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520F"/>
    <w:multiLevelType w:val="hybridMultilevel"/>
    <w:tmpl w:val="82322728"/>
    <w:lvl w:ilvl="0" w:tplc="8F8C6DC4">
      <w:numFmt w:val="bullet"/>
      <w:lvlText w:val=""/>
      <w:lvlJc w:val="left"/>
      <w:pPr>
        <w:ind w:left="840" w:hanging="361"/>
      </w:pPr>
      <w:rPr>
        <w:rFonts w:ascii="Symbol" w:eastAsia="Symbol" w:hAnsi="Symbol" w:cs="Symbol" w:hint="default"/>
        <w:w w:val="100"/>
        <w:sz w:val="20"/>
        <w:szCs w:val="20"/>
      </w:rPr>
    </w:lvl>
    <w:lvl w:ilvl="1" w:tplc="61F444D0">
      <w:numFmt w:val="bullet"/>
      <w:lvlText w:val="•"/>
      <w:lvlJc w:val="left"/>
      <w:pPr>
        <w:ind w:left="1830" w:hanging="361"/>
      </w:pPr>
      <w:rPr>
        <w:rFonts w:hint="default"/>
      </w:rPr>
    </w:lvl>
    <w:lvl w:ilvl="2" w:tplc="433CA968">
      <w:numFmt w:val="bullet"/>
      <w:lvlText w:val="•"/>
      <w:lvlJc w:val="left"/>
      <w:pPr>
        <w:ind w:left="2820" w:hanging="361"/>
      </w:pPr>
      <w:rPr>
        <w:rFonts w:hint="default"/>
      </w:rPr>
    </w:lvl>
    <w:lvl w:ilvl="3" w:tplc="79705AE4">
      <w:numFmt w:val="bullet"/>
      <w:lvlText w:val="•"/>
      <w:lvlJc w:val="left"/>
      <w:pPr>
        <w:ind w:left="3810" w:hanging="361"/>
      </w:pPr>
      <w:rPr>
        <w:rFonts w:hint="default"/>
      </w:rPr>
    </w:lvl>
    <w:lvl w:ilvl="4" w:tplc="375E90BC">
      <w:numFmt w:val="bullet"/>
      <w:lvlText w:val="•"/>
      <w:lvlJc w:val="left"/>
      <w:pPr>
        <w:ind w:left="4800" w:hanging="361"/>
      </w:pPr>
      <w:rPr>
        <w:rFonts w:hint="default"/>
      </w:rPr>
    </w:lvl>
    <w:lvl w:ilvl="5" w:tplc="0BF89992">
      <w:numFmt w:val="bullet"/>
      <w:lvlText w:val="•"/>
      <w:lvlJc w:val="left"/>
      <w:pPr>
        <w:ind w:left="5790" w:hanging="361"/>
      </w:pPr>
      <w:rPr>
        <w:rFonts w:hint="default"/>
      </w:rPr>
    </w:lvl>
    <w:lvl w:ilvl="6" w:tplc="E6B2D33A">
      <w:numFmt w:val="bullet"/>
      <w:lvlText w:val="•"/>
      <w:lvlJc w:val="left"/>
      <w:pPr>
        <w:ind w:left="6780" w:hanging="361"/>
      </w:pPr>
      <w:rPr>
        <w:rFonts w:hint="default"/>
      </w:rPr>
    </w:lvl>
    <w:lvl w:ilvl="7" w:tplc="194239D2">
      <w:numFmt w:val="bullet"/>
      <w:lvlText w:val="•"/>
      <w:lvlJc w:val="left"/>
      <w:pPr>
        <w:ind w:left="7770" w:hanging="361"/>
      </w:pPr>
      <w:rPr>
        <w:rFonts w:hint="default"/>
      </w:rPr>
    </w:lvl>
    <w:lvl w:ilvl="8" w:tplc="AE4E5A80">
      <w:numFmt w:val="bullet"/>
      <w:lvlText w:val="•"/>
      <w:lvlJc w:val="left"/>
      <w:pPr>
        <w:ind w:left="8760" w:hanging="361"/>
      </w:pPr>
      <w:rPr>
        <w:rFonts w:hint="default"/>
      </w:rPr>
    </w:lvl>
  </w:abstractNum>
  <w:abstractNum w:abstractNumId="1">
    <w:nsid w:val="2DBB123A"/>
    <w:multiLevelType w:val="hybridMultilevel"/>
    <w:tmpl w:val="DA384D10"/>
    <w:lvl w:ilvl="0" w:tplc="E0A23AD2">
      <w:start w:val="1"/>
      <w:numFmt w:val="decimal"/>
      <w:lvlText w:val="%1."/>
      <w:lvlJc w:val="left"/>
      <w:pPr>
        <w:ind w:left="342" w:hanging="223"/>
        <w:jc w:val="left"/>
      </w:pPr>
      <w:rPr>
        <w:rFonts w:ascii="Arial" w:eastAsia="Arial" w:hAnsi="Arial" w:cs="Arial" w:hint="default"/>
        <w:w w:val="100"/>
        <w:sz w:val="20"/>
        <w:szCs w:val="20"/>
      </w:rPr>
    </w:lvl>
    <w:lvl w:ilvl="1" w:tplc="F29ABC38">
      <w:numFmt w:val="bullet"/>
      <w:lvlText w:val="•"/>
      <w:lvlJc w:val="left"/>
      <w:pPr>
        <w:ind w:left="1380" w:hanging="223"/>
      </w:pPr>
      <w:rPr>
        <w:rFonts w:hint="default"/>
      </w:rPr>
    </w:lvl>
    <w:lvl w:ilvl="2" w:tplc="5F7A2172">
      <w:numFmt w:val="bullet"/>
      <w:lvlText w:val="•"/>
      <w:lvlJc w:val="left"/>
      <w:pPr>
        <w:ind w:left="2420" w:hanging="223"/>
      </w:pPr>
      <w:rPr>
        <w:rFonts w:hint="default"/>
      </w:rPr>
    </w:lvl>
    <w:lvl w:ilvl="3" w:tplc="5D76CD8E">
      <w:numFmt w:val="bullet"/>
      <w:lvlText w:val="•"/>
      <w:lvlJc w:val="left"/>
      <w:pPr>
        <w:ind w:left="3460" w:hanging="223"/>
      </w:pPr>
      <w:rPr>
        <w:rFonts w:hint="default"/>
      </w:rPr>
    </w:lvl>
    <w:lvl w:ilvl="4" w:tplc="7D9C5FF2">
      <w:numFmt w:val="bullet"/>
      <w:lvlText w:val="•"/>
      <w:lvlJc w:val="left"/>
      <w:pPr>
        <w:ind w:left="4500" w:hanging="223"/>
      </w:pPr>
      <w:rPr>
        <w:rFonts w:hint="default"/>
      </w:rPr>
    </w:lvl>
    <w:lvl w:ilvl="5" w:tplc="242AB094">
      <w:numFmt w:val="bullet"/>
      <w:lvlText w:val="•"/>
      <w:lvlJc w:val="left"/>
      <w:pPr>
        <w:ind w:left="5540" w:hanging="223"/>
      </w:pPr>
      <w:rPr>
        <w:rFonts w:hint="default"/>
      </w:rPr>
    </w:lvl>
    <w:lvl w:ilvl="6" w:tplc="9050E3DA">
      <w:numFmt w:val="bullet"/>
      <w:lvlText w:val="•"/>
      <w:lvlJc w:val="left"/>
      <w:pPr>
        <w:ind w:left="6580" w:hanging="223"/>
      </w:pPr>
      <w:rPr>
        <w:rFonts w:hint="default"/>
      </w:rPr>
    </w:lvl>
    <w:lvl w:ilvl="7" w:tplc="9E42DFA8">
      <w:numFmt w:val="bullet"/>
      <w:lvlText w:val="•"/>
      <w:lvlJc w:val="left"/>
      <w:pPr>
        <w:ind w:left="7620" w:hanging="223"/>
      </w:pPr>
      <w:rPr>
        <w:rFonts w:hint="default"/>
      </w:rPr>
    </w:lvl>
    <w:lvl w:ilvl="8" w:tplc="D3724524">
      <w:numFmt w:val="bullet"/>
      <w:lvlText w:val="•"/>
      <w:lvlJc w:val="left"/>
      <w:pPr>
        <w:ind w:left="8660" w:hanging="22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2"/>
  </w:compat>
  <w:rsids>
    <w:rsidRoot w:val="008C5217"/>
    <w:rsid w:val="00602685"/>
    <w:rsid w:val="008C5217"/>
    <w:rsid w:val="00F7414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0DCECA-236E-42A8-9982-FC0C355E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4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599</Words>
  <Characters>3416</Characters>
  <DocSecurity>0</DocSecurity>
  <Lines>28</Lines>
  <Paragraphs>8</Paragraphs>
  <ScaleCrop>false</ScaleCrop>
  <Company/>
  <LinksUpToDate>false</LinksUpToDate>
  <CharactersWithSpaces>4007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