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5" w:lineRule="exact" w:before="79"/>
      </w:pPr>
      <w:r>
        <w:rPr/>
        <w:t>Sample Appeal Letter from a</w:t>
      </w:r>
      <w:r>
        <w:rPr>
          <w:spacing w:val="54"/>
        </w:rPr>
        <w:t> </w:t>
      </w:r>
      <w:r>
        <w:rPr/>
        <w:t>Specialist</w:t>
      </w:r>
    </w:p>
    <w:p>
      <w:pPr>
        <w:spacing w:line="265" w:lineRule="exact" w:before="0"/>
        <w:ind w:left="120" w:right="0" w:firstLine="0"/>
        <w:jc w:val="left"/>
        <w:rPr>
          <w:rFonts w:ascii="Book Antiqua"/>
          <w:b/>
          <w:sz w:val="22"/>
        </w:rPr>
      </w:pPr>
      <w:r>
        <w:rPr>
          <w:rFonts w:ascii="Book Antiqua"/>
          <w:b/>
          <w:sz w:val="22"/>
        </w:rPr>
        <w:t>This sample is applicable to 32-35 wGA infants with risk factors</w:t>
      </w:r>
    </w:p>
    <w:p>
      <w:pPr>
        <w:pStyle w:val="BodyText"/>
        <w:rPr>
          <w:rFonts w:ascii="Book Antiqua"/>
          <w:b/>
          <w:sz w:val="26"/>
        </w:rPr>
      </w:pPr>
    </w:p>
    <w:p>
      <w:pPr>
        <w:pStyle w:val="BodyText"/>
        <w:rPr>
          <w:rFonts w:ascii="Book Antiqua"/>
          <w:b/>
          <w:sz w:val="26"/>
        </w:rPr>
      </w:pPr>
    </w:p>
    <w:p>
      <w:pPr>
        <w:pStyle w:val="BodyText"/>
        <w:spacing w:before="8"/>
        <w:rPr>
          <w:rFonts w:ascii="Book Antiqua"/>
          <w:b/>
          <w:sz w:val="36"/>
        </w:rPr>
      </w:pPr>
    </w:p>
    <w:p>
      <w:pPr>
        <w:spacing w:before="0"/>
        <w:ind w:left="120" w:right="0" w:firstLine="0"/>
        <w:jc w:val="left"/>
        <w:rPr>
          <w:rFonts w:ascii="Book Antiqua"/>
          <w:b/>
          <w:sz w:val="22"/>
        </w:rPr>
      </w:pPr>
      <w:r>
        <w:rPr>
          <w:rFonts w:ascii="Book Antiqua"/>
          <w:b/>
          <w:sz w:val="22"/>
        </w:rPr>
        <w:t>@logoimage@</w:t>
      </w:r>
    </w:p>
    <w:p>
      <w:pPr>
        <w:pStyle w:val="BodyText"/>
        <w:rPr>
          <w:rFonts w:ascii="Book Antiqua"/>
          <w:b/>
          <w:sz w:val="26"/>
        </w:rPr>
      </w:pPr>
    </w:p>
    <w:p>
      <w:pPr>
        <w:pStyle w:val="BodyText"/>
        <w:rPr>
          <w:rFonts w:ascii="Book Antiqua"/>
          <w:b/>
          <w:sz w:val="26"/>
        </w:rPr>
      </w:pPr>
    </w:p>
    <w:p>
      <w:pPr>
        <w:pStyle w:val="BodyText"/>
        <w:spacing w:before="1"/>
        <w:rPr>
          <w:rFonts w:ascii="Book Antiqua"/>
          <w:b/>
          <w:sz w:val="37"/>
        </w:rPr>
      </w:pPr>
    </w:p>
    <w:p>
      <w:pPr>
        <w:spacing w:before="0"/>
        <w:ind w:left="120" w:right="0" w:firstLine="0"/>
        <w:jc w:val="left"/>
        <w:rPr>
          <w:rFonts w:ascii="Book Antiqua"/>
          <w:b/>
          <w:sz w:val="22"/>
        </w:rPr>
      </w:pPr>
      <w:r>
        <w:rPr>
          <w:rFonts w:ascii="Book Antiqua"/>
          <w:b/>
          <w:sz w:val="22"/>
        </w:rPr>
        <w:t>@today@</w:t>
      </w:r>
    </w:p>
    <w:p>
      <w:pPr>
        <w:pStyle w:val="BodyText"/>
        <w:rPr>
          <w:rFonts w:ascii="Book Antiqua"/>
          <w:b/>
          <w:sz w:val="26"/>
        </w:rPr>
      </w:pPr>
    </w:p>
    <w:p>
      <w:pPr>
        <w:spacing w:before="229"/>
        <w:ind w:left="120" w:right="0" w:firstLine="0"/>
        <w:jc w:val="left"/>
        <w:rPr>
          <w:b/>
          <w:sz w:val="22"/>
        </w:rPr>
      </w:pPr>
      <w:r>
        <w:rPr>
          <w:sz w:val="22"/>
        </w:rPr>
        <w:t>Dear </w:t>
      </w:r>
      <w:r>
        <w:rPr>
          <w:b/>
          <w:sz w:val="22"/>
        </w:rPr>
        <w:t>@insurance@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19" w:right="912"/>
      </w:pPr>
      <w:r>
        <w:rPr/>
        <w:t>This letter is to appeal the denial of Synagis (palivizumab) therapy for </w:t>
      </w:r>
      <w:r>
        <w:rPr>
          <w:b/>
        </w:rPr>
        <w:t>@name@ </w:t>
      </w:r>
      <w:r>
        <w:rPr/>
        <w:t>with denial reference of ***. Synagis is medically necessary for this patient and is an FDA-approved product for the prophylaxis of severe respiratory syncytial virus (RSV) disease in infants and children at high risk for severe RSV</w:t>
      </w:r>
      <w:r>
        <w:rPr>
          <w:spacing w:val="-12"/>
        </w:rPr>
        <w:t> </w:t>
      </w:r>
      <w:r>
        <w:rPr/>
        <w:t>disease.</w:t>
      </w:r>
    </w:p>
    <w:p>
      <w:pPr>
        <w:pStyle w:val="BodyText"/>
        <w:spacing w:before="2"/>
      </w:pPr>
    </w:p>
    <w:p>
      <w:pPr>
        <w:pStyle w:val="Heading1"/>
        <w:ind w:left="181"/>
        <w:rPr>
          <w:rFonts w:ascii="Arial"/>
        </w:rPr>
      </w:pPr>
      <w:r>
        <w:rPr>
          <w:rFonts w:ascii="Arial"/>
        </w:rPr>
        <w:t>Patient history and diagnosis</w:t>
      </w:r>
    </w:p>
    <w:p>
      <w:pPr>
        <w:spacing w:line="242" w:lineRule="auto" w:before="5"/>
        <w:ind w:left="119" w:right="1168" w:firstLine="0"/>
        <w:jc w:val="left"/>
        <w:rPr>
          <w:sz w:val="22"/>
        </w:rPr>
      </w:pPr>
      <w:r>
        <w:rPr>
          <w:b/>
          <w:sz w:val="22"/>
        </w:rPr>
        <w:t>@name@ </w:t>
      </w:r>
      <w:r>
        <w:rPr>
          <w:sz w:val="22"/>
        </w:rPr>
        <w:t>is a </w:t>
      </w:r>
      <w:r>
        <w:rPr>
          <w:b/>
          <w:sz w:val="22"/>
        </w:rPr>
        <w:t>@gestational age@ </w:t>
      </w:r>
      <w:r>
        <w:rPr>
          <w:sz w:val="22"/>
        </w:rPr>
        <w:t>with additional risks of </w:t>
      </w:r>
      <w:r>
        <w:rPr>
          <w:b/>
          <w:sz w:val="22"/>
        </w:rPr>
        <w:t>***. </w:t>
      </w:r>
      <w:r>
        <w:rPr>
          <w:sz w:val="22"/>
        </w:rPr>
        <w:t>For these reasons </w:t>
      </w:r>
      <w:r>
        <w:rPr>
          <w:b/>
          <w:sz w:val="22"/>
        </w:rPr>
        <w:t>he/she </w:t>
      </w:r>
      <w:r>
        <w:rPr>
          <w:sz w:val="22"/>
        </w:rPr>
        <w:t>requires Synagis to reduce </w:t>
      </w:r>
      <w:r>
        <w:rPr>
          <w:b/>
          <w:sz w:val="22"/>
        </w:rPr>
        <w:t>his/her </w:t>
      </w:r>
      <w:r>
        <w:rPr>
          <w:sz w:val="22"/>
        </w:rPr>
        <w:t>risk of contracting RSV in the upcoming RSV season.</w:t>
      </w:r>
    </w:p>
    <w:p>
      <w:pPr>
        <w:pStyle w:val="BodyText"/>
        <w:spacing w:before="3"/>
      </w:pPr>
    </w:p>
    <w:p>
      <w:pPr>
        <w:pStyle w:val="Heading1"/>
        <w:spacing w:line="252" w:lineRule="exact"/>
        <w:ind w:left="119"/>
        <w:rPr>
          <w:rFonts w:ascii="Arial"/>
        </w:rPr>
      </w:pPr>
      <w:r>
        <w:rPr>
          <w:rFonts w:ascii="Arial"/>
        </w:rPr>
        <w:t>Medical necessity of therapy</w:t>
      </w:r>
    </w:p>
    <w:p>
      <w:pPr>
        <w:pStyle w:val="BodyText"/>
        <w:ind w:left="119" w:right="911"/>
      </w:pPr>
      <w:r>
        <w:rPr/>
        <w:t>Synagis is indicated for the prevention of serious lower respiratory tract infection caused by RSV in children with a history of prematurity (</w:t>
      </w:r>
      <w:r>
        <w:rPr>
          <w:rFonts w:ascii="Symbol" w:hAnsi="Symbol"/>
        </w:rPr>
        <w:t></w:t>
      </w:r>
      <w:r>
        <w:rPr/>
        <w:t>35 weeks gestational age) Chronic lung disease, such as, bronchopulmonary dysplasia (BPD), and hemodynamically significant heart disease. Synagis therapy has been shown to produce a significant reduction in the incidence of RSV-related hospitalization and ICU admissions among hospitalized infants compared with placebo recipients. Synagis injections are recommended October through April in this area of the country. One injection of 15 mg/kg, every 28 days, provides optimal coverage.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19" w:right="1669"/>
      </w:pPr>
      <w:r>
        <w:rPr/>
        <w:t>I can provide, upon request, a copy of the full prescribing information, as well as a list of studies documenting the effectiveness of Synagis in the prevention of severe RSV disease.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19"/>
      </w:pPr>
      <w:r>
        <w:rPr/>
        <w:t>Sincerely,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0"/>
        <w:ind w:right="888"/>
        <w:jc w:val="right"/>
      </w:pPr>
      <w:r>
        <w:rPr>
          <w:w w:val="95"/>
        </w:rPr>
        <w:t>40224A-284701</w:t>
      </w:r>
    </w:p>
    <w:sectPr>
      <w:type w:val="continuous"/>
      <w:pgSz w:w="12240" w:h="15840"/>
      <w:pgMar w:top="136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Book Antiqua" w:hAnsi="Book Antiqua" w:eastAsia="Book Antiqua" w:cs="Book Antiqu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