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1545600">
            <wp:simplePos x="0" y="0"/>
            <wp:positionH relativeFrom="page">
              <wp:posOffset>748649</wp:posOffset>
            </wp:positionH>
            <wp:positionV relativeFrom="page">
              <wp:posOffset>2846704</wp:posOffset>
            </wp:positionV>
            <wp:extent cx="3550940" cy="239077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550940" cy="239077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5.799999pt;margin-top:142.033295pt;width:488.05pt;height:69.6pt;mso-position-horizontal-relative:page;mso-position-vertical-relative:page;z-index:-251769856" type="#_x0000_t202" filled="false" stroked="false">
            <v:textbox inset="0,0,0,0">
              <w:txbxContent>
                <w:p>
                  <w:pPr>
                    <w:spacing w:before="7"/>
                    <w:ind w:left="3189" w:right="2940" w:firstLine="0"/>
                    <w:jc w:val="center"/>
                    <w:rPr>
                      <w:b/>
                      <w:sz w:val="30"/>
                    </w:rPr>
                  </w:pPr>
                  <w:r>
                    <w:rPr>
                      <w:b/>
                      <w:sz w:val="30"/>
                      <w:u w:val="single"/>
                    </w:rPr>
                    <w:t>Formal Table Setting Guide</w:t>
                  </w:r>
                </w:p>
                <w:p>
                  <w:pPr>
                    <w:pStyle w:val="BodyText"/>
                    <w:spacing w:line="273" w:lineRule="auto" w:before="113"/>
                    <w:ind w:right="-2"/>
                  </w:pPr>
                  <w:r>
                    <w:rPr>
                      <w:color w:val="403C36"/>
                    </w:rPr>
                    <w:t>The one rule for a formal table setting is for everything to be geometrically spaced: the centerpiece at the exact center; the place settings at equal distances; and the utensils balanced. Beyond these placements, you can vary flower arrangements and decorations as you like.</w:t>
                  </w:r>
                </w:p>
              </w:txbxContent>
            </v:textbox>
            <w10:wrap type="none"/>
          </v:shape>
        </w:pict>
      </w:r>
      <w:r>
        <w:rPr/>
        <w:pict>
          <v:shape style="position:absolute;margin-left:55.799999pt;margin-top:426.606628pt;width:497.9pt;height:184pt;mso-position-horizontal-relative:page;mso-position-vertical-relative:page;z-index:-251768832" type="#_x0000_t202" filled="false" stroked="false">
            <v:textbox inset="0,0,0,0">
              <w:txbxContent>
                <w:p>
                  <w:pPr>
                    <w:pStyle w:val="BodyText"/>
                    <w:spacing w:line="273" w:lineRule="auto"/>
                    <w:ind w:right="57"/>
                  </w:pPr>
                  <w:r>
                    <w:rPr>
                      <w:color w:val="403C36"/>
                    </w:rPr>
                    <w:t>The placement of utensils is guided by the menu, the idea being that you use utensils in an "outside in" order. For the illustrated place setting here, the order of the menu is:</w:t>
                  </w:r>
                </w:p>
                <w:p>
                  <w:pPr>
                    <w:pStyle w:val="BodyText"/>
                    <w:numPr>
                      <w:ilvl w:val="0"/>
                      <w:numId w:val="1"/>
                    </w:numPr>
                    <w:tabs>
                      <w:tab w:pos="707" w:val="left" w:leader="none"/>
                    </w:tabs>
                    <w:spacing w:line="240" w:lineRule="auto" w:before="146" w:after="0"/>
                    <w:ind w:left="706" w:right="0" w:hanging="87"/>
                    <w:jc w:val="left"/>
                  </w:pPr>
                  <w:r>
                    <w:rPr>
                      <w:color w:val="403C36"/>
                    </w:rPr>
                    <w:t>Appetizer: Shellfish</w:t>
                  </w:r>
                </w:p>
                <w:p>
                  <w:pPr>
                    <w:pStyle w:val="BodyText"/>
                    <w:numPr>
                      <w:ilvl w:val="0"/>
                      <w:numId w:val="1"/>
                    </w:numPr>
                    <w:tabs>
                      <w:tab w:pos="707" w:val="left" w:leader="none"/>
                    </w:tabs>
                    <w:spacing w:line="240" w:lineRule="auto" w:before="21" w:after="0"/>
                    <w:ind w:left="706" w:right="0" w:hanging="87"/>
                    <w:jc w:val="left"/>
                  </w:pPr>
                  <w:r>
                    <w:rPr>
                      <w:color w:val="403C36"/>
                    </w:rPr>
                    <w:t>First Course: Soup or</w:t>
                  </w:r>
                  <w:r>
                    <w:rPr>
                      <w:color w:val="403C36"/>
                      <w:spacing w:val="-1"/>
                    </w:rPr>
                    <w:t> </w:t>
                  </w:r>
                  <w:r>
                    <w:rPr>
                      <w:color w:val="403C36"/>
                    </w:rPr>
                    <w:t>fruit</w:t>
                  </w:r>
                </w:p>
                <w:p>
                  <w:pPr>
                    <w:pStyle w:val="BodyText"/>
                    <w:numPr>
                      <w:ilvl w:val="0"/>
                      <w:numId w:val="1"/>
                    </w:numPr>
                    <w:tabs>
                      <w:tab w:pos="707" w:val="left" w:leader="none"/>
                    </w:tabs>
                    <w:spacing w:line="240" w:lineRule="auto" w:before="23" w:after="0"/>
                    <w:ind w:left="706" w:right="0" w:hanging="87"/>
                    <w:jc w:val="left"/>
                  </w:pPr>
                  <w:r>
                    <w:rPr>
                      <w:color w:val="403C36"/>
                    </w:rPr>
                    <w:t>Fish</w:t>
                  </w:r>
                  <w:r>
                    <w:rPr>
                      <w:color w:val="403C36"/>
                      <w:spacing w:val="-1"/>
                    </w:rPr>
                    <w:t> </w:t>
                  </w:r>
                  <w:r>
                    <w:rPr>
                      <w:color w:val="403C36"/>
                    </w:rPr>
                    <w:t>Course</w:t>
                  </w:r>
                </w:p>
                <w:p>
                  <w:pPr>
                    <w:pStyle w:val="BodyText"/>
                    <w:numPr>
                      <w:ilvl w:val="0"/>
                      <w:numId w:val="1"/>
                    </w:numPr>
                    <w:tabs>
                      <w:tab w:pos="707" w:val="left" w:leader="none"/>
                    </w:tabs>
                    <w:spacing w:line="240" w:lineRule="auto" w:before="21" w:after="0"/>
                    <w:ind w:left="706" w:right="0" w:hanging="87"/>
                    <w:jc w:val="left"/>
                  </w:pPr>
                  <w:r>
                    <w:rPr>
                      <w:color w:val="403C36"/>
                    </w:rPr>
                    <w:t>Entree</w:t>
                  </w:r>
                </w:p>
                <w:p>
                  <w:pPr>
                    <w:pStyle w:val="BodyText"/>
                    <w:numPr>
                      <w:ilvl w:val="0"/>
                      <w:numId w:val="1"/>
                    </w:numPr>
                    <w:tabs>
                      <w:tab w:pos="707" w:val="left" w:leader="none"/>
                    </w:tabs>
                    <w:spacing w:line="240" w:lineRule="auto" w:before="23" w:after="0"/>
                    <w:ind w:left="706" w:right="0" w:hanging="87"/>
                    <w:jc w:val="left"/>
                  </w:pPr>
                  <w:r>
                    <w:rPr>
                      <w:color w:val="403C36"/>
                    </w:rPr>
                    <w:t>Salad</w:t>
                  </w:r>
                </w:p>
                <w:p>
                  <w:pPr>
                    <w:pStyle w:val="BodyText"/>
                    <w:spacing w:line="273" w:lineRule="auto" w:before="101"/>
                    <w:ind w:right="-18"/>
                  </w:pPr>
                  <w:r>
                    <w:rPr>
                      <w:color w:val="403C36"/>
                    </w:rPr>
                    <w:t>(a) Service Plate:This large plate, also called a charger, serves as an underplate for the plate holding the first course, which will be brought to the table. When the first course is cleared, the service plate remains until the plate holding the entree is served, at which point the two plates are exchanged. The charger may serve as the underplate for several courses which precede the entree.</w:t>
                  </w:r>
                </w:p>
              </w:txbxContent>
            </v:textbox>
            <w10:wrap type="none"/>
          </v:shape>
        </w:pict>
      </w:r>
      <w:r>
        <w:rPr/>
        <w:pict>
          <v:shape style="position:absolute;margin-left:55.799999pt;margin-top:622.306641pt;width:490.25pt;height:31.1pt;mso-position-horizontal-relative:page;mso-position-vertical-relative:page;z-index:-251767808" type="#_x0000_t202" filled="false" stroked="false">
            <v:textbox inset="0,0,0,0">
              <w:txbxContent>
                <w:p>
                  <w:pPr>
                    <w:pStyle w:val="BodyText"/>
                    <w:spacing w:line="276" w:lineRule="auto"/>
                    <w:ind w:right="-5"/>
                  </w:pPr>
                  <w:r>
                    <w:rPr>
                      <w:color w:val="403C36"/>
                    </w:rPr>
                    <w:t>(b) Bread and Butter Plate: The small bread and butter plate is placed above the forks at the left of the place setting.</w:t>
                  </w:r>
                </w:p>
              </w:txbxContent>
            </v:textbox>
            <w10:wrap type="none"/>
          </v:shape>
        </w:pict>
      </w:r>
      <w:r>
        <w:rPr/>
        <w:pict>
          <v:shape style="position:absolute;margin-left:55.799999pt;margin-top:665.106628pt;width:482.15pt;height:46.8pt;mso-position-horizontal-relative:page;mso-position-vertical-relative:page;z-index:-251766784" type="#_x0000_t202" filled="false" stroked="false">
            <v:textbox inset="0,0,0,0">
              <w:txbxContent>
                <w:p>
                  <w:pPr>
                    <w:pStyle w:val="BodyText"/>
                    <w:spacing w:line="273" w:lineRule="auto"/>
                    <w:ind w:right="17"/>
                    <w:jc w:val="both"/>
                  </w:pPr>
                  <w:r>
                    <w:rPr>
                      <w:color w:val="403C36"/>
                    </w:rPr>
                    <w:t>(c) Dinner Fork: The largest of the forks, also called the place fork, is placed on the left of the plate. Other smaller forks for other courses are arranged to the left or right of the dinner fork, according to when they will be used.</w:t>
                  </w:r>
                </w:p>
              </w:txbxContent>
            </v:textbox>
            <w10:wrap type="none"/>
          </v:shape>
        </w:pict>
      </w:r>
      <w:r>
        <w:rPr/>
        <w:pict>
          <v:shape style="position:absolute;margin-left:260.502594pt;margin-top:145.400024pt;width:7.65pt;height:12pt;mso-position-horizontal-relative:page;mso-position-vertical-relative:page;z-index:-25176576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500" w:bottom="280" w:left="1000" w:right="1020"/>
        </w:sectPr>
      </w:pPr>
    </w:p>
    <w:p>
      <w:pPr>
        <w:rPr>
          <w:sz w:val="2"/>
          <w:szCs w:val="2"/>
        </w:rPr>
      </w:pPr>
      <w:r>
        <w:rPr/>
        <w:pict>
          <v:shape style="position:absolute;margin-left:55.799999pt;margin-top:58.206642pt;width:499.8pt;height:31pt;mso-position-horizontal-relative:page;mso-position-vertical-relative:page;z-index:-251764736" type="#_x0000_t202" filled="false" stroked="false">
            <v:textbox inset="0,0,0,0">
              <w:txbxContent>
                <w:p>
                  <w:pPr>
                    <w:pStyle w:val="BodyText"/>
                    <w:spacing w:line="273" w:lineRule="auto"/>
                    <w:ind w:right="-2"/>
                  </w:pPr>
                  <w:r>
                    <w:rPr>
                      <w:color w:val="3F3C35"/>
                    </w:rPr>
                    <w:t>(d) Fish Fork: If there is a fish course, this small fork is placed to the left of the dinner fork because it is the first fork used.</w:t>
                  </w:r>
                </w:p>
              </w:txbxContent>
            </v:textbox>
            <w10:wrap type="none"/>
          </v:shape>
        </w:pict>
      </w:r>
      <w:r>
        <w:rPr/>
        <w:pict>
          <v:shape style="position:absolute;margin-left:55.799999pt;margin-top:100.906639pt;width:492.2pt;height:46.8pt;mso-position-horizontal-relative:page;mso-position-vertical-relative:page;z-index:-251763712" type="#_x0000_t202" filled="false" stroked="false">
            <v:textbox inset="0,0,0,0">
              <w:txbxContent>
                <w:p>
                  <w:pPr>
                    <w:pStyle w:val="BodyText"/>
                    <w:spacing w:line="273" w:lineRule="auto"/>
                    <w:ind w:right="-1"/>
                  </w:pPr>
                  <w:r>
                    <w:rPr>
                      <w:color w:val="3F3C35"/>
                    </w:rPr>
                    <w:t>(e) Salad Fork: If the salad is served after the entree, the small salad fork is placed to the right of the dinner fork, next to the plate. If the salad is to be served first, and fish second, then the forks would be arranged (left to right): salad fork, fish fork, dinner fork.</w:t>
                  </w:r>
                </w:p>
              </w:txbxContent>
            </v:textbox>
            <w10:wrap type="none"/>
          </v:shape>
        </w:pict>
      </w:r>
      <w:r>
        <w:rPr/>
        <w:pict>
          <v:shape style="position:absolute;margin-left:55.799999pt;margin-top:159.406647pt;width:388.15pt;height:15.3pt;mso-position-horizontal-relative:page;mso-position-vertical-relative:page;z-index:-251762688" type="#_x0000_t202" filled="false" stroked="false">
            <v:textbox inset="0,0,0,0">
              <w:txbxContent>
                <w:p>
                  <w:pPr>
                    <w:pStyle w:val="BodyText"/>
                  </w:pPr>
                  <w:r>
                    <w:rPr>
                      <w:color w:val="3F3C35"/>
                    </w:rPr>
                    <w:t>(f) Dinner Knife: The large dinner knife is placed to the right of the dinner plate.</w:t>
                  </w:r>
                </w:p>
              </w:txbxContent>
            </v:textbox>
            <w10:wrap type="none"/>
          </v:shape>
        </w:pict>
      </w:r>
      <w:r>
        <w:rPr/>
        <w:pict>
          <v:shape style="position:absolute;margin-left:55.799999pt;margin-top:186.406647pt;width:401pt;height:15.3pt;mso-position-horizontal-relative:page;mso-position-vertical-relative:page;z-index:-251761664" type="#_x0000_t202" filled="false" stroked="false">
            <v:textbox inset="0,0,0,0">
              <w:txbxContent>
                <w:p>
                  <w:pPr>
                    <w:pStyle w:val="BodyText"/>
                  </w:pPr>
                  <w:r>
                    <w:rPr>
                      <w:color w:val="3F3C35"/>
                    </w:rPr>
                    <w:t>(g) Fish Knife: The specially shaped fish knife goes to the right of the dinner knife.</w:t>
                  </w:r>
                </w:p>
              </w:txbxContent>
            </v:textbox>
            <w10:wrap type="none"/>
          </v:shape>
        </w:pict>
      </w:r>
      <w:r>
        <w:rPr/>
        <w:pict>
          <v:shape style="position:absolute;margin-left:55.799999pt;margin-top:213.406647pt;width:493.75pt;height:62.6pt;mso-position-horizontal-relative:page;mso-position-vertical-relative:page;z-index:-251760640" type="#_x0000_t202" filled="false" stroked="false">
            <v:textbox inset="0,0,0,0">
              <w:txbxContent>
                <w:p>
                  <w:pPr>
                    <w:pStyle w:val="BodyText"/>
                    <w:spacing w:line="273" w:lineRule="auto"/>
                    <w:ind w:right="-3"/>
                  </w:pPr>
                  <w:r>
                    <w:rPr>
                      <w:color w:val="3F3C35"/>
                    </w:rPr>
                    <w:t>(h) Salad Knife (Note: there is no salad knife in the illustration): If used, according to the above menu, it would be placed to the left of the dinner knife, next to the dinner plate. If the salad is to be served first, and fish second, then the knives would be arranged (left to right): dinner knife, fish knife, salad knife.</w:t>
                  </w:r>
                </w:p>
              </w:txbxContent>
            </v:textbox>
            <w10:wrap type="none"/>
          </v:shape>
        </w:pict>
      </w:r>
      <w:r>
        <w:rPr/>
        <w:pict>
          <v:shape style="position:absolute;margin-left:55.799999pt;margin-top:287.706635pt;width:496.5pt;height:31pt;mso-position-horizontal-relative:page;mso-position-vertical-relative:page;z-index:-251759616" type="#_x0000_t202" filled="false" stroked="false">
            <v:textbox inset="0,0,0,0">
              <w:txbxContent>
                <w:p>
                  <w:pPr>
                    <w:pStyle w:val="BodyText"/>
                    <w:spacing w:line="273" w:lineRule="auto"/>
                    <w:ind w:right="-2"/>
                  </w:pPr>
                  <w:r>
                    <w:rPr>
                      <w:color w:val="3F3C35"/>
                    </w:rPr>
                    <w:t>(i) Soup Spoon or Fruit Spoon: If soup or fruit is served as a first course, then the accompanying spoon goes to the right of the knives.</w:t>
                  </w:r>
                </w:p>
              </w:txbxContent>
            </v:textbox>
            <w10:wrap type="none"/>
          </v:shape>
        </w:pict>
      </w:r>
      <w:r>
        <w:rPr/>
        <w:pict>
          <v:shape style="position:absolute;margin-left:55.799999pt;margin-top:330.406647pt;width:488.25pt;height:31.1pt;mso-position-horizontal-relative:page;mso-position-vertical-relative:page;z-index:-251758592" type="#_x0000_t202" filled="false" stroked="false">
            <v:textbox inset="0,0,0,0">
              <w:txbxContent>
                <w:p>
                  <w:pPr>
                    <w:pStyle w:val="BodyText"/>
                    <w:spacing w:line="276" w:lineRule="auto"/>
                  </w:pPr>
                  <w:r>
                    <w:rPr>
                      <w:color w:val="3F3C35"/>
                    </w:rPr>
                    <w:t>(j) Oyster Fork: If shellfish are to be served, the oyster fork goes to the right of the spoons. Note: It is the only fork ever placed on the right of the plate.</w:t>
                  </w:r>
                </w:p>
              </w:txbxContent>
            </v:textbox>
            <w10:wrap type="none"/>
          </v:shape>
        </w:pict>
      </w:r>
      <w:r>
        <w:rPr/>
        <w:pict>
          <v:shape style="position:absolute;margin-left:55.799999pt;margin-top:373.206635pt;width:490.5pt;height:31pt;mso-position-horizontal-relative:page;mso-position-vertical-relative:page;z-index:-251757568" type="#_x0000_t202" filled="false" stroked="false">
            <v:textbox inset="0,0,0,0">
              <w:txbxContent>
                <w:p>
                  <w:pPr>
                    <w:pStyle w:val="BodyText"/>
                    <w:spacing w:line="273" w:lineRule="auto"/>
                    <w:ind w:right="-1"/>
                  </w:pPr>
                  <w:r>
                    <w:rPr>
                      <w:color w:val="3F3C35"/>
                    </w:rPr>
                    <w:t>(k) Butter Knife:The small spreader is placed diagonally on top of the butter plate, handle on the right and blade down.</w:t>
                  </w:r>
                </w:p>
              </w:txbxContent>
            </v:textbox>
            <w10:wrap type="none"/>
          </v:shape>
        </w:pict>
      </w:r>
      <w:r>
        <w:rPr/>
        <w:pict>
          <v:shape style="position:absolute;margin-left:55.799999pt;margin-top:415.906647pt;width:495.5pt;height:62.6pt;mso-position-horizontal-relative:page;mso-position-vertical-relative:page;z-index:-251756544" type="#_x0000_t202" filled="false" stroked="false">
            <v:textbox inset="0,0,0,0">
              <w:txbxContent>
                <w:p>
                  <w:pPr>
                    <w:pStyle w:val="BodyText"/>
                    <w:spacing w:line="273" w:lineRule="auto"/>
                  </w:pPr>
                  <w:r>
                    <w:rPr>
                      <w:color w:val="3F3C35"/>
                    </w:rPr>
                    <w:t>(l) Glasses:These can number up to five and are placed so that the smaller ones are up front. The water goblet (la) is placed directly above the knives. Just to the right are placed a red (lc) or white (ld) wine glass.</w:t>
                  </w:r>
                  <w:r>
                    <w:rPr>
                      <w:color w:val="3F3C35"/>
                      <w:spacing w:val="-14"/>
                    </w:rPr>
                    <w:t> </w:t>
                  </w:r>
                  <w:r>
                    <w:rPr>
                      <w:color w:val="3F3C35"/>
                    </w:rPr>
                    <w:t>A</w:t>
                  </w:r>
                  <w:r>
                    <w:rPr>
                      <w:color w:val="3F3C35"/>
                      <w:spacing w:val="-14"/>
                    </w:rPr>
                    <w:t> </w:t>
                  </w:r>
                  <w:r>
                    <w:rPr>
                      <w:color w:val="3F3C35"/>
                    </w:rPr>
                    <w:t>sherry</w:t>
                  </w:r>
                  <w:r>
                    <w:rPr>
                      <w:color w:val="3F3C35"/>
                      <w:spacing w:val="-4"/>
                    </w:rPr>
                    <w:t> </w:t>
                  </w:r>
                  <w:r>
                    <w:rPr>
                      <w:color w:val="3F3C35"/>
                    </w:rPr>
                    <w:t>glass,</w:t>
                  </w:r>
                  <w:r>
                    <w:rPr>
                      <w:color w:val="3F3C35"/>
                      <w:spacing w:val="-1"/>
                    </w:rPr>
                    <w:t> </w:t>
                  </w:r>
                  <w:r>
                    <w:rPr>
                      <w:color w:val="3F3C35"/>
                    </w:rPr>
                    <w:t>or</w:t>
                  </w:r>
                  <w:r>
                    <w:rPr>
                      <w:color w:val="3F3C35"/>
                      <w:spacing w:val="-1"/>
                    </w:rPr>
                    <w:t> </w:t>
                  </w:r>
                  <w:r>
                    <w:rPr>
                      <w:color w:val="3F3C35"/>
                    </w:rPr>
                    <w:t>champagne</w:t>
                  </w:r>
                  <w:r>
                    <w:rPr>
                      <w:color w:val="3F3C35"/>
                      <w:spacing w:val="-1"/>
                    </w:rPr>
                    <w:t> </w:t>
                  </w:r>
                  <w:r>
                    <w:rPr>
                      <w:color w:val="3F3C35"/>
                    </w:rPr>
                    <w:t>flute, to</w:t>
                  </w:r>
                  <w:r>
                    <w:rPr>
                      <w:color w:val="3F3C35"/>
                      <w:spacing w:val="-1"/>
                    </w:rPr>
                    <w:t> </w:t>
                  </w:r>
                  <w:r>
                    <w:rPr>
                      <w:color w:val="3F3C35"/>
                    </w:rPr>
                    <w:t>accompany</w:t>
                  </w:r>
                  <w:r>
                    <w:rPr>
                      <w:color w:val="3F3C35"/>
                      <w:spacing w:val="-3"/>
                    </w:rPr>
                    <w:t> </w:t>
                  </w:r>
                  <w:r>
                    <w:rPr>
                      <w:color w:val="3F3C35"/>
                    </w:rPr>
                    <w:t>a</w:t>
                  </w:r>
                  <w:r>
                    <w:rPr>
                      <w:color w:val="3F3C35"/>
                      <w:spacing w:val="-1"/>
                    </w:rPr>
                    <w:t> </w:t>
                  </w:r>
                  <w:r>
                    <w:rPr>
                      <w:color w:val="3F3C35"/>
                    </w:rPr>
                    <w:t>first</w:t>
                  </w:r>
                  <w:r>
                    <w:rPr>
                      <w:color w:val="3F3C35"/>
                      <w:spacing w:val="-2"/>
                    </w:rPr>
                    <w:t> </w:t>
                  </w:r>
                  <w:r>
                    <w:rPr>
                      <w:color w:val="3F3C35"/>
                    </w:rPr>
                    <w:t>course</w:t>
                  </w:r>
                  <w:r>
                    <w:rPr>
                      <w:color w:val="3F3C35"/>
                      <w:spacing w:val="-2"/>
                    </w:rPr>
                    <w:t> </w:t>
                  </w:r>
                  <w:r>
                    <w:rPr>
                      <w:color w:val="3F3C35"/>
                    </w:rPr>
                    <w:t>or</w:t>
                  </w:r>
                  <w:r>
                    <w:rPr>
                      <w:color w:val="3F3C35"/>
                      <w:spacing w:val="-1"/>
                    </w:rPr>
                    <w:t> </w:t>
                  </w:r>
                  <w:r>
                    <w:rPr>
                      <w:color w:val="3F3C35"/>
                    </w:rPr>
                    <w:t>for</w:t>
                  </w:r>
                  <w:r>
                    <w:rPr>
                      <w:color w:val="3F3C35"/>
                      <w:spacing w:val="-2"/>
                    </w:rPr>
                    <w:t> </w:t>
                  </w:r>
                  <w:r>
                    <w:rPr>
                      <w:color w:val="3F3C35"/>
                    </w:rPr>
                    <w:t>an</w:t>
                  </w:r>
                  <w:r>
                    <w:rPr>
                      <w:color w:val="3F3C35"/>
                      <w:spacing w:val="-1"/>
                    </w:rPr>
                    <w:t> </w:t>
                  </w:r>
                  <w:r>
                    <w:rPr>
                      <w:color w:val="3F3C35"/>
                    </w:rPr>
                    <w:t>opening</w:t>
                  </w:r>
                  <w:r>
                    <w:rPr>
                      <w:color w:val="3F3C35"/>
                      <w:spacing w:val="-1"/>
                    </w:rPr>
                    <w:t> </w:t>
                  </w:r>
                  <w:r>
                    <w:rPr>
                      <w:color w:val="3F3C35"/>
                    </w:rPr>
                    <w:t>toast, go</w:t>
                  </w:r>
                  <w:r>
                    <w:rPr>
                      <w:color w:val="3F3C35"/>
                      <w:spacing w:val="-2"/>
                    </w:rPr>
                    <w:t> </w:t>
                  </w:r>
                  <w:r>
                    <w:rPr>
                      <w:color w:val="3F3C35"/>
                    </w:rPr>
                    <w:t>to</w:t>
                  </w:r>
                  <w:r>
                    <w:rPr>
                      <w:color w:val="3F3C35"/>
                      <w:spacing w:val="-1"/>
                    </w:rPr>
                    <w:t> </w:t>
                  </w:r>
                  <w:r>
                    <w:rPr>
                      <w:color w:val="3F3C35"/>
                    </w:rPr>
                    <w:t>the right of the wine glasses (le).</w:t>
                  </w:r>
                </w:p>
              </w:txbxContent>
            </v:textbox>
            <w10:wrap type="none"/>
          </v:shape>
        </w:pict>
      </w:r>
      <w:r>
        <w:rPr/>
        <w:pict>
          <v:shape style="position:absolute;margin-left:55.799999pt;margin-top:490.206635pt;width:485pt;height:31pt;mso-position-horizontal-relative:page;mso-position-vertical-relative:page;z-index:-251755520" type="#_x0000_t202" filled="false" stroked="false">
            <v:textbox inset="0,0,0,0">
              <w:txbxContent>
                <w:p>
                  <w:pPr>
                    <w:pStyle w:val="BodyText"/>
                    <w:spacing w:line="273" w:lineRule="auto"/>
                    <w:ind w:right="-4"/>
                  </w:pPr>
                  <w:r>
                    <w:rPr>
                      <w:color w:val="3F3C35"/>
                    </w:rPr>
                    <w:t>(m) Napkin:The napkin is placed on top of the charger (if one is used) or in the space for the plate. It can also go to the left of the forks, or under the forks if space is tight.</w:t>
                  </w:r>
                </w:p>
              </w:txbxContent>
            </v:textbox>
            <w10:wrap type="none"/>
          </v:shape>
        </w:pict>
      </w:r>
      <w:r>
        <w:rPr/>
        <w:pict>
          <v:shape style="position:absolute;margin-left:55.799999pt;margin-top:548.706665pt;width:499.9pt;height:114.65pt;mso-position-horizontal-relative:page;mso-position-vertical-relative:page;z-index:-251754496" type="#_x0000_t202" filled="false" stroked="false">
            <v:textbox inset="0,0,0,0">
              <w:txbxContent>
                <w:p>
                  <w:pPr>
                    <w:spacing w:before="10"/>
                    <w:ind w:left="20" w:right="0" w:firstLine="0"/>
                    <w:jc w:val="left"/>
                    <w:rPr>
                      <w:b/>
                      <w:sz w:val="24"/>
                    </w:rPr>
                  </w:pPr>
                  <w:bookmarkStart w:name="In General:" w:id="1"/>
                  <w:bookmarkEnd w:id="1"/>
                  <w:r>
                    <w:rPr/>
                  </w:r>
                  <w:r>
                    <w:rPr>
                      <w:b/>
                      <w:color w:val="3F3C35"/>
                      <w:sz w:val="24"/>
                    </w:rPr>
                    <w:t>In General:</w:t>
                  </w:r>
                </w:p>
                <w:p>
                  <w:pPr>
                    <w:pStyle w:val="BodyText"/>
                    <w:numPr>
                      <w:ilvl w:val="0"/>
                      <w:numId w:val="2"/>
                    </w:numPr>
                    <w:tabs>
                      <w:tab w:pos="707" w:val="left" w:leader="none"/>
                    </w:tabs>
                    <w:spacing w:line="240" w:lineRule="auto" w:before="109" w:after="0"/>
                    <w:ind w:left="706" w:right="0" w:hanging="87"/>
                    <w:jc w:val="left"/>
                  </w:pPr>
                  <w:r>
                    <w:rPr>
                      <w:color w:val="3F3C35"/>
                    </w:rPr>
                    <w:t>Knife blades are always placed with the cutting edge toward the plate.</w:t>
                  </w:r>
                </w:p>
                <w:p>
                  <w:pPr>
                    <w:pStyle w:val="BodyText"/>
                    <w:numPr>
                      <w:ilvl w:val="0"/>
                      <w:numId w:val="2"/>
                    </w:numPr>
                    <w:tabs>
                      <w:tab w:pos="707" w:val="left" w:leader="none"/>
                    </w:tabs>
                    <w:spacing w:line="271" w:lineRule="auto" w:before="21" w:after="0"/>
                    <w:ind w:left="620" w:right="17" w:firstLine="0"/>
                    <w:jc w:val="left"/>
                  </w:pPr>
                  <w:r>
                    <w:rPr>
                      <w:color w:val="3F3C35"/>
                    </w:rPr>
                    <w:t>No more than three of any implement are ever placed on the table, except when an oyster fork is used in addition to three other forks. If more than three courses are served before dessert, then the utensil for the fourth course is brought in with the food; likewise the salad fork and knife may be brought in when the salad course is</w:t>
                  </w:r>
                  <w:r>
                    <w:rPr>
                      <w:color w:val="3F3C35"/>
                      <w:spacing w:val="-1"/>
                    </w:rPr>
                    <w:t> </w:t>
                  </w:r>
                  <w:r>
                    <w:rPr>
                      <w:color w:val="3F3C35"/>
                    </w:rPr>
                    <w:t>served.</w:t>
                  </w:r>
                </w:p>
                <w:p>
                  <w:pPr>
                    <w:pStyle w:val="BodyText"/>
                    <w:numPr>
                      <w:ilvl w:val="0"/>
                      <w:numId w:val="2"/>
                    </w:numPr>
                    <w:tabs>
                      <w:tab w:pos="707" w:val="left" w:leader="none"/>
                    </w:tabs>
                    <w:spacing w:line="286" w:lineRule="exact" w:before="0" w:after="0"/>
                    <w:ind w:left="706" w:right="0" w:hanging="87"/>
                    <w:jc w:val="left"/>
                  </w:pPr>
                  <w:r>
                    <w:rPr>
                      <w:color w:val="3F3C35"/>
                    </w:rPr>
                    <w:t>Dessert spoons and forks are brought in on the dessert plate just before dessert is</w:t>
                  </w:r>
                  <w:r>
                    <w:rPr>
                      <w:color w:val="3F3C35"/>
                      <w:spacing w:val="-14"/>
                    </w:rPr>
                    <w:t> </w:t>
                  </w:r>
                  <w:r>
                    <w:rPr>
                      <w:color w:val="3F3C35"/>
                    </w:rPr>
                    <w:t>served.</w:t>
                  </w:r>
                </w:p>
              </w:txbxContent>
            </v:textbox>
            <w10:wrap type="none"/>
          </v:shape>
        </w:pict>
      </w:r>
      <w:r>
        <w:rPr/>
        <w:pict>
          <v:shape style="position:absolute;margin-left:55.799999pt;margin-top:676.506653pt;width:205.85pt;height:15.3pt;mso-position-horizontal-relative:page;mso-position-vertical-relative:page;z-index:-251753472" type="#_x0000_t202" filled="false" stroked="false">
            <v:textbox inset="0,0,0,0">
              <w:txbxContent>
                <w:p>
                  <w:pPr>
                    <w:pStyle w:val="BodyText"/>
                  </w:pPr>
                  <w:r>
                    <w:rPr/>
                    <w:t>The above is from the Emily Post website.</w:t>
                  </w:r>
                </w:p>
              </w:txbxContent>
            </v:textbox>
            <w10:wrap type="none"/>
          </v:shape>
        </w:pict>
      </w:r>
    </w:p>
    <w:sectPr>
      <w:pgSz w:w="12240" w:h="15840"/>
      <w:pgMar w:top="1160" w:bottom="280" w:left="10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20" w:hanging="87"/>
      </w:pPr>
      <w:rPr>
        <w:rFonts w:hint="default" w:ascii="Calibri" w:hAnsi="Calibri" w:eastAsia="Calibri" w:cs="Calibri"/>
        <w:color w:val="3F3C35"/>
        <w:w w:val="71"/>
        <w:sz w:val="22"/>
        <w:szCs w:val="22"/>
        <w:lang w:val="en-us" w:eastAsia="en-us" w:bidi="en-us"/>
      </w:rPr>
    </w:lvl>
    <w:lvl w:ilvl="1">
      <w:start w:val="0"/>
      <w:numFmt w:val="bullet"/>
      <w:lvlText w:val="•"/>
      <w:lvlJc w:val="left"/>
      <w:pPr>
        <w:ind w:left="1557" w:hanging="87"/>
      </w:pPr>
      <w:rPr>
        <w:rFonts w:hint="default"/>
        <w:lang w:val="en-us" w:eastAsia="en-us" w:bidi="en-us"/>
      </w:rPr>
    </w:lvl>
    <w:lvl w:ilvl="2">
      <w:start w:val="0"/>
      <w:numFmt w:val="bullet"/>
      <w:lvlText w:val="•"/>
      <w:lvlJc w:val="left"/>
      <w:pPr>
        <w:ind w:left="2495" w:hanging="87"/>
      </w:pPr>
      <w:rPr>
        <w:rFonts w:hint="default"/>
        <w:lang w:val="en-us" w:eastAsia="en-us" w:bidi="en-us"/>
      </w:rPr>
    </w:lvl>
    <w:lvl w:ilvl="3">
      <w:start w:val="0"/>
      <w:numFmt w:val="bullet"/>
      <w:lvlText w:val="•"/>
      <w:lvlJc w:val="left"/>
      <w:pPr>
        <w:ind w:left="3433" w:hanging="87"/>
      </w:pPr>
      <w:rPr>
        <w:rFonts w:hint="default"/>
        <w:lang w:val="en-us" w:eastAsia="en-us" w:bidi="en-us"/>
      </w:rPr>
    </w:lvl>
    <w:lvl w:ilvl="4">
      <w:start w:val="0"/>
      <w:numFmt w:val="bullet"/>
      <w:lvlText w:val="•"/>
      <w:lvlJc w:val="left"/>
      <w:pPr>
        <w:ind w:left="4371" w:hanging="87"/>
      </w:pPr>
      <w:rPr>
        <w:rFonts w:hint="default"/>
        <w:lang w:val="en-us" w:eastAsia="en-us" w:bidi="en-us"/>
      </w:rPr>
    </w:lvl>
    <w:lvl w:ilvl="5">
      <w:start w:val="0"/>
      <w:numFmt w:val="bullet"/>
      <w:lvlText w:val="•"/>
      <w:lvlJc w:val="left"/>
      <w:pPr>
        <w:ind w:left="5309" w:hanging="87"/>
      </w:pPr>
      <w:rPr>
        <w:rFonts w:hint="default"/>
        <w:lang w:val="en-us" w:eastAsia="en-us" w:bidi="en-us"/>
      </w:rPr>
    </w:lvl>
    <w:lvl w:ilvl="6">
      <w:start w:val="0"/>
      <w:numFmt w:val="bullet"/>
      <w:lvlText w:val="•"/>
      <w:lvlJc w:val="left"/>
      <w:pPr>
        <w:ind w:left="6246" w:hanging="87"/>
      </w:pPr>
      <w:rPr>
        <w:rFonts w:hint="default"/>
        <w:lang w:val="en-us" w:eastAsia="en-us" w:bidi="en-us"/>
      </w:rPr>
    </w:lvl>
    <w:lvl w:ilvl="7">
      <w:start w:val="0"/>
      <w:numFmt w:val="bullet"/>
      <w:lvlText w:val="•"/>
      <w:lvlJc w:val="left"/>
      <w:pPr>
        <w:ind w:left="7184" w:hanging="87"/>
      </w:pPr>
      <w:rPr>
        <w:rFonts w:hint="default"/>
        <w:lang w:val="en-us" w:eastAsia="en-us" w:bidi="en-us"/>
      </w:rPr>
    </w:lvl>
    <w:lvl w:ilvl="8">
      <w:start w:val="0"/>
      <w:numFmt w:val="bullet"/>
      <w:lvlText w:val="•"/>
      <w:lvlJc w:val="left"/>
      <w:pPr>
        <w:ind w:left="8122" w:hanging="87"/>
      </w:pPr>
      <w:rPr>
        <w:rFonts w:hint="default"/>
        <w:lang w:val="en-us" w:eastAsia="en-us" w:bidi="en-us"/>
      </w:rPr>
    </w:lvl>
  </w:abstractNum>
  <w:abstractNum w:abstractNumId="0">
    <w:multiLevelType w:val="hybridMultilevel"/>
    <w:lvl w:ilvl="0">
      <w:start w:val="0"/>
      <w:numFmt w:val="bullet"/>
      <w:lvlText w:val="•"/>
      <w:lvlJc w:val="left"/>
      <w:pPr>
        <w:ind w:left="706" w:hanging="87"/>
      </w:pPr>
      <w:rPr>
        <w:rFonts w:hint="default" w:ascii="Calibri" w:hAnsi="Calibri" w:eastAsia="Calibri" w:cs="Calibri"/>
        <w:color w:val="403C36"/>
        <w:w w:val="71"/>
        <w:sz w:val="22"/>
        <w:szCs w:val="22"/>
        <w:lang w:val="en-us" w:eastAsia="en-us" w:bidi="en-us"/>
      </w:rPr>
    </w:lvl>
    <w:lvl w:ilvl="1">
      <w:start w:val="0"/>
      <w:numFmt w:val="bullet"/>
      <w:lvlText w:val="•"/>
      <w:lvlJc w:val="left"/>
      <w:pPr>
        <w:ind w:left="1625" w:hanging="87"/>
      </w:pPr>
      <w:rPr>
        <w:rFonts w:hint="default"/>
        <w:lang w:val="en-us" w:eastAsia="en-us" w:bidi="en-us"/>
      </w:rPr>
    </w:lvl>
    <w:lvl w:ilvl="2">
      <w:start w:val="0"/>
      <w:numFmt w:val="bullet"/>
      <w:lvlText w:val="•"/>
      <w:lvlJc w:val="left"/>
      <w:pPr>
        <w:ind w:left="2551" w:hanging="87"/>
      </w:pPr>
      <w:rPr>
        <w:rFonts w:hint="default"/>
        <w:lang w:val="en-us" w:eastAsia="en-us" w:bidi="en-us"/>
      </w:rPr>
    </w:lvl>
    <w:lvl w:ilvl="3">
      <w:start w:val="0"/>
      <w:numFmt w:val="bullet"/>
      <w:lvlText w:val="•"/>
      <w:lvlJc w:val="left"/>
      <w:pPr>
        <w:ind w:left="3477" w:hanging="87"/>
      </w:pPr>
      <w:rPr>
        <w:rFonts w:hint="default"/>
        <w:lang w:val="en-us" w:eastAsia="en-us" w:bidi="en-us"/>
      </w:rPr>
    </w:lvl>
    <w:lvl w:ilvl="4">
      <w:start w:val="0"/>
      <w:numFmt w:val="bullet"/>
      <w:lvlText w:val="•"/>
      <w:lvlJc w:val="left"/>
      <w:pPr>
        <w:ind w:left="4403" w:hanging="87"/>
      </w:pPr>
      <w:rPr>
        <w:rFonts w:hint="default"/>
        <w:lang w:val="en-us" w:eastAsia="en-us" w:bidi="en-us"/>
      </w:rPr>
    </w:lvl>
    <w:lvl w:ilvl="5">
      <w:start w:val="0"/>
      <w:numFmt w:val="bullet"/>
      <w:lvlText w:val="•"/>
      <w:lvlJc w:val="left"/>
      <w:pPr>
        <w:ind w:left="5329" w:hanging="87"/>
      </w:pPr>
      <w:rPr>
        <w:rFonts w:hint="default"/>
        <w:lang w:val="en-us" w:eastAsia="en-us" w:bidi="en-us"/>
      </w:rPr>
    </w:lvl>
    <w:lvl w:ilvl="6">
      <w:start w:val="0"/>
      <w:numFmt w:val="bullet"/>
      <w:lvlText w:val="•"/>
      <w:lvlJc w:val="left"/>
      <w:pPr>
        <w:ind w:left="6254" w:hanging="87"/>
      </w:pPr>
      <w:rPr>
        <w:rFonts w:hint="default"/>
        <w:lang w:val="en-us" w:eastAsia="en-us" w:bidi="en-us"/>
      </w:rPr>
    </w:lvl>
    <w:lvl w:ilvl="7">
      <w:start w:val="0"/>
      <w:numFmt w:val="bullet"/>
      <w:lvlText w:val="•"/>
      <w:lvlJc w:val="left"/>
      <w:pPr>
        <w:ind w:left="7180" w:hanging="87"/>
      </w:pPr>
      <w:rPr>
        <w:rFonts w:hint="default"/>
        <w:lang w:val="en-us" w:eastAsia="en-us" w:bidi="en-us"/>
      </w:rPr>
    </w:lvl>
    <w:lvl w:ilvl="8">
      <w:start w:val="0"/>
      <w:numFmt w:val="bullet"/>
      <w:lvlText w:val="•"/>
      <w:lvlJc w:val="left"/>
      <w:pPr>
        <w:ind w:left="8106" w:hanging="87"/>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