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392" from="36pt,102.511978pt" to="164.000006pt,102.511978pt" stroked="true" strokeweight=".6pt" strokecolor="#221e1f">
            <v:stroke dashstyle="solid"/>
            <w10:wrap type="none"/>
          </v:line>
        </w:pict>
      </w:r>
      <w:r>
        <w:rPr/>
        <w:pict>
          <v:rect style="position:absolute;margin-left:72.25pt;margin-top:223.330002pt;width:8.52pt;height:8.52pt;mso-position-horizontal-relative:page;mso-position-vertical-relative:page;z-index:-536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25.579002pt;margin-top:223.330002pt;width:8.52pt;height:8.52pt;mso-position-horizontal-relative:page;mso-position-vertical-relative:page;z-index:-5344" filled="false" stroked="true" strokeweight=".5pt" strokecolor="#231f2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5320" from="36pt,417.665009pt" to="561.000025pt,417.665009pt" stroked="true" strokeweight=".75pt" strokecolor="#221e1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341599pt;margin-top:32.521999pt;width:217.3pt;height:18.25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Lucida Sans"/>
                      <w:b/>
                      <w:sz w:val="28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28"/>
                    </w:rPr>
                    <w:t>BILL OF SALE/LETTER OF 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3.556pt;width:18.150pt;height:11.4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w w:val="95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8.830002pt;width:522.15pt;height:13.6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tabs>
                      <w:tab w:pos="10102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I,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> </w:t>
                    <w:tab/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,</w:t>
                  </w:r>
                  <w:r>
                    <w:rPr>
                      <w:rFonts w:ascii="Lucida Sans"/>
                      <w:b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4"/>
                      <w:sz w:val="20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779297pt;margin-top:142.556pt;width:52.8pt;height:11.4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First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03296pt;margin-top:142.556pt;width:61.15pt;height:11.4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Middle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03296pt;margin-top:142.556pt;width:52.5pt;height:11.4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Last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1.830002pt;width:522.1pt;height:13.6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tabs>
                      <w:tab w:pos="931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91"/>
                      <w:sz w:val="20"/>
                      <w:u w:val="single" w:color="221E1F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ab/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20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do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w w:val="95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4"/>
                      <w:w w:val="95"/>
                      <w:sz w:val="20"/>
                    </w:rPr>
                    <w:t>hereby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5.556pt;width:67.5pt;height:11.45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Street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00793pt;margin-top:185.556pt;width:15.6pt;height:11.45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pt;margin-top:185.556pt;width:31.5pt;height:11.45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w w:val="95"/>
                    </w:rPr>
                    <w:t>Province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000793pt;margin-top:185.556pt;width:44.45pt;height:11.45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Postal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39999pt;margin-top:221.830002pt;width:21.35pt;height:13.6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105"/>
                      <w:sz w:val="20"/>
                    </w:rPr>
                    <w:t>Sell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669006pt;margin-top:221.830002pt;width:20.3pt;height:13.6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1.613007pt;width:488.75pt;height:96.4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spacing w:line="249" w:lineRule="auto" w:before="21"/>
                    <w:ind w:left="20" w:right="17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Vehicles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provided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gifts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between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qualifying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family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members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are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not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subject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to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Provincial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Sales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pacing w:val="-7"/>
                      <w:sz w:val="18"/>
                    </w:rPr>
                    <w:t>Tax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(PST)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if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Saskatchewan PST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has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been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paid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in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full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at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least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once.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If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they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are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not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tax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paid,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then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tax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applies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on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Redbook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value.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pacing w:val="-3"/>
                      <w:sz w:val="18"/>
                    </w:rPr>
                    <w:t>Taxable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vehicles</w:t>
                  </w:r>
                  <w:r>
                    <w:rPr>
                      <w:color w:val="231F20"/>
                      <w:spacing w:val="-2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qualify for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gift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exemption</w:t>
                  </w:r>
                  <w:r>
                    <w:rPr>
                      <w:color w:val="231F20"/>
                      <w:spacing w:val="-1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providing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pacing w:val="-4"/>
                      <w:sz w:val="18"/>
                    </w:rPr>
                    <w:t>it’s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between</w:t>
                  </w:r>
                  <w:r>
                    <w:rPr>
                      <w:color w:val="231F20"/>
                      <w:spacing w:val="-1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first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degree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relatives</w:t>
                  </w:r>
                  <w:r>
                    <w:rPr>
                      <w:color w:val="231F20"/>
                      <w:spacing w:val="-1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and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donor</w:t>
                  </w:r>
                  <w:r>
                    <w:rPr>
                      <w:color w:val="231F20"/>
                      <w:spacing w:val="-1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previously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had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1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vehicle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registered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for</w:t>
                  </w:r>
                  <w:r>
                    <w:rPr>
                      <w:color w:val="231F20"/>
                      <w:spacing w:val="-1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at</w:t>
                  </w:r>
                  <w:r>
                    <w:rPr>
                      <w:color w:val="231F20"/>
                      <w:spacing w:val="-1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least 30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days.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Qualifying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family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members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include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spouse,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common-law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spouse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or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same-sex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partners*,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parent,</w:t>
                  </w:r>
                  <w:r>
                    <w:rPr>
                      <w:color w:val="231F20"/>
                      <w:spacing w:val="-21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step-parent,</w:t>
                  </w:r>
                  <w:r>
                    <w:rPr>
                      <w:color w:val="231F20"/>
                      <w:spacing w:val="-22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child, </w:t>
                  </w:r>
                  <w:r>
                    <w:rPr>
                      <w:color w:val="231F20"/>
                      <w:w w:val="95"/>
                      <w:sz w:val="18"/>
                    </w:rPr>
                    <w:t>step-child, brother, sister, step-brother/sister, grandparent, step-grandparent, legal gaurdian, foster parent, father/mother-in-law, </w:t>
                  </w:r>
                  <w:r>
                    <w:rPr>
                      <w:color w:val="231F20"/>
                      <w:sz w:val="18"/>
                    </w:rPr>
                    <w:t>son/daughter-in-law.</w:t>
                  </w:r>
                </w:p>
                <w:p>
                  <w:pPr>
                    <w:spacing w:line="278" w:lineRule="auto" w:before="144"/>
                    <w:ind w:left="82" w:right="168" w:hanging="63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pacing w:val="-7"/>
                      <w:sz w:val="18"/>
                    </w:rPr>
                    <w:t>*To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qualify,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common-law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spouses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or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same-sex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partners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must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have</w:t>
                  </w:r>
                  <w:r>
                    <w:rPr>
                      <w:color w:val="231F20"/>
                      <w:spacing w:val="-2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lived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(cohabited)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for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preceding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two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years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as</w:t>
                  </w:r>
                  <w:r>
                    <w:rPr>
                      <w:color w:val="231F20"/>
                      <w:spacing w:val="-2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partners</w:t>
                  </w:r>
                  <w:r>
                    <w:rPr>
                      <w:color w:val="231F20"/>
                      <w:spacing w:val="-2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in common</w:t>
                  </w:r>
                  <w:r>
                    <w:rPr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law,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or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cohabited</w:t>
                  </w:r>
                  <w:r>
                    <w:rPr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for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at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least</w:t>
                  </w:r>
                  <w:r>
                    <w:rPr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one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year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as</w:t>
                  </w:r>
                  <w:r>
                    <w:rPr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parents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</w:t>
                  </w:r>
                  <w:r>
                    <w:rPr>
                      <w:color w:val="231F20"/>
                      <w:spacing w:val="-4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</w:t>
                  </w:r>
                  <w:r>
                    <w:rPr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child.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2.630005pt;width:524.65pt;height:13.6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tabs>
                      <w:tab w:pos="10473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the following</w:t>
                  </w:r>
                  <w:r>
                    <w:rPr>
                      <w:rFonts w:ascii="Lucida Sans"/>
                      <w:b/>
                      <w:color w:val="231F20"/>
                      <w:spacing w:val="-42"/>
                      <w:w w:val="95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vehicle</w:t>
                  </w:r>
                  <w:r>
                    <w:rPr>
                      <w:rFonts w:ascii="Lucida Sans"/>
                      <w:b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91"/>
                      <w:sz w:val="20"/>
                      <w:u w:val="single" w:color="221E1F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376.355988pt;width:16.650pt;height:11.45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spacing w:val="-5"/>
                      <w:w w:val="95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376.355988pt;width:20.3pt;height:11.45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w w:val="95"/>
                    </w:rPr>
                    <w:t>Make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pt;margin-top:376.355988pt;width:23.15pt;height:11.45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Model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419.355988pt;width:177.3pt;height:11.4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  <w:w w:val="95"/>
                    </w:rPr>
                    <w:t>Vehicle Identification Number (VIN)/(Serial Number)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48.470001pt;width:529.050pt;height:13.8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tabs>
                      <w:tab w:pos="5515" w:val="left" w:leader="none"/>
                      <w:tab w:pos="10515" w:val="left" w:leader="none"/>
                    </w:tabs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95"/>
                      <w:sz w:val="20"/>
                    </w:rPr>
                    <w:t>,</w:t>
                  </w:r>
                  <w:r>
                    <w:rPr>
                      <w:color w:val="231F20"/>
                      <w:w w:val="95"/>
                      <w:sz w:val="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95"/>
                      <w:sz w:val="2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62.355988pt;width:148.35pt;height:11.4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legal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purchaser/receiver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96014pt;margin-top:462.355988pt;width:65.3pt;height:11.45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Relationship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91.470001pt;width:528pt;height:25.3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tabs>
                      <w:tab w:pos="4719" w:val="left" w:leader="none"/>
                      <w:tab w:pos="10495" w:val="left" w:leader="none"/>
                    </w:tabs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on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. </w:t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Amount</w:t>
                  </w:r>
                  <w:r>
                    <w:rPr>
                      <w:rFonts w:ascii="Lucida Sans"/>
                      <w:b/>
                      <w:color w:val="231F20"/>
                      <w:spacing w:val="-44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paid</w:t>
                  </w:r>
                  <w:r>
                    <w:rPr>
                      <w:rFonts w:ascii="Lucida Sans"/>
                      <w:b/>
                      <w:color w:val="231F20"/>
                      <w:spacing w:val="-25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$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47"/>
                    <w:ind w:left="1785"/>
                  </w:pPr>
                  <w:r>
                    <w:rPr>
                      <w:color w:val="231F20"/>
                    </w:rPr>
                    <w:t>Date of purchase/gift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48.830017pt;width:528.450pt;height:13.6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tabs>
                      <w:tab w:pos="5032" w:val="left" w:leader="none"/>
                      <w:tab w:pos="1054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Signature</w:t>
                  </w:r>
                  <w:r>
                    <w:rPr>
                      <w:rFonts w:ascii="Lucida Sans"/>
                      <w:b/>
                      <w:color w:val="231F20"/>
                      <w:spacing w:val="-23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of</w:t>
                  </w:r>
                  <w:r>
                    <w:rPr>
                      <w:rFonts w:ascii="Lucida Sans"/>
                      <w:b/>
                      <w:color w:val="231F20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</w:rPr>
                    <w:t>Seller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> </w:t>
                    <w:tab/>
                  </w: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Signature of</w:t>
                  </w:r>
                  <w:r>
                    <w:rPr>
                      <w:rFonts w:ascii="Lucida Sans"/>
                      <w:b/>
                      <w:color w:val="231F20"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95"/>
                      <w:sz w:val="20"/>
                    </w:rPr>
                    <w:t>Buyer</w:t>
                  </w:r>
                  <w:r>
                    <w:rPr>
                      <w:rFonts w:ascii="Lucida Sans"/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91"/>
                      <w:sz w:val="20"/>
                      <w:u w:val="single" w:color="221E1F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83.755981pt;width:539.2pt;height:161.6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7" w:val="left" w:leader="none"/>
                    </w:tabs>
                    <w:spacing w:line="249" w:lineRule="auto" w:before="21" w:after="0"/>
                    <w:ind w:left="116" w:right="17" w:hanging="96"/>
                    <w:jc w:val="lef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used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vehicle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being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registered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Saskatchewan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first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time,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vehicle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most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recently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been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registered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another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jurisdiction,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requires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safety inspection.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Information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obtained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local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3"/>
                    </w:rPr>
                    <w:t>SGI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motor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licence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issuer.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7" w:val="left" w:leader="none"/>
                    </w:tabs>
                    <w:spacing w:line="249" w:lineRule="auto" w:before="141" w:after="0"/>
                    <w:ind w:left="116" w:right="500" w:hanging="96"/>
                    <w:jc w:val="left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vehicle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identification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(VIN)/serial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status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check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requested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determine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vehicle’s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eligibility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registration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previous registration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status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vehicle.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Information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obtained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local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3"/>
                    </w:rPr>
                    <w:t>SGI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motor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licence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issuer.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There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fee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service.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7" w:val="left" w:leader="none"/>
                    </w:tabs>
                    <w:spacing w:line="249" w:lineRule="auto" w:before="141" w:after="0"/>
                    <w:ind w:left="116" w:right="310" w:hanging="96"/>
                    <w:jc w:val="lef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prospective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purchaser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determine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whether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vehicle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free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liens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encumbrances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Saskatchewan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contacting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Information</w:t>
                  </w:r>
                  <w:r>
                    <w:rPr>
                      <w:color w:val="231F20"/>
                      <w:spacing w:val="-18"/>
                    </w:rPr>
                    <w:t> </w:t>
                  </w:r>
                  <w:r>
                    <w:rPr>
                      <w:color w:val="231F20"/>
                    </w:rPr>
                    <w:t>Services Corporation,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Personal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Property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Registry.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order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perform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search,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required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VIN/serial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vehicle.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request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 search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made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person,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phone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writing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online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hyperlink r:id="rId5">
                    <w:r>
                      <w:rPr>
                        <w:color w:val="231F20"/>
                      </w:rPr>
                      <w:t>www.isc.ca.</w:t>
                    </w:r>
                    <w:r>
                      <w:rPr>
                        <w:color w:val="231F20"/>
                        <w:spacing w:val="-6"/>
                      </w:rPr>
                      <w:t> </w:t>
                    </w:r>
                  </w:hyperlink>
                  <w:r>
                    <w:rPr>
                      <w:color w:val="231F20"/>
                    </w:rPr>
                    <w:t>There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fee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service.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7" w:val="left" w:leader="none"/>
                    </w:tabs>
                    <w:spacing w:line="249" w:lineRule="auto" w:before="142" w:after="0"/>
                    <w:ind w:left="116" w:right="271" w:hanging="96"/>
                    <w:jc w:val="left"/>
                  </w:pPr>
                  <w:r>
                    <w:rPr>
                      <w:color w:val="231F20"/>
                    </w:rPr>
                    <w:t>Registration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fee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licence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plate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insurance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premium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rates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obtained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using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plate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calculator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SGI’s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website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hyperlink r:id="rId6">
                    <w:r>
                      <w:rPr>
                        <w:color w:val="231F20"/>
                      </w:rPr>
                      <w:t>www.sgi.sk.ca,</w:t>
                    </w:r>
                    <w:r>
                      <w:rPr>
                        <w:color w:val="231F20"/>
                        <w:spacing w:val="-20"/>
                      </w:rPr>
                      <w:t> </w:t>
                    </w:r>
                  </w:hyperlink>
                  <w:r>
                    <w:rPr>
                      <w:color w:val="231F20"/>
                    </w:rPr>
                    <w:t>contacting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a motor licence issuer, or by calling </w:t>
                  </w:r>
                  <w:r>
                    <w:rPr>
                      <w:color w:val="231F20"/>
                      <w:spacing w:val="3"/>
                    </w:rPr>
                    <w:t>SGI </w:t>
                  </w:r>
                  <w:r>
                    <w:rPr>
                      <w:color w:val="231F20"/>
                    </w:rPr>
                    <w:t>toll free at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1-800-667-9868.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7" w:val="left" w:leader="none"/>
                    </w:tabs>
                    <w:spacing w:line="249" w:lineRule="auto" w:before="141" w:after="0"/>
                    <w:ind w:left="116" w:right="483" w:hanging="96"/>
                    <w:jc w:val="left"/>
                  </w:pP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provided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courtesy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  <w:spacing w:val="3"/>
                    </w:rPr>
                    <w:t>SGI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ensure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sufficient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information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contained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Bill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Sale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permit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licensing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registration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the described vehicle by the new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owner.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7" w:val="left" w:leader="none"/>
                    </w:tabs>
                    <w:spacing w:line="249" w:lineRule="auto" w:before="142" w:after="0"/>
                    <w:ind w:left="116" w:right="294" w:hanging="96"/>
                    <w:jc w:val="left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liability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attaches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Crown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through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document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respect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sale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vehicle.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dispute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arising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sale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becomes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civil matter among the parties named on this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</w:rPr>
                    <w:t>document.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91.511978pt;width:128pt;height:12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149799pt;margin-top:128.099976pt;width:495pt;height:12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71.099976pt;width:465pt;height:12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88293pt;margin-top:361.899994pt;width:420pt;height:12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06.665009pt;width:525pt;height:12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789902pt;margin-top:447.899994pt;width:265pt;height:12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789917pt;margin-top:447.899994pt;width:245pt;height:12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999901pt;margin-top:490.899994pt;width:220pt;height:12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58698pt;margin-top:490.899994pt;width:210pt;height:12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628502pt;margin-top:548.099976pt;width:160pt;height:12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57092pt;margin-top:548.099976pt;width:180pt;height:12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6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6" w:hanging="97"/>
      </w:pPr>
      <w:rPr>
        <w:rFonts w:hint="default" w:ascii="Arial" w:hAnsi="Arial" w:eastAsia="Arial" w:cs="Arial"/>
        <w:color w:val="231F20"/>
        <w:w w:val="95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86" w:hanging="9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52" w:hanging="9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19" w:hanging="9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85" w:hanging="9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52" w:hanging="9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18" w:hanging="9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84" w:hanging="9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51" w:hanging="9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1"/>
      <w:ind w:left="20"/>
    </w:pPr>
    <w:rPr>
      <w:rFonts w:ascii="Arial" w:hAnsi="Arial" w:eastAsia="Arial" w:cs="Arial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isc.ca/" TargetMode="External" Type="http://schemas.openxmlformats.org/officeDocument/2006/relationships/hyperlink"/>
<Relationship Id="rId6" Target="http://www.sgi.sk.ca/" TargetMode="External" Type="http://schemas.openxmlformats.org/officeDocument/2006/relationships/hyperlink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